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71E87" w14:textId="77777777" w:rsidR="003A2C3C" w:rsidRDefault="00235C05" w:rsidP="00511305">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 importância, para a atuação processual da Fazenda Pública, da análise de dados referentes ao comportamento decisório judicial: uma experiência na Procuradoria Geral do Estado de Pernambuco</w:t>
      </w:r>
    </w:p>
    <w:p w14:paraId="11571E88" w14:textId="77777777" w:rsidR="003A2C3C" w:rsidRDefault="003A2C3C" w:rsidP="00511305">
      <w:pPr>
        <w:spacing w:line="360" w:lineRule="auto"/>
        <w:jc w:val="both"/>
        <w:rPr>
          <w:rFonts w:ascii="Times New Roman" w:eastAsia="Times New Roman" w:hAnsi="Times New Roman" w:cs="Times New Roman"/>
          <w:b/>
          <w:sz w:val="28"/>
          <w:szCs w:val="28"/>
        </w:rPr>
      </w:pPr>
    </w:p>
    <w:p w14:paraId="11571E8D" w14:textId="4C77D10D" w:rsidR="003A2C3C" w:rsidRDefault="00BD0A74" w:rsidP="005113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11571E8E" w14:textId="77777777" w:rsidR="003A2C3C" w:rsidRDefault="003A2C3C" w:rsidP="00511305">
      <w:pPr>
        <w:spacing w:line="360" w:lineRule="auto"/>
        <w:jc w:val="both"/>
        <w:rPr>
          <w:rFonts w:ascii="Times New Roman" w:eastAsia="Times New Roman" w:hAnsi="Times New Roman" w:cs="Times New Roman"/>
          <w:sz w:val="24"/>
          <w:szCs w:val="24"/>
        </w:rPr>
      </w:pPr>
    </w:p>
    <w:p w14:paraId="11571E8F" w14:textId="77777777" w:rsidR="003A2C3C" w:rsidRDefault="00235C05" w:rsidP="005113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Resumo:</w:t>
      </w:r>
      <w:r>
        <w:rPr>
          <w:rFonts w:ascii="Times New Roman" w:eastAsia="Times New Roman" w:hAnsi="Times New Roman" w:cs="Times New Roman"/>
          <w:sz w:val="24"/>
          <w:szCs w:val="24"/>
        </w:rPr>
        <w:t xml:space="preserve"> Debate-se a relevância da análise de dados para a atuação nos processos da Fazenda Pública, apresentando-se algumas ferramentas úteis para tal fim. Em seguida, é descrita uma experiência na PGE de Pernambuco para melhor compreensão dos processos e das decisões judiciais. Conclui-se pela necessidade de atenção especial quanto às matérias que têm potencial de se transformarem em demandas de massa, mostrando-se a importância da coleta, processamento e análise de dados, especialmente quanto ao comportamento decisório judicial.</w:t>
      </w:r>
    </w:p>
    <w:p w14:paraId="11571E90" w14:textId="77777777" w:rsidR="003A2C3C" w:rsidRDefault="003A2C3C" w:rsidP="00511305">
      <w:pPr>
        <w:spacing w:line="360" w:lineRule="auto"/>
        <w:jc w:val="both"/>
        <w:rPr>
          <w:rFonts w:ascii="Times New Roman" w:eastAsia="Times New Roman" w:hAnsi="Times New Roman" w:cs="Times New Roman"/>
          <w:sz w:val="24"/>
          <w:szCs w:val="24"/>
        </w:rPr>
      </w:pPr>
    </w:p>
    <w:p w14:paraId="11571E91" w14:textId="77777777" w:rsidR="003A2C3C" w:rsidRDefault="00235C05" w:rsidP="005113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Palavras-chave:</w:t>
      </w:r>
      <w:r>
        <w:rPr>
          <w:rFonts w:ascii="Times New Roman" w:eastAsia="Times New Roman" w:hAnsi="Times New Roman" w:cs="Times New Roman"/>
          <w:sz w:val="24"/>
          <w:szCs w:val="24"/>
        </w:rPr>
        <w:t xml:space="preserve"> Análise de dados. Demandas de massa. Comportamento decisório.</w:t>
      </w:r>
    </w:p>
    <w:p w14:paraId="11571E92" w14:textId="77777777" w:rsidR="003A2C3C" w:rsidRDefault="003A2C3C" w:rsidP="00511305">
      <w:pPr>
        <w:spacing w:line="360" w:lineRule="auto"/>
        <w:jc w:val="both"/>
        <w:rPr>
          <w:rFonts w:ascii="Times New Roman" w:eastAsia="Times New Roman" w:hAnsi="Times New Roman" w:cs="Times New Roman"/>
          <w:sz w:val="24"/>
          <w:szCs w:val="24"/>
        </w:rPr>
      </w:pPr>
    </w:p>
    <w:p w14:paraId="11571E93" w14:textId="77777777" w:rsidR="003A2C3C" w:rsidRDefault="00235C05" w:rsidP="0051130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Introdução</w:t>
      </w:r>
    </w:p>
    <w:p w14:paraId="11571E94" w14:textId="77777777" w:rsidR="003A2C3C" w:rsidRDefault="003A2C3C" w:rsidP="00511305">
      <w:pPr>
        <w:jc w:val="both"/>
        <w:rPr>
          <w:rFonts w:ascii="Times New Roman" w:eastAsia="Times New Roman" w:hAnsi="Times New Roman" w:cs="Times New Roman"/>
          <w:b/>
          <w:sz w:val="24"/>
          <w:szCs w:val="24"/>
        </w:rPr>
      </w:pPr>
    </w:p>
    <w:p w14:paraId="11571E95" w14:textId="77777777" w:rsidR="003A2C3C" w:rsidRDefault="00235C05" w:rsidP="00511305">
      <w:pPr>
        <w:spacing w:line="360" w:lineRule="auto"/>
        <w:ind w:firstLine="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Qual a importância, para a advocacia pública, da coleta e análise de informações sobre o comportamento decisório judicial nos processos em que a Fazenda Pública é parte, especialmente diante das chamadas demandas de massa? </w:t>
      </w:r>
      <w:r>
        <w:rPr>
          <w:rFonts w:ascii="Times New Roman" w:eastAsia="Times New Roman" w:hAnsi="Times New Roman" w:cs="Times New Roman"/>
          <w:sz w:val="24"/>
          <w:szCs w:val="24"/>
          <w:highlight w:val="yellow"/>
        </w:rPr>
        <w:t xml:space="preserve"> </w:t>
      </w:r>
    </w:p>
    <w:p w14:paraId="11571E96" w14:textId="77777777" w:rsidR="003A2C3C" w:rsidRDefault="00235C05" w:rsidP="005113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Para responder</w:t>
      </w:r>
      <w:r>
        <w:rPr>
          <w:rFonts w:ascii="Times New Roman" w:eastAsia="Times New Roman" w:hAnsi="Times New Roman" w:cs="Times New Roman"/>
          <w:sz w:val="24"/>
          <w:szCs w:val="24"/>
        </w:rPr>
        <w:tab/>
        <w:t xml:space="preserve"> a essa pergunta, o presente trabalho tem por objetivo debater a necessidade </w:t>
      </w:r>
      <w:proofErr w:type="gramStart"/>
      <w:r>
        <w:rPr>
          <w:rFonts w:ascii="Times New Roman" w:eastAsia="Times New Roman" w:hAnsi="Times New Roman" w:cs="Times New Roman"/>
          <w:sz w:val="24"/>
          <w:szCs w:val="24"/>
        </w:rPr>
        <w:t>de, cada</w:t>
      </w:r>
      <w:proofErr w:type="gramEnd"/>
      <w:r>
        <w:rPr>
          <w:rFonts w:ascii="Times New Roman" w:eastAsia="Times New Roman" w:hAnsi="Times New Roman" w:cs="Times New Roman"/>
          <w:sz w:val="24"/>
          <w:szCs w:val="24"/>
        </w:rPr>
        <w:t xml:space="preserve"> dia mais, a Fazenda Pública e seus órgãos de (re)presentação se cercarem de informações as mais diversas acerca dos feitos em que aquela é parte. Desde o conhecimento de quais temas são mais demandados, quantas decisões foram proferidas nesses mesmos temas, se houve concessão ou não de tutelas provisórias, se as sentenças foram favoráveis ou desfavoráveis, se os recursos da Fazenda são ou não providos, ou seja, a obtenção de conhecimento sobre como decidem os juízes (isto é, qual o comportamento dos magistrados quando se deparam com determinado tipo de processo). </w:t>
      </w:r>
    </w:p>
    <w:p w14:paraId="11571E97" w14:textId="77777777" w:rsidR="003A2C3C" w:rsidRDefault="00235C05" w:rsidP="005113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Para isso, inicialmente é debatido a relevância do uso da análise de dados para a atuação nos processos da Fazenda Pública. Em seguida, no item 2, apresentam-se algumas ferramentas (quantitativas e qualitativas) para essa análise. Por fim, no item 3, é descrita uma experiência na Procuradoria Geral do Estado de Pernambuco com o uso e processamento de dados para melhor compreensão dos processos e para uma atuação processual mais eficiente por parte da Fazenda Pública. </w:t>
      </w:r>
    </w:p>
    <w:p w14:paraId="11571E98" w14:textId="77777777" w:rsidR="003A2C3C" w:rsidRDefault="00235C05" w:rsidP="00511305">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Ao fim e ao cabo, pretende-se com o presente trabalho registrar a experiência ocorrida na PGE/PE, na expectativa de que as conclusões e sugestões de melhorias apresentadas sejam úteis para outros setores e que o levantamento e análise de dados possam ser realizados de uma forma mais eficiente, a fim de aperfeiçoar a defesa da Fazenda Pública no contencioso e as rotinas de trabalho, em especial na atuação em demandas de massa.</w:t>
      </w:r>
    </w:p>
    <w:p w14:paraId="11571E99" w14:textId="77777777" w:rsidR="003A2C3C" w:rsidRDefault="003A2C3C" w:rsidP="00511305">
      <w:pPr>
        <w:spacing w:line="360" w:lineRule="auto"/>
        <w:jc w:val="both"/>
        <w:rPr>
          <w:rFonts w:ascii="Times New Roman" w:eastAsia="Times New Roman" w:hAnsi="Times New Roman" w:cs="Times New Roman"/>
          <w:b/>
          <w:sz w:val="24"/>
          <w:szCs w:val="24"/>
        </w:rPr>
      </w:pPr>
    </w:p>
    <w:p w14:paraId="11571E9A" w14:textId="77777777" w:rsidR="003A2C3C" w:rsidRDefault="00235C05" w:rsidP="0051130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Da análise dogmática à análise empírica do Direito: o uso dos dados para a atuação no processo</w:t>
      </w:r>
    </w:p>
    <w:p w14:paraId="11571E9B" w14:textId="77777777" w:rsidR="003A2C3C" w:rsidRDefault="003A2C3C" w:rsidP="00511305">
      <w:pPr>
        <w:spacing w:line="360" w:lineRule="auto"/>
        <w:jc w:val="both"/>
        <w:rPr>
          <w:rFonts w:ascii="Times New Roman" w:eastAsia="Times New Roman" w:hAnsi="Times New Roman" w:cs="Times New Roman"/>
          <w:b/>
          <w:sz w:val="24"/>
          <w:szCs w:val="24"/>
        </w:rPr>
      </w:pPr>
    </w:p>
    <w:p w14:paraId="11571E9C" w14:textId="77777777" w:rsidR="003A2C3C" w:rsidRDefault="00235C05" w:rsidP="0051130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Tradicionalmente, os juristas (profissionais do direito em geral) têm se pautado pela dogmática jurídica tanto no debate acadêmico como na atuação cotidiana nos processos. Assim, analisa-se o Direito a partir da interpretação e aplicação de leis, doutrina e jurisprudência, sempre em torno do debate de teses. Ao final de um processo, por exemplo, vence quem melhor soube se utilizar dos instrumentos dogmáticos, ou seja, análise, interpretação e argumentação</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w:t>
      </w:r>
    </w:p>
    <w:p w14:paraId="11571E9D" w14:textId="77777777" w:rsidR="003A2C3C" w:rsidRDefault="00235C05" w:rsidP="0051130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Apesar da importância fundamental da dogmática jurídica, uma vez que ela é essencial para a construção da argumentação que será posta nas petições iniciais, na contestação, nos recursos, nas </w:t>
      </w:r>
      <w:proofErr w:type="gramStart"/>
      <w:r>
        <w:rPr>
          <w:rFonts w:ascii="Times New Roman" w:eastAsia="Times New Roman" w:hAnsi="Times New Roman" w:cs="Times New Roman"/>
          <w:sz w:val="24"/>
          <w:szCs w:val="24"/>
        </w:rPr>
        <w:t>decisões etc</w:t>
      </w:r>
      <w:proofErr w:type="gramEnd"/>
      <w:r>
        <w:rPr>
          <w:rFonts w:ascii="Times New Roman" w:eastAsia="Times New Roman" w:hAnsi="Times New Roman" w:cs="Times New Roman"/>
          <w:sz w:val="24"/>
          <w:szCs w:val="24"/>
        </w:rPr>
        <w:t>, não se pode, na complexidade da contemporaneidade, deixar de verificar o que ocorre no mundo real, fora dos autos do processo. Daí a importância da análise empírica do Direito.</w:t>
      </w:r>
    </w:p>
    <w:p w14:paraId="11571E9E" w14:textId="77777777" w:rsidR="003A2C3C" w:rsidRDefault="00235C05" w:rsidP="0051130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ressalta Nunes, </w:t>
      </w:r>
    </w:p>
    <w:p w14:paraId="0AA3B0CA" w14:textId="77777777" w:rsidR="00511305" w:rsidRDefault="00511305" w:rsidP="00511305">
      <w:pPr>
        <w:spacing w:line="360" w:lineRule="auto"/>
        <w:ind w:firstLine="720"/>
        <w:jc w:val="both"/>
        <w:rPr>
          <w:rFonts w:ascii="Times New Roman" w:eastAsia="Times New Roman" w:hAnsi="Times New Roman" w:cs="Times New Roman"/>
          <w:sz w:val="24"/>
          <w:szCs w:val="24"/>
        </w:rPr>
      </w:pPr>
    </w:p>
    <w:p w14:paraId="11571E9F" w14:textId="77777777" w:rsidR="003A2C3C" w:rsidRDefault="00235C05" w:rsidP="00511305">
      <w:pPr>
        <w:spacing w:line="240" w:lineRule="auto"/>
        <w:ind w:left="22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conhecer o Direito não se limita à interpretação das normas abstratas constantes nos códigos e nas leis. Conhecer o Direito significa também entender como os juízes e ao final, como as pessoas reagem a esses comandos. Como são os magistrados quem primeiro atribuem eficácia ao Direito, definindo como as normas devem ser interpretadas, afastando normas inoportunas e suprindo lacunas, não é possível entender o que é Direito sem investigar a relação das normas abstratas com o comportamento dos tribunais</w:t>
      </w:r>
      <w:r>
        <w:rPr>
          <w:rFonts w:ascii="Times New Roman" w:eastAsia="Times New Roman" w:hAnsi="Times New Roman" w:cs="Times New Roman"/>
          <w:sz w:val="20"/>
          <w:szCs w:val="20"/>
          <w:vertAlign w:val="superscript"/>
        </w:rPr>
        <w:footnoteReference w:id="2"/>
      </w:r>
      <w:r>
        <w:rPr>
          <w:rFonts w:ascii="Times New Roman" w:eastAsia="Times New Roman" w:hAnsi="Times New Roman" w:cs="Times New Roman"/>
          <w:sz w:val="20"/>
          <w:szCs w:val="20"/>
        </w:rPr>
        <w:t>.</w:t>
      </w:r>
    </w:p>
    <w:p w14:paraId="11571EA0" w14:textId="77777777" w:rsidR="003A2C3C" w:rsidRDefault="003A2C3C" w:rsidP="00511305">
      <w:pPr>
        <w:spacing w:line="360" w:lineRule="auto"/>
        <w:jc w:val="both"/>
        <w:rPr>
          <w:rFonts w:ascii="Times New Roman" w:eastAsia="Times New Roman" w:hAnsi="Times New Roman" w:cs="Times New Roman"/>
          <w:b/>
          <w:sz w:val="24"/>
          <w:szCs w:val="24"/>
        </w:rPr>
      </w:pPr>
    </w:p>
    <w:p w14:paraId="11571EA1" w14:textId="77777777" w:rsidR="003A2C3C" w:rsidRDefault="00235C05" w:rsidP="00511305">
      <w:pPr>
        <w:spacing w:line="240" w:lineRule="auto"/>
        <w:ind w:left="22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Para se avaliar o Direito concreto, investigar os sentidos hipotéticos da lei resolve apenas parte do problema. É também necessário construir modelos capazes de descrever os casos individuais e entender como eles surgiram e porque estão sendo resolvidos dessa ou daquela maneira</w:t>
      </w:r>
      <w:r>
        <w:rPr>
          <w:rFonts w:ascii="Times New Roman" w:eastAsia="Times New Roman" w:hAnsi="Times New Roman" w:cs="Times New Roman"/>
          <w:sz w:val="20"/>
          <w:szCs w:val="20"/>
          <w:vertAlign w:val="superscript"/>
        </w:rPr>
        <w:footnoteReference w:id="3"/>
      </w:r>
      <w:r>
        <w:rPr>
          <w:rFonts w:ascii="Times New Roman" w:eastAsia="Times New Roman" w:hAnsi="Times New Roman" w:cs="Times New Roman"/>
          <w:sz w:val="20"/>
          <w:szCs w:val="20"/>
        </w:rPr>
        <w:t>.</w:t>
      </w:r>
    </w:p>
    <w:p w14:paraId="11571EA2" w14:textId="77777777" w:rsidR="003A2C3C" w:rsidRDefault="003A2C3C" w:rsidP="00511305">
      <w:pPr>
        <w:spacing w:line="240" w:lineRule="auto"/>
        <w:ind w:left="2267"/>
        <w:jc w:val="both"/>
        <w:rPr>
          <w:rFonts w:ascii="Times New Roman" w:eastAsia="Times New Roman" w:hAnsi="Times New Roman" w:cs="Times New Roman"/>
          <w:sz w:val="20"/>
          <w:szCs w:val="20"/>
        </w:rPr>
      </w:pPr>
    </w:p>
    <w:p w14:paraId="11571EA3" w14:textId="77777777" w:rsidR="003A2C3C" w:rsidRDefault="00235C05" w:rsidP="0051130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Esse mesmo autor destaca que quem atua no Direito “estuda as leis sem se preocupar com os seus resultados práticos”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E não compreender as consequências da interpretação das leis posta pelos Tribunais pode ser fulcral para a obtenção ou não da tutela de direito pretendida. Especialmente quando o sistema atual se pauta pela técnica dos precedentes vinculantes (arts. 926, 927 e 928, do Código de Processo Civil) e, principalmente, diante dos números ainda assustadores do Judiciário brasileiro. Para se ter uma ideia, 77,3 milhões de processos tramitavam em 2021, tendo ingressado nesse mesmo ano 19,1 milhões de novas ações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No ano seguinte, 2022, o número aumentou para 81,4 milhões de processos em tramitação, com ingresso de 21,3 milhões de novas ações</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w:t>
      </w:r>
    </w:p>
    <w:p w14:paraId="11571EA4" w14:textId="77777777" w:rsidR="003A2C3C" w:rsidRDefault="00235C05" w:rsidP="0051130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Assim sendo, a importância de se obter dados sobre as causas é crucial na atuação processual contemporânea. E não se trata de ter conhecimento apenas sobre os fatos daquela causa individual em que o advogado, público ou privado, atua. Isso sempre foi feito, uma vez que o levantamento de provas é nada mais do que isso, dados, ou seja, os fatos colhidos e levados ao processo para conhecimento do juiz, o qual, a partir do cotejo entre esses dados e os argumentos postos pelas partes concederá ou não a tutela jurisdicional</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w:t>
      </w:r>
    </w:p>
    <w:p w14:paraId="11571EA5" w14:textId="1E1D865A" w:rsidR="003A2C3C" w:rsidRDefault="00235C05" w:rsidP="0051130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 o que se quer destacar no presente artigo não são esses “dados” individuais, mas sim os dados referentes a uma coletividade, isto é, os dados concernentes aos vários casos individuais pertinentes ao processamento de determinada temática no Poder Judiciário, ante a transformação desses casos individuais nas chamadas “demandas de massa”. Esse é o caso, por exemplo, do tema “Imposto de Renda sobre as gratificações de difícil acesso, locomoção e localização” dos profissionais do magistério em Pernambuco e o entendimento do Poder Judiciário pernambucano acerca disso. Tema esse do qual será apresentada mais abaixo a pesquisa realizada</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w:t>
      </w:r>
    </w:p>
    <w:p w14:paraId="11571EA6" w14:textId="77777777" w:rsidR="003A2C3C" w:rsidRDefault="00235C05" w:rsidP="0051130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 o que são os dados?  Nas palavras de Gomes Neto, Barbosa e Paula Filho, dados são “[…] quaisquer fatos sociais ou naturais [que] emitem informações que podem ser captadas, de forma organizada e justificada, por meio dos mais diversos experimentos e instrumentos de pesquisa.”</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E a </w:t>
      </w:r>
      <w:r>
        <w:rPr>
          <w:rFonts w:ascii="Times New Roman" w:eastAsia="Times New Roman" w:hAnsi="Times New Roman" w:cs="Times New Roman"/>
          <w:sz w:val="24"/>
          <w:szCs w:val="24"/>
        </w:rPr>
        <w:lastRenderedPageBreak/>
        <w:t>partir desses fatos devidamente organizados (os dados) é possível obter conhecimento, por exemplo, “da quantidade de processos julgados com resolução de mérito numa comarca, o tempo de tramitação de um recurso cível, os índices de produtividade dos magistrados”</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de como se comporta quem produz a norma</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(ou seja, como os juízes decidem, seja quantitativa - seja qualitativamente), possibilitando ao advogado ferramentas para, por exemplo, “aconselhar seus clientes sobre as suas chances de êxito”</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w:t>
      </w:r>
    </w:p>
    <w:p w14:paraId="11571EA7" w14:textId="77777777" w:rsidR="003A2C3C" w:rsidRDefault="00235C05" w:rsidP="0051130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Assim sendo, repita-se, a coleta de tais informações é essencial para a atuação processual do advogado, especialmente do advogado público, responsável pela (re)presentação do Estado e das entidades a ele vinculadas (a denominada Fazenda Pública)</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Diz-se isso porque a Fazenda Pública, assim como outras entidades da Administração Pública Indireta, consta nas pesquisas do Conselho Nacional de Justiça como uma grande litigante. No Painel de Grandes Litigantes do CNJ</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a União, alguns Estados e Municípios figuram dentre os 20 maiores litigantes da Justiça brasileira. E dentre os assuntos mais demandados no Judiciário brasileiro (Justiças Federal e Estadual) nos anos de 2021 e de 2022 constam temas que envolvem a Fazenda Pública. Direito Previdenciário e Direito Administrativo na Justiça Federal; Direito Tributário na Justiça Estadual</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Não podendo ser esquecido, quanto a isso, os processos de execução fiscal, que representam, ainda segundo o CNJ, 35% do total de casos pendentes e 65% das execuções pendentes no Judiciário brasileiro</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w:t>
      </w:r>
    </w:p>
    <w:p w14:paraId="11571EA8" w14:textId="77777777" w:rsidR="003A2C3C" w:rsidRDefault="00235C05" w:rsidP="0051130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 isso em mente, o advogado público não pode atuar nos processos da Fazenda Pública de forma micro, trabalhando processo a processo das mais diferentes formas, como se cada um deles estivesse apartado do todo. É necessária a atuação macro, com o conhecimento do panorama geral desses processos. A obtenção, organização e classificação de informações acerca de como esses </w:t>
      </w:r>
      <w:r>
        <w:rPr>
          <w:rFonts w:ascii="Times New Roman" w:eastAsia="Times New Roman" w:hAnsi="Times New Roman" w:cs="Times New Roman"/>
          <w:sz w:val="24"/>
          <w:szCs w:val="24"/>
        </w:rPr>
        <w:lastRenderedPageBreak/>
        <w:t>processos tramitam no Poder Judiciário (especialmente de como os juízes decidem) é fulcral para a atuação do advogado público no processo.</w:t>
      </w:r>
    </w:p>
    <w:p w14:paraId="11571EA9" w14:textId="77777777" w:rsidR="003A2C3C" w:rsidRDefault="00235C05" w:rsidP="0051130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é exatamente por isso que o advogado público não pode descurar da necessidade de capacitação nessas novas ferramentas de coleta e processamento de dados, do uso, inclusive, de inteligência artificial</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para tanto, naquilo que se chama de </w:t>
      </w:r>
      <w:r>
        <w:rPr>
          <w:rFonts w:ascii="Times New Roman" w:eastAsia="Times New Roman" w:hAnsi="Times New Roman" w:cs="Times New Roman"/>
          <w:i/>
          <w:sz w:val="24"/>
          <w:szCs w:val="24"/>
        </w:rPr>
        <w:t>soft skills</w:t>
      </w:r>
      <w:r>
        <w:rPr>
          <w:rFonts w:ascii="Times New Roman" w:eastAsia="Times New Roman" w:hAnsi="Times New Roman" w:cs="Times New Roman"/>
          <w:i/>
          <w:sz w:val="24"/>
          <w:szCs w:val="24"/>
          <w:vertAlign w:val="superscript"/>
        </w:rPr>
        <w:footnoteReference w:id="18"/>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Como bem ressalta Marques,</w:t>
      </w:r>
    </w:p>
    <w:p w14:paraId="65507967" w14:textId="77777777" w:rsidR="00511305" w:rsidRPr="00511305" w:rsidRDefault="00511305" w:rsidP="00511305">
      <w:pPr>
        <w:spacing w:line="360" w:lineRule="auto"/>
        <w:ind w:firstLine="720"/>
        <w:jc w:val="both"/>
        <w:rPr>
          <w:rFonts w:ascii="Times New Roman" w:eastAsia="Times New Roman" w:hAnsi="Times New Roman" w:cs="Times New Roman"/>
          <w:sz w:val="20"/>
          <w:szCs w:val="20"/>
        </w:rPr>
      </w:pPr>
    </w:p>
    <w:p w14:paraId="11571EAA" w14:textId="77777777" w:rsidR="003A2C3C" w:rsidRDefault="00235C05" w:rsidP="00511305">
      <w:pPr>
        <w:spacing w:line="240" w:lineRule="auto"/>
        <w:ind w:left="22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o desenvolvimento na criação e na análise de dados trouxe uma série de possibilidades que antes não existiam para o Direito. A prática jurídica, de certa forma, passa por e exige a análise de dados e informações produzidos socialmente, já existentes, para se buscar dar respostas – de maneira normativa ou adjuticatória – a questões que se considera relevantes para a sociedade. As formas como esses dados têm sido analisados e interpretados, porém, estão evoluindo e afetando também a hermenêutica jurídica. O uso de analytics e big data analytics para fins de compreensão de certos temas com mais amplitude e, mais longe ainda, de (tentativa de) previsão das consequências de determinada conduta, pode também ter impacto direto na forma como o Direito é visto e aplicado. Hoje, advogados e instituições são mais capazes de analisar e aconselhar sobre os riscos de certo ato ou estratégia, e legisladores e julgadores podem ser munidos de mais elementos, também mais precisos, para desempenhar suas respectivas funções. Há também para o Direito, desta feita, uma ciência de dados sendo desenvolvida, e a relação entre esses dois (o Direito e os dados) está sendo rapidamente transformada ou mesmo totalmente restabelecida.</w:t>
      </w:r>
      <w:r>
        <w:rPr>
          <w:rFonts w:ascii="Times New Roman" w:eastAsia="Times New Roman" w:hAnsi="Times New Roman" w:cs="Times New Roman"/>
          <w:sz w:val="20"/>
          <w:szCs w:val="20"/>
          <w:vertAlign w:val="superscript"/>
        </w:rPr>
        <w:footnoteReference w:id="19"/>
      </w:r>
    </w:p>
    <w:p w14:paraId="681E08F3" w14:textId="77777777" w:rsidR="00511305" w:rsidRDefault="00511305" w:rsidP="00511305">
      <w:pPr>
        <w:spacing w:line="240" w:lineRule="auto"/>
        <w:ind w:left="2267"/>
        <w:jc w:val="both"/>
        <w:rPr>
          <w:rFonts w:ascii="Times New Roman" w:eastAsia="Times New Roman" w:hAnsi="Times New Roman" w:cs="Times New Roman"/>
          <w:sz w:val="20"/>
          <w:szCs w:val="20"/>
        </w:rPr>
      </w:pPr>
    </w:p>
    <w:p w14:paraId="11571EAB" w14:textId="77777777" w:rsidR="003A2C3C" w:rsidRDefault="00235C05" w:rsidP="00511305">
      <w:pPr>
        <w:spacing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Diante disso, a análise empírica do direito, sem olvidar da tradicional dogmática jurídica, é mais do que útil nos dias de hoje para melhor compreender o sistema de justiça brasileiro e o advogado, especialmente o público, no seu múnus de presentação da Fazenda Pública, deve se cercar do instrumental necessário para análise macro do cenário e, assim, poder desenvolver da melhor forma possível a sua atuação no processo.</w:t>
      </w:r>
    </w:p>
    <w:p w14:paraId="11571EAC" w14:textId="77777777" w:rsidR="003A2C3C" w:rsidRDefault="00235C05" w:rsidP="0051130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A análise dos dados: instrumentos qualitativos e instrumentos quantitativos</w:t>
      </w:r>
    </w:p>
    <w:p w14:paraId="11571EAD" w14:textId="77777777" w:rsidR="003A2C3C" w:rsidRDefault="003A2C3C" w:rsidP="00511305">
      <w:pPr>
        <w:spacing w:line="360" w:lineRule="auto"/>
        <w:jc w:val="both"/>
        <w:rPr>
          <w:rFonts w:ascii="Times New Roman" w:eastAsia="Times New Roman" w:hAnsi="Times New Roman" w:cs="Times New Roman"/>
          <w:b/>
          <w:sz w:val="24"/>
          <w:szCs w:val="24"/>
        </w:rPr>
      </w:pPr>
    </w:p>
    <w:p w14:paraId="11571EAE" w14:textId="77777777" w:rsidR="003A2C3C" w:rsidRDefault="00235C05" w:rsidP="005113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b/>
      </w:r>
      <w:r>
        <w:rPr>
          <w:rFonts w:ascii="Times New Roman" w:eastAsia="Times New Roman" w:hAnsi="Times New Roman" w:cs="Times New Roman"/>
          <w:sz w:val="24"/>
          <w:szCs w:val="24"/>
        </w:rPr>
        <w:t>Para a pesquisa empírica na área jurídica, podem ser utilizados tanto instrumentos quantitativos quanto instrumentos qualitativos. A escolha do tipo de instrumento vai depender do que será objeto de análise e do como se pretende analisar esse mesmo objeto</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w:t>
      </w:r>
    </w:p>
    <w:p w14:paraId="11571EAF" w14:textId="77777777" w:rsidR="003A2C3C" w:rsidRDefault="00235C05" w:rsidP="005113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Como destacam Gomes Neto, Barbosa e Paula Filho,</w:t>
      </w:r>
    </w:p>
    <w:p w14:paraId="230C8373" w14:textId="77777777" w:rsidR="00511305" w:rsidRDefault="00511305" w:rsidP="00511305">
      <w:pPr>
        <w:spacing w:line="360" w:lineRule="auto"/>
        <w:jc w:val="both"/>
        <w:rPr>
          <w:rFonts w:ascii="Times New Roman" w:eastAsia="Times New Roman" w:hAnsi="Times New Roman" w:cs="Times New Roman"/>
          <w:sz w:val="24"/>
          <w:szCs w:val="24"/>
        </w:rPr>
      </w:pPr>
    </w:p>
    <w:p w14:paraId="11571EB0" w14:textId="77777777" w:rsidR="003A2C3C" w:rsidRDefault="00235C05" w:rsidP="00511305">
      <w:pPr>
        <w:spacing w:line="240" w:lineRule="auto"/>
        <w:ind w:left="22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pesquisa qualitativa visa explicar comportamentos. Nesse tipo de abordagem, o pesquisador se aprofunda em questões sensíveis do objeto investigado. Podemos dizer que ele “desce à raiz do problema” para explicá-lo com pormenores. Por essa razão, a pesquisa qualitativa não se compromete em apresentar respostas para um quantitativo relevante (generalização) de pessoas, instituições ou casos.</w:t>
      </w:r>
    </w:p>
    <w:p w14:paraId="11571EB1" w14:textId="77777777" w:rsidR="003A2C3C" w:rsidRDefault="00235C05" w:rsidP="00511305">
      <w:pPr>
        <w:spacing w:line="240" w:lineRule="auto"/>
        <w:ind w:left="22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11571EB2" w14:textId="77777777" w:rsidR="003A2C3C" w:rsidRDefault="00235C05" w:rsidP="00511305">
      <w:pPr>
        <w:spacing w:line="240" w:lineRule="auto"/>
        <w:ind w:left="22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Por sua vez, a pesquisa quantitativa visa a realizar inferências descritivas ou causais, por meio do uso de dados quantificáveis.</w:t>
      </w:r>
      <w:r>
        <w:rPr>
          <w:rFonts w:ascii="Times New Roman" w:eastAsia="Times New Roman" w:hAnsi="Times New Roman" w:cs="Times New Roman"/>
          <w:sz w:val="20"/>
          <w:szCs w:val="20"/>
          <w:vertAlign w:val="superscript"/>
        </w:rPr>
        <w:footnoteReference w:id="21"/>
      </w:r>
    </w:p>
    <w:p w14:paraId="11571EB3" w14:textId="77777777" w:rsidR="003A2C3C" w:rsidRDefault="003A2C3C" w:rsidP="00511305">
      <w:pPr>
        <w:spacing w:line="360" w:lineRule="auto"/>
        <w:jc w:val="both"/>
        <w:rPr>
          <w:rFonts w:ascii="Times New Roman" w:eastAsia="Times New Roman" w:hAnsi="Times New Roman" w:cs="Times New Roman"/>
          <w:sz w:val="24"/>
          <w:szCs w:val="24"/>
        </w:rPr>
      </w:pPr>
    </w:p>
    <w:p w14:paraId="11571EB4" w14:textId="77777777" w:rsidR="003A2C3C" w:rsidRDefault="00235C05" w:rsidP="005113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Assim sendo, é possível analisar o sistema de justiça brasileiro a partir de casos específicos, a partir da realização de estudos mais aprofundados acerca desses mesmos casos, utilizando-se, para isso, de técnicas qualitativas. Podem ser efetivadas desde as técnicas mais tradicionais, tais como entrevistas em profundidade, estudos de caso, análises de conteúdo, análises de discurso, etnografias, até técnicas mais recentes que se combinam, em certa medida, com a abordagem quantitativa, como são os casos da análise qualitativo-comparativa (QCA) e o chamado rastreamento de processo (</w:t>
      </w:r>
      <w:r>
        <w:rPr>
          <w:rFonts w:ascii="Times New Roman" w:eastAsia="Times New Roman" w:hAnsi="Times New Roman" w:cs="Times New Roman"/>
          <w:i/>
          <w:sz w:val="24"/>
          <w:szCs w:val="24"/>
        </w:rPr>
        <w:t>process tracing</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w:t>
      </w:r>
    </w:p>
    <w:p w14:paraId="11571EB5" w14:textId="77777777" w:rsidR="003A2C3C" w:rsidRDefault="00235C05" w:rsidP="005113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Da mesma forma, é possível analisar o sistema de justiça brasileiro a partir da generalidade dos casos, envolvendo grandes populações, ou seja, a partir de </w:t>
      </w:r>
      <w:proofErr w:type="gramStart"/>
      <w:r>
        <w:rPr>
          <w:rFonts w:ascii="Times New Roman" w:eastAsia="Times New Roman" w:hAnsi="Times New Roman" w:cs="Times New Roman"/>
          <w:sz w:val="24"/>
          <w:szCs w:val="24"/>
        </w:rPr>
        <w:t>um grande número de dados</w:t>
      </w:r>
      <w:proofErr w:type="gramEnd"/>
      <w:r>
        <w:rPr>
          <w:rFonts w:ascii="Times New Roman" w:eastAsia="Times New Roman" w:hAnsi="Times New Roman" w:cs="Times New Roman"/>
          <w:sz w:val="24"/>
          <w:szCs w:val="24"/>
        </w:rPr>
        <w:t>, como, por exemplo, é realizado pelo CNJ a partir da análise de toda a estrutura do Judiciário brasileiro</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Para isso, utilizam-se as técnicas quantitativas, também denominadas, quando aplicada ao Direito, de jurimetria</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w:t>
      </w:r>
    </w:p>
    <w:p w14:paraId="11571EB6" w14:textId="77777777" w:rsidR="003A2C3C" w:rsidRDefault="00235C05" w:rsidP="005113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O instrumental quantitativo se vale da estatística para funcionar, seja a estatística descritiva seja a inferencial. A estatística descritiva, como o nome diz, descreve “as características importantes de um conjunto de dados” (média, mediana, frequências em geral, percentuais, percentis etc.). Já a inferencial serve para fazer generalizações (inferências) sobre uma população (um universo) a partir de uma amostra obtida desse mesmo universo, utilizando-se da probabilidade para isso</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w:t>
      </w:r>
    </w:p>
    <w:p w14:paraId="11571EB7" w14:textId="0454DCEE" w:rsidR="003A2C3C" w:rsidRDefault="00235C05" w:rsidP="005113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 partir da análise estatística, é possível realizar, a partir de técnicas específicas</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diversos estudos sobre o sistema de justiça, tais como: a) analisar a concessão de liminares e sua relação com o procedimento adotado; b) análise do tempo médio entre a propositura de uma ação e o despacho inicial; c) análise do comportamento decisório de juízes; d) o tempo médio de duração de um determinado tipo de ação; e) a relação custo-tempo de um processo em específico; f) a medição de impacto de uma mudança legislativa e/ou jurisprudencial no comportamento das pessoas (inclusive dos juízes), g) classificação, a partir de uma análise de conteúdo inferencial, de processos passíveis a serem enquadrados como temas que venham a ser objeto da sistemática de formação de precedentes etc</w:t>
      </w:r>
      <w:r w:rsidR="00F74FCB">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7"/>
      </w:r>
    </w:p>
    <w:p w14:paraId="11571EB8" w14:textId="77777777" w:rsidR="003A2C3C" w:rsidRDefault="00235C05" w:rsidP="005113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Assim sendo, com o uso correto do instrumental adequado é possível à advocacia pública chegar a conclusões as mais diversas acerca do funcionamento do sistema de justiça, inclusive quanto ao comportamento decisório dos juízes. Como exemplo do uso desse instrumental, apresenta-se no próximo tópico uma experiência de pesquisa empírica em Direito ocorrida na Procuradoria Geral do Estado de Pernambuco.</w:t>
      </w:r>
    </w:p>
    <w:p w14:paraId="11571EB9" w14:textId="77777777" w:rsidR="003A2C3C" w:rsidRDefault="00235C05" w:rsidP="005113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1571EBA" w14:textId="77777777" w:rsidR="003A2C3C" w:rsidRDefault="00235C05" w:rsidP="0051130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Uma experiência na PGE/PE: o uso e o processamento de dados referentes a demandas de massa</w:t>
      </w:r>
    </w:p>
    <w:p w14:paraId="11571EBB" w14:textId="77777777" w:rsidR="003A2C3C" w:rsidRDefault="00235C05" w:rsidP="0051130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3.1. Contextualização do caso: A estrutura do Contencioso Tributário e o surgimento de uma nova demanda de massa</w:t>
      </w:r>
    </w:p>
    <w:p w14:paraId="11571EBC" w14:textId="77777777" w:rsidR="003A2C3C" w:rsidRDefault="003A2C3C" w:rsidP="00511305">
      <w:pPr>
        <w:spacing w:line="360" w:lineRule="auto"/>
        <w:jc w:val="both"/>
        <w:rPr>
          <w:rFonts w:ascii="Times New Roman" w:eastAsia="Times New Roman" w:hAnsi="Times New Roman" w:cs="Times New Roman"/>
          <w:b/>
          <w:sz w:val="24"/>
          <w:szCs w:val="24"/>
        </w:rPr>
      </w:pPr>
    </w:p>
    <w:p w14:paraId="11571EBD" w14:textId="77777777" w:rsidR="003A2C3C" w:rsidRDefault="00235C05" w:rsidP="005113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 Procuradoria da Fazenda Estadual, órgão setorial da Procuradoria Geral do Estado de Pernambuco, é responsável por promover a inscrição e a cobrança da dívida ativa do Estado e de suas autarquias e fundações, bem como por representar a Fazenda Estadual em ações que versem sobre matéria tributária e financeira, prestando, ainda, consultoria jurídica nessas matérias</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w:t>
      </w:r>
    </w:p>
    <w:p w14:paraId="11571EBE" w14:textId="77777777" w:rsidR="003A2C3C" w:rsidRDefault="00235C05" w:rsidP="005113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As defesas da Fazenda Estadual nos processos em que o Estado assume o polo passivo são realizadas, em regra, pelo Contencioso Tributário, sendo esse dividido em três núcleos: Núcleo de ICMS, Núcleo de Demandas Repetitivas e Núcleo Residual, este último também chamado de Outros Tributos.</w:t>
      </w:r>
    </w:p>
    <w:p w14:paraId="11571EBF" w14:textId="77777777" w:rsidR="003A2C3C" w:rsidRDefault="00235C05" w:rsidP="005113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O Núcleo de ICMS tem como competência defender a Fazenda em ações em que se discute o pagamento do Imposto sobre Operações relativas à Circulação de Mercadorias e sobre Prestações de Serviços de Transporte Interestadual e Intermunicipal e de Comunicação, o ICMS, processos que, na maioria das vezes, apresentam impacto financeiro ao erário.</w:t>
      </w:r>
    </w:p>
    <w:p w14:paraId="11571EC0" w14:textId="77777777" w:rsidR="003A2C3C" w:rsidRDefault="00235C05" w:rsidP="005113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O Núcleo de Demandas Repetitivas, criado para viabilizar o próprio funcionamento do Contencioso Tributário, diante do impacto que as ações de massa causam na rotina de trabalho, tem como finalidade dar tratamento aos processos que digam respeito aos seguintes temas: a) Contribuições previdenciárias de parcelas não incorporáveis; b) Contribuição previdenciária por militares inativos e pensionistas sobre valores abaixo do teto do RGPS; c) Descontos do SISMEPE; d) Ações de TUSD e TUST; e Apreensão de Mercadorias.</w:t>
      </w:r>
    </w:p>
    <w:p w14:paraId="11571EC1" w14:textId="77777777" w:rsidR="003A2C3C" w:rsidRDefault="00235C05" w:rsidP="005113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Para fazer frente a esse volume acachapante, há recursos humanos, com a atuação de Procuradores e Assessores, e recursos não humanos, como os robôs desenvolvidos pela Procuradoria Geral do Estado, experiência que se tornou referência nacional no emprego de tecnologia para a defesa do Estado</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w:t>
      </w:r>
    </w:p>
    <w:p w14:paraId="11571EC2" w14:textId="77777777" w:rsidR="003A2C3C" w:rsidRDefault="00235C05" w:rsidP="005113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Por outro lado, ao contrário da delimitação de competência precisa e da estrutura bem desenhada presente no Núcleo de Demandas Repetitivas, o Núcleo Outros Tributos possui natureza residual, abarcando todas as ações do Contencioso Tributário que não sejam de competência dos outros setores.</w:t>
      </w:r>
    </w:p>
    <w:p w14:paraId="11571EC3" w14:textId="77777777" w:rsidR="003A2C3C" w:rsidRDefault="00235C05" w:rsidP="00511305">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Dessa maneira, são de competência do Núcleo Outros Tributos a defesa em ações de: a) Imposto de Renda, como os pedidos de isenção sobre gratificações e em decorrência de doença grave; b) Contribuição Previdenciária, a exemplo da isenção em razão de moléstia grave; c) ICMS, nos casos de isenção requerida por pessoa com deficiência; d) IPVA, como nas ações de furto e fraude em veículo; e) Execuções fiscais propostas por Municípios e pela União contra a Fazenda Estadual; e) Taxas Estaduais, como nas ações em que se discute as Taxas de Fernando de Noronha (TPA), Taxas Cartoriais (TSNR) e Taxa de Prevenção e Extinção de Incêndios (TPEI); f) Cobrança de taxas e custas; g) ITCMD, a exemplo das ações anulatórias contra a cobrança do imposto.</w:t>
      </w:r>
    </w:p>
    <w:p w14:paraId="11571EC4" w14:textId="77777777" w:rsidR="003A2C3C" w:rsidRDefault="00235C05" w:rsidP="00511305">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se percebe da relação exposta acima, os Procuradores do Núcleo Outros Tributos possuem a atribuição para representar judicialmente o Estado em uma variedade de assuntos, o que significa, em muitos casos, um trabalho artesanal e minucioso, principalmente no que diz respeito ao cumprimento das decisões judiciais, pois existe a necessidade, ainda, de manter comunicação com diversos órgãos dentro da estrutura do Estado.</w:t>
      </w:r>
    </w:p>
    <w:p w14:paraId="11571EC5" w14:textId="77777777" w:rsidR="003A2C3C" w:rsidRDefault="00235C05" w:rsidP="00511305">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ter essa característica, o surgimento de uma ação de massa, ou com potencial de se transformar em ações repetitivas, pode prejudicar a rotina de trabalho, com um aumento repentino de volume de processos sem que exista estrutura para corresponder à altura. Essa situação se verificou com a proliferação de ações sobre Imposto de Renda sobre as gratificações de difícil acesso, locomoção e localização.</w:t>
      </w:r>
    </w:p>
    <w:p w14:paraId="11571EC6" w14:textId="77777777" w:rsidR="003A2C3C" w:rsidRDefault="00235C05" w:rsidP="005113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11571EC7" w14:textId="77777777" w:rsidR="003A2C3C" w:rsidRDefault="00235C05" w:rsidP="0051130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 Das ações de Imposto de Renda sobre gratificações de difícil acesso, localização e locomoção</w:t>
      </w:r>
    </w:p>
    <w:p w14:paraId="11571EC8" w14:textId="77777777" w:rsidR="003A2C3C" w:rsidRDefault="003A2C3C" w:rsidP="00511305">
      <w:pPr>
        <w:spacing w:line="360" w:lineRule="auto"/>
        <w:jc w:val="both"/>
        <w:rPr>
          <w:rFonts w:ascii="Times New Roman" w:eastAsia="Times New Roman" w:hAnsi="Times New Roman" w:cs="Times New Roman"/>
          <w:b/>
          <w:sz w:val="24"/>
          <w:szCs w:val="24"/>
        </w:rPr>
      </w:pPr>
    </w:p>
    <w:p w14:paraId="11571EC9" w14:textId="77777777" w:rsidR="003A2C3C" w:rsidRDefault="00235C05" w:rsidP="005113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As ações que envolvem a não incidência de imposto de renda sobre as gratificações de difícil acesso, locomoção e localização existem pelo menos desde 2009, porém foi a partir de 2021 que elas ganharam corpo. Entretanto, em 2022, deixaram de ser uma ação rotineira e passaram a representar a matéria com o maior volume dentro do Núcleo Outros Tributos.</w:t>
      </w:r>
    </w:p>
    <w:p w14:paraId="11571ECA" w14:textId="77777777" w:rsidR="003A2C3C" w:rsidRDefault="00235C05" w:rsidP="005113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A gratificação de difícil acesso está prevista no </w:t>
      </w:r>
      <w:r>
        <w:rPr>
          <w:rFonts w:ascii="Times New Roman" w:eastAsia="Times New Roman" w:hAnsi="Times New Roman" w:cs="Times New Roman"/>
          <w:i/>
          <w:sz w:val="24"/>
          <w:szCs w:val="24"/>
        </w:rPr>
        <w:t>caput</w:t>
      </w:r>
      <w:r>
        <w:rPr>
          <w:rFonts w:ascii="Times New Roman" w:eastAsia="Times New Roman" w:hAnsi="Times New Roman" w:cs="Times New Roman"/>
          <w:sz w:val="24"/>
          <w:szCs w:val="24"/>
        </w:rPr>
        <w:t xml:space="preserve"> e §1º do art. 31 da Lei nº 11.329/96 - o Estatuto do Magistério Público de Pré-Escolar, Ensino Fundamental e Ensino Médio do Estado de Pernambuco - e, assim como as demais gratificações, são vantagens pecuniárias garantidas aos professores da rede pública de ensino.</w:t>
      </w:r>
    </w:p>
    <w:p w14:paraId="11571ECB" w14:textId="77777777" w:rsidR="003A2C3C" w:rsidRDefault="00235C05" w:rsidP="005113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A gratificação de difícil acesso, no percentual de 40% (quarenta por cento) sobre o vencimento base, é assegurada ao professor lotado em escolas situadas em locais definidos como de difícil acesso, sendo aquelas não servidas por transporte coletivo ou localizadas em áreas íngremes ou em logradouros distantes em mais de 1,5 km (um quilômetro e meio) dos corredores e vias de transporte coletivo.</w:t>
      </w:r>
    </w:p>
    <w:p w14:paraId="11571ECC" w14:textId="77777777" w:rsidR="003A2C3C" w:rsidRDefault="00235C05" w:rsidP="005113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De outro modo, a gratificação de locomoção, inicialmente prevista no §2º do art. 31 da Lei nº 11.329/96, passou a ser regulamentada pelo art. 4ª da Lei Complementar nº 85/2006.</w:t>
      </w:r>
    </w:p>
    <w:p w14:paraId="11571ECD" w14:textId="77777777" w:rsidR="003A2C3C" w:rsidRDefault="00235C05" w:rsidP="00511305">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Pr>
          <w:rFonts w:ascii="Times New Roman" w:eastAsia="Times New Roman" w:hAnsi="Times New Roman" w:cs="Times New Roman"/>
          <w:i/>
          <w:sz w:val="24"/>
          <w:szCs w:val="24"/>
        </w:rPr>
        <w:t>caput</w:t>
      </w:r>
      <w:r>
        <w:rPr>
          <w:rFonts w:ascii="Times New Roman" w:eastAsia="Times New Roman" w:hAnsi="Times New Roman" w:cs="Times New Roman"/>
          <w:sz w:val="24"/>
          <w:szCs w:val="24"/>
        </w:rPr>
        <w:t xml:space="preserve"> do art. 4º da Lei Complementar nº 85/2006 concede gratificação - também no percentual de 40% do vencimento base, assim como na de difícil acesso - aos professores lotados e com exercício na Secretaria de Educação, que necessitem de transporte coletivo regular para locomoção diária, e residam em Município diverso daquele onde estiverem localizados ou, ainda, quando a sua localização se dê em Distrito dentro do próprio Município onde residam.</w:t>
      </w:r>
    </w:p>
    <w:p w14:paraId="11571ECE" w14:textId="77777777" w:rsidR="003A2C3C" w:rsidRDefault="00235C05" w:rsidP="00511305">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fim, a gratificação de localização especial, representando um quantitativo menor de ações em trâmite no Núcleo, estava prevista inicialmente pelo art. 3º, I, alíneas “a” e “b” da Lei nº 12.965/2005. A Lei nº 12.965/2005 foi revogada pela Lei Complementar nº 125/2008, Lei de Educação Integral, e a gratificação de localização especial passou a ser tratada pelo §4º do art. 5º.</w:t>
      </w:r>
    </w:p>
    <w:p w14:paraId="11571ECF" w14:textId="77777777" w:rsidR="003A2C3C" w:rsidRDefault="00235C05" w:rsidP="00511305">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seguida, o §4º do art. 5º foi revogado pela Lei Complementar nº 485/2022, que passou a disciplinar em seu art. 1º que os professores participantes do Programa de Educação Integral, lotados exclusivamente nas unidades escolares, farão jus à gratificação de localização especial.</w:t>
      </w:r>
    </w:p>
    <w:p w14:paraId="11571ED0" w14:textId="77777777" w:rsidR="003A2C3C" w:rsidRDefault="00235C05" w:rsidP="00511305">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rápida síntese, sem a pretensão de detalhar os argumentos de ambas as partes, os autores defendem que essas gratificações apresentam natureza indenizatória, por ser uma compensação aos profissionais que atuam em situações excepcionais, o que não permitiria incidir o art. 43, I, do CTN.</w:t>
      </w:r>
    </w:p>
    <w:p w14:paraId="11571ED1" w14:textId="77777777" w:rsidR="003A2C3C" w:rsidRDefault="00235C05" w:rsidP="00511305">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outro lado, a Fazenda Pública sustenta que as gratificações são parcelas remuneratórias de estímulos aos professores que optam por uma lotação distante ou com pior estrutura e, portanto, há a presença do fato gerador do imposto de renda.</w:t>
      </w:r>
    </w:p>
    <w:p w14:paraId="11571ED2" w14:textId="77777777" w:rsidR="003A2C3C" w:rsidRDefault="00235C05" w:rsidP="00511305">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mérito da discussão, se as gratificações possuem natureza indenizatória ou remuneratória, não vem ao caso neste momento, ficará para o Judiciário definir. O que importa neste estudo é compreender o impacto que o crescimento acelerado dessa demanda representou ao Núcleo Residual do Contencioso Tributário e quais medidas podem ser tomadas para qualificar a defesa do Estado.</w:t>
      </w:r>
    </w:p>
    <w:p w14:paraId="11571ED3" w14:textId="77777777" w:rsidR="003A2C3C" w:rsidRDefault="00235C05" w:rsidP="00511305">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razão dos efeitos desse crescimento, fez-se necessário empreender na coleta e processamento das informações que o Estado já dispõe sobre esses processos, em um banco de dados de fácil manuseio e alimentação por operadores do direito, em especial pelos próprios Procuradores do Estado de Pernambuco que atuam e que venham a atuar nessas ações.</w:t>
      </w:r>
    </w:p>
    <w:p w14:paraId="11571ED4" w14:textId="77777777" w:rsidR="003A2C3C" w:rsidRDefault="00235C05" w:rsidP="005113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571ED5" w14:textId="77777777" w:rsidR="003A2C3C" w:rsidRDefault="00235C05" w:rsidP="0051130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3.3. Da construção de planilhas e de Dashboards: o uso da inteligência artificial como aliada</w:t>
      </w:r>
    </w:p>
    <w:p w14:paraId="11571ED6" w14:textId="77777777" w:rsidR="003A2C3C" w:rsidRDefault="003A2C3C" w:rsidP="00511305">
      <w:pPr>
        <w:spacing w:line="360" w:lineRule="auto"/>
        <w:jc w:val="both"/>
        <w:rPr>
          <w:rFonts w:ascii="Times New Roman" w:eastAsia="Times New Roman" w:hAnsi="Times New Roman" w:cs="Times New Roman"/>
          <w:b/>
          <w:sz w:val="24"/>
          <w:szCs w:val="24"/>
        </w:rPr>
      </w:pPr>
    </w:p>
    <w:p w14:paraId="11571ED7" w14:textId="77777777" w:rsidR="003A2C3C" w:rsidRDefault="00235C05" w:rsidP="0051130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Diante da necessidade em compreender os aspectos que envolviam as demandas de imposto de renda sobre as gratificações de difícil acesso, locomoção e localização, como já foi justificado nos tópicos iniciais, buscou-se reunir os elementos relativos a esses processos em planilha.</w:t>
      </w:r>
    </w:p>
    <w:p w14:paraId="11571ED8" w14:textId="77777777" w:rsidR="003A2C3C" w:rsidRDefault="00235C05" w:rsidP="005113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Pensada para que contivesse os dados essenciais em uma futura análise, foi definida a estrutura das colunas das planilhas, levando-se em consideração as informações que são disponibilizadas pelo Sistema de Automação da Justiça (SAJ)</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 utilizado pela Procuradoria Geral do Estado de Pernambuco desde 2006, com as que seriam necessárias para traçar de maneira adequada o perfil das ações de IR sobre as gratificações dos professores.</w:t>
      </w:r>
    </w:p>
    <w:p w14:paraId="11571ED9" w14:textId="77777777" w:rsidR="003A2C3C" w:rsidRDefault="00235C05" w:rsidP="00511305">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planilha, portanto, foi estruturada para conter 3 (três) colunas principais e 17 (dezessete) colunas específicas. As colunas principais armazenam informações básicas do processo, das decisões de tutela provisória e de mérito, sendo nomeadas como 1. Informações Básicas, 2. Tutela de Urgência e 3. Mérito, cada uma subdividida nas seguintes colunas específicas:</w:t>
      </w:r>
    </w:p>
    <w:p w14:paraId="11571EDA" w14:textId="77777777" w:rsidR="003A2C3C" w:rsidRDefault="00235C05" w:rsidP="00511305">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571EDB" w14:textId="77777777" w:rsidR="003A2C3C" w:rsidRDefault="00235C05" w:rsidP="00511305">
      <w:pPr>
        <w:spacing w:line="360" w:lineRule="auto"/>
        <w:ind w:left="254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Informações básicas:  Nosso número (identificação do processo no SAJ), Nº Processo, Assunto no SAJ, Gratificações, Comarca e Juízo de 1º grau;</w:t>
      </w:r>
    </w:p>
    <w:p w14:paraId="11571EDC" w14:textId="77777777" w:rsidR="003A2C3C" w:rsidRDefault="00235C05" w:rsidP="00511305">
      <w:pPr>
        <w:spacing w:line="360" w:lineRule="auto"/>
        <w:ind w:left="254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Tutela de Urgência: Especificidade despacho ou decisão interlocutória, Magistrado que concedeu a liminar, Interposto </w:t>
      </w:r>
      <w:proofErr w:type="gramStart"/>
      <w:r>
        <w:rPr>
          <w:rFonts w:ascii="Times New Roman" w:eastAsia="Times New Roman" w:hAnsi="Times New Roman" w:cs="Times New Roman"/>
          <w:sz w:val="24"/>
          <w:szCs w:val="24"/>
        </w:rPr>
        <w:t>Recurso?,</w:t>
      </w:r>
      <w:proofErr w:type="gramEnd"/>
      <w:r>
        <w:rPr>
          <w:rFonts w:ascii="Times New Roman" w:eastAsia="Times New Roman" w:hAnsi="Times New Roman" w:cs="Times New Roman"/>
          <w:sz w:val="24"/>
          <w:szCs w:val="24"/>
        </w:rPr>
        <w:t xml:space="preserve"> Número do recurso, Juízo de 2º grau do recurso, Especificidade despacho/decisão/acórdão;</w:t>
      </w:r>
    </w:p>
    <w:p w14:paraId="11571EDD" w14:textId="77777777" w:rsidR="003A2C3C" w:rsidRDefault="00235C05" w:rsidP="00511305">
      <w:pPr>
        <w:spacing w:line="360" w:lineRule="auto"/>
        <w:ind w:left="254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Mérito: Proferida </w:t>
      </w:r>
      <w:proofErr w:type="gramStart"/>
      <w:r>
        <w:rPr>
          <w:rFonts w:ascii="Times New Roman" w:eastAsia="Times New Roman" w:hAnsi="Times New Roman" w:cs="Times New Roman"/>
          <w:sz w:val="24"/>
          <w:szCs w:val="24"/>
        </w:rPr>
        <w:t>sentença?,</w:t>
      </w:r>
      <w:proofErr w:type="gramEnd"/>
      <w:r>
        <w:rPr>
          <w:rFonts w:ascii="Times New Roman" w:eastAsia="Times New Roman" w:hAnsi="Times New Roman" w:cs="Times New Roman"/>
          <w:sz w:val="24"/>
          <w:szCs w:val="24"/>
        </w:rPr>
        <w:t xml:space="preserve"> Especificidade da sentença, Interposta apelação/recurso inominado?, Juízo de 2ª grau da apelação/recurso inominado, Especificidade do despacho/decisão/acórdão.</w:t>
      </w:r>
    </w:p>
    <w:p w14:paraId="11571EDE" w14:textId="77777777" w:rsidR="003A2C3C" w:rsidRDefault="00235C05" w:rsidP="00511305">
      <w:pPr>
        <w:spacing w:line="360" w:lineRule="auto"/>
        <w:ind w:left="2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571EDF" w14:textId="77777777" w:rsidR="003A2C3C" w:rsidRDefault="00235C05" w:rsidP="00511305">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Após a definição das colunas e, por consequência, da natureza das informações que seriam compiladas na planilha, iniciou-se a extração dos dados obtidos do SAJ</w:t>
      </w:r>
      <w:r>
        <w:rPr>
          <w:rFonts w:ascii="Times New Roman" w:eastAsia="Times New Roman" w:hAnsi="Times New Roman" w:cs="Times New Roman"/>
          <w:sz w:val="24"/>
          <w:szCs w:val="24"/>
          <w:vertAlign w:val="superscript"/>
        </w:rPr>
        <w:footnoteReference w:id="31"/>
      </w:r>
      <w:r>
        <w:rPr>
          <w:rFonts w:ascii="Times New Roman" w:eastAsia="Times New Roman" w:hAnsi="Times New Roman" w:cs="Times New Roman"/>
          <w:sz w:val="24"/>
          <w:szCs w:val="24"/>
        </w:rPr>
        <w:t>, de acordo com o fluxo a seguir:</w:t>
      </w:r>
    </w:p>
    <w:p w14:paraId="11571EE0" w14:textId="77777777" w:rsidR="003A2C3C" w:rsidRDefault="00235C05" w:rsidP="00511305">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571EE1" w14:textId="77777777" w:rsidR="003A2C3C" w:rsidRDefault="00235C05" w:rsidP="00511305">
      <w:pPr>
        <w:spacing w:line="360" w:lineRule="auto"/>
        <w:ind w:left="254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Na tela inicial do sistema SAJ, no Menu principal, na Guia Consultas, clicou-se em Consulta de Processos Judiciais;</w:t>
      </w:r>
    </w:p>
    <w:p w14:paraId="11571EE2" w14:textId="77777777" w:rsidR="003A2C3C" w:rsidRDefault="00235C05" w:rsidP="00511305">
      <w:pPr>
        <w:spacing w:line="360" w:lineRule="auto"/>
        <w:ind w:left="254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Após a abertura da tela de pesquisa, na aba Processos Judiciais, na seção Geral, preencheu-se o campo Área do processo com “Contencioso Tributário”, em referência ao Setor de tramitação das ações em análise no âmbito da PGE/PE.;</w:t>
      </w:r>
    </w:p>
    <w:p w14:paraId="11571EE3" w14:textId="77777777" w:rsidR="003A2C3C" w:rsidRDefault="00235C05" w:rsidP="00511305">
      <w:pPr>
        <w:spacing w:line="360" w:lineRule="auto"/>
        <w:ind w:left="254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Em seguida, no campo Assunto, foi utilizado o “item 3.16 – IR – imposto de renda e o subitem 3.16.9 – gratificações – não incidência”;</w:t>
      </w:r>
    </w:p>
    <w:p w14:paraId="11571EE4" w14:textId="77777777" w:rsidR="003A2C3C" w:rsidRDefault="00235C05" w:rsidP="00511305">
      <w:pPr>
        <w:spacing w:line="360" w:lineRule="auto"/>
        <w:ind w:left="254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No campo Chefia, preencheu-se com “Contencioso Tributário”;</w:t>
      </w:r>
    </w:p>
    <w:p w14:paraId="11571EE5" w14:textId="77777777" w:rsidR="003A2C3C" w:rsidRDefault="00235C05" w:rsidP="00511305">
      <w:pPr>
        <w:spacing w:line="360" w:lineRule="auto"/>
        <w:ind w:left="254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Na seção Judicial, no campo Tribunal, colocou-se “Justiça Estadual – 1º Grau – PE, para selecionar os processos que tramitaram na 1ª instância do TJPE.;</w:t>
      </w:r>
    </w:p>
    <w:p w14:paraId="11571EE6" w14:textId="77777777" w:rsidR="003A2C3C" w:rsidRDefault="00235C05" w:rsidP="00511305">
      <w:pPr>
        <w:spacing w:line="360" w:lineRule="auto"/>
        <w:ind w:left="254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 campo Órgão Judicial, preenchido em seguida, permite escolher qual a comarca a ser consultada. No caso do estudo em questão, foram buscados processos em trâmite em todo o Estado, de modo que não era necessário preencher o campo;</w:t>
      </w:r>
    </w:p>
    <w:p w14:paraId="11571EE7" w14:textId="77777777" w:rsidR="003A2C3C" w:rsidRDefault="00235C05" w:rsidP="00511305">
      <w:pPr>
        <w:spacing w:line="360" w:lineRule="auto"/>
        <w:ind w:left="254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Ao final, preenchidos os campos citados, foi dado o comando “Consultar”, obtendo na aba Resultado os processos que tramitam nas comarcas de Recife, Paulista, Olinda, Camaragibe, Jaboatão dos Guararapes, Limoeiro, Cabo de Santo Agostinho e Arcoverde;</w:t>
      </w:r>
    </w:p>
    <w:p w14:paraId="11571EE8" w14:textId="77777777" w:rsidR="003A2C3C" w:rsidRDefault="00235C05" w:rsidP="00511305">
      <w:pPr>
        <w:spacing w:line="360" w:lineRule="auto"/>
        <w:ind w:left="254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O SAJ permite que a pesquisa seja exportada para o Excel, gerando um arquivo de planilha no formato .xlsx, por meio de um botão nativo, o que foi realizado.</w:t>
      </w:r>
    </w:p>
    <w:p w14:paraId="11571EE9" w14:textId="77777777" w:rsidR="003A2C3C" w:rsidRDefault="00235C05" w:rsidP="00511305">
      <w:pPr>
        <w:spacing w:line="360" w:lineRule="auto"/>
        <w:ind w:left="10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571EEA" w14:textId="77777777" w:rsidR="003A2C3C" w:rsidRDefault="00235C05" w:rsidP="00511305">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Antes de avançar no manuseio da planilha, por cautela, para não comprometer o resultado da análise, buscou-se verificar se os processos encontrados na consulta diziam realmente respeito às gratificações de difícil acesso, locomoção e localização, pois poderia haver algum erro de cadastro. Apesar da medida adotada, não foram encontrados resultados relevantes.</w:t>
      </w:r>
    </w:p>
    <w:p w14:paraId="11571EEB" w14:textId="77777777" w:rsidR="003A2C3C" w:rsidRDefault="00235C05" w:rsidP="00511305">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Ao ser gerado o arquivo, finalizada a consulta ao Sistema, acrescentou-se as colunas definidas anteriormente, mas que não podiam ser geradas automaticamente pelo SAJ, a exemplo das colunas “Magistrado que concedeu a liminar” e “especificidade do despacho/decisão/acórdão”.</w:t>
      </w:r>
    </w:p>
    <w:p w14:paraId="11571EEC" w14:textId="77777777" w:rsidR="003A2C3C" w:rsidRDefault="00235C05" w:rsidP="00511305">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Após a criação da planilha com os dados do SAJ e a complementação das informações, deu-se início à etapa de análise das decisões judiciais, nova fase com trabalho artesanal, por ser </w:t>
      </w:r>
      <w:r>
        <w:rPr>
          <w:rFonts w:ascii="Times New Roman" w:eastAsia="Times New Roman" w:hAnsi="Times New Roman" w:cs="Times New Roman"/>
          <w:sz w:val="24"/>
          <w:szCs w:val="24"/>
        </w:rPr>
        <w:lastRenderedPageBreak/>
        <w:t>imprescindível verificar cada decisão, objetivando identificar se o julgado era favorável ou desfavorável ao Estado e se havia alguma peculiaridade</w:t>
      </w:r>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w:t>
      </w:r>
    </w:p>
    <w:p w14:paraId="11571EED" w14:textId="77777777" w:rsidR="003A2C3C" w:rsidRDefault="00235C05" w:rsidP="00511305">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 a análise das decisões de tutela provisória e de mérito, tanto no 1º grau quanto no âmbito do Tribunal de Justiça, foi possível incluir na planilha a posição dos Juízos sobre cada processo, se favorável ou desfavorável ao Estado, para possibilitar avançar na análise quantitativa.</w:t>
      </w:r>
    </w:p>
    <w:p w14:paraId="11571EEE" w14:textId="77777777" w:rsidR="003A2C3C" w:rsidRDefault="00235C05" w:rsidP="00511305">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Ao finalizar essa etapa, deve-se ter atenção para um ponto importante. É preciso que os dados inseridos sobre o teor das decisões estejam padronizados, ou seja, que exista uma uniformização de como é descrita uma decisão com o mesmo teor de outra.</w:t>
      </w:r>
    </w:p>
    <w:p w14:paraId="11571EEF" w14:textId="77777777" w:rsidR="003A2C3C" w:rsidRDefault="00235C05" w:rsidP="00511305">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título de exemplo, se uma decisão intitulada “favorável ao Estado” tem essencialmente o mesmo comando que uma decisão nomeada como “desfavorável ao autor”, elas devem ser classificadas e descritas da mesma maneira, apenas de um jeito ou de outro, pois, caso contrário, ao passar para a análise de dados, teremos a reunião dessas decisões em grupos distintos, ainda que representem essencialmente a mesma informação, prejudicando os números obtidos. O mesmo pode acontecer com os casos de “recurso não acolhido” e “recurso desprovido”.</w:t>
      </w:r>
    </w:p>
    <w:p w14:paraId="11571EF0" w14:textId="77777777" w:rsidR="003A2C3C" w:rsidRDefault="00235C05" w:rsidP="00511305">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Desse modo, depois de concluída a alimentação dos dados na planilha, passou-se à fase de depuração, no intuito de classificar de uma mesma forma as decisões com idêntico teor e sentido, bem como para corrigir erros de digitação, também capaz de gerar duplicidades e prejudicar o resultado.</w:t>
      </w:r>
    </w:p>
    <w:p w14:paraId="11571EF1" w14:textId="77777777" w:rsidR="003A2C3C" w:rsidRDefault="00235C05" w:rsidP="00511305">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571EF2" w14:textId="77777777" w:rsidR="003A2C3C" w:rsidRDefault="00235C05" w:rsidP="0051130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3.4. Análise de dados a partir de Dashboards: ainda acerca do uso da inteligência artificial como aliada</w:t>
      </w:r>
    </w:p>
    <w:p w14:paraId="11571EF3" w14:textId="77777777" w:rsidR="003A2C3C" w:rsidRDefault="00235C05" w:rsidP="0051130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1571EF4" w14:textId="77777777" w:rsidR="003A2C3C" w:rsidRDefault="00235C05" w:rsidP="005113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Com a planilha estruturada e alimentada com as informações extraídas do SAJ e da análise pormenorizada das decisões, passou-se a estudar qual seria o melhor instrumento para fazer a análise dos dados coletados: se por meio do Excel, o software da Microsoft utilizado para a criação da planilha, ou se haveria a migração das informações para algum sistema específico de bancos de dados. No caso da migração, cogitou-se duas possibilidades: utilizar a linguagem R</w:t>
      </w:r>
      <w:r>
        <w:rPr>
          <w:rFonts w:ascii="Times New Roman" w:eastAsia="Times New Roman" w:hAnsi="Times New Roman" w:cs="Times New Roman"/>
          <w:sz w:val="24"/>
          <w:szCs w:val="24"/>
          <w:vertAlign w:val="superscript"/>
        </w:rPr>
        <w:footnoteReference w:id="33"/>
      </w:r>
      <w:r>
        <w:rPr>
          <w:rFonts w:ascii="Times New Roman" w:eastAsia="Times New Roman" w:hAnsi="Times New Roman" w:cs="Times New Roman"/>
          <w:sz w:val="24"/>
          <w:szCs w:val="24"/>
        </w:rPr>
        <w:t xml:space="preserve"> para construir um dashboard ou utilizar o programa Microsoft Power BI.</w:t>
      </w:r>
    </w:p>
    <w:p w14:paraId="11571EF5" w14:textId="77777777" w:rsidR="003A2C3C" w:rsidRDefault="00235C05" w:rsidP="005113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A criação de dashboards pela linguagem R seria vantajoso porque é gratuito, com ampla possibilidade de personalização dos campos e gráficos, e possui uma grande base de usuários, o que resulta em vasta quantidade de informação disponível na internet, para ajudar no uso e no aprendizado da linguagem</w:t>
      </w:r>
      <w:r>
        <w:rPr>
          <w:rFonts w:ascii="Times New Roman" w:eastAsia="Times New Roman" w:hAnsi="Times New Roman" w:cs="Times New Roman"/>
          <w:sz w:val="24"/>
          <w:szCs w:val="24"/>
          <w:vertAlign w:val="superscript"/>
        </w:rPr>
        <w:footnoteReference w:id="34"/>
      </w:r>
      <w:r>
        <w:rPr>
          <w:rFonts w:ascii="Times New Roman" w:eastAsia="Times New Roman" w:hAnsi="Times New Roman" w:cs="Times New Roman"/>
          <w:sz w:val="24"/>
          <w:szCs w:val="24"/>
        </w:rPr>
        <w:t xml:space="preserve">. Entretanto, a curva de aprendizado pode ser um pouco </w:t>
      </w:r>
      <w:proofErr w:type="gramStart"/>
      <w:r>
        <w:rPr>
          <w:rFonts w:ascii="Times New Roman" w:eastAsia="Times New Roman" w:hAnsi="Times New Roman" w:cs="Times New Roman"/>
          <w:sz w:val="24"/>
          <w:szCs w:val="24"/>
        </w:rPr>
        <w:t>íngreme</w:t>
      </w:r>
      <w:proofErr w:type="gramEnd"/>
      <w:r>
        <w:rPr>
          <w:rFonts w:ascii="Times New Roman" w:eastAsia="Times New Roman" w:hAnsi="Times New Roman" w:cs="Times New Roman"/>
          <w:sz w:val="24"/>
          <w:szCs w:val="24"/>
        </w:rPr>
        <w:t xml:space="preserve"> no início, principalmente para os que não têm familiaridade com outras linguagens ou com a utilização de linhas de comandos para a realização das operações</w:t>
      </w:r>
      <w:r>
        <w:rPr>
          <w:rFonts w:ascii="Times New Roman" w:eastAsia="Times New Roman" w:hAnsi="Times New Roman" w:cs="Times New Roman"/>
          <w:sz w:val="24"/>
          <w:szCs w:val="24"/>
          <w:vertAlign w:val="superscript"/>
        </w:rPr>
        <w:footnoteReference w:id="35"/>
      </w:r>
      <w:r>
        <w:rPr>
          <w:rFonts w:ascii="Times New Roman" w:eastAsia="Times New Roman" w:hAnsi="Times New Roman" w:cs="Times New Roman"/>
          <w:sz w:val="24"/>
          <w:szCs w:val="24"/>
        </w:rPr>
        <w:t>.</w:t>
      </w:r>
    </w:p>
    <w:p w14:paraId="11571EF6" w14:textId="77777777" w:rsidR="003A2C3C" w:rsidRDefault="00235C05" w:rsidP="0051130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outro modo, o software Power BI</w:t>
      </w:r>
      <w:r>
        <w:rPr>
          <w:rFonts w:ascii="Times New Roman" w:eastAsia="Times New Roman" w:hAnsi="Times New Roman" w:cs="Times New Roman"/>
          <w:sz w:val="24"/>
          <w:szCs w:val="24"/>
          <w:vertAlign w:val="superscript"/>
        </w:rPr>
        <w:footnoteReference w:id="36"/>
      </w:r>
      <w:r>
        <w:rPr>
          <w:rFonts w:ascii="Times New Roman" w:eastAsia="Times New Roman" w:hAnsi="Times New Roman" w:cs="Times New Roman"/>
          <w:sz w:val="24"/>
          <w:szCs w:val="24"/>
        </w:rPr>
        <w:t xml:space="preserve"> é largamente utilizado no mercado para a criação de painéis e haveria uma integração nativa com o Excel, facilitando a migração dos dados. O Power BI é uma ferramenta mais intuitiva em comparação com o R, contudo, é um programa pago, fator importante de limitação no contexto da Administração Pública.</w:t>
      </w:r>
    </w:p>
    <w:p w14:paraId="11571EF7" w14:textId="77777777" w:rsidR="003A2C3C" w:rsidRDefault="00235C05" w:rsidP="005113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Durante a pesquisa sobre qual a melhor ferramenta para a construção dos painéis, a inteligência artificial foi decisiva para a definição.  Para determinar a melhor opção, perante o cenário desenhado, o ChatGPT</w:t>
      </w:r>
      <w:r>
        <w:rPr>
          <w:rFonts w:ascii="Times New Roman" w:eastAsia="Times New Roman" w:hAnsi="Times New Roman" w:cs="Times New Roman"/>
          <w:sz w:val="24"/>
          <w:szCs w:val="24"/>
          <w:vertAlign w:val="superscript"/>
        </w:rPr>
        <w:footnoteReference w:id="37"/>
      </w:r>
      <w:r>
        <w:rPr>
          <w:rFonts w:ascii="Times New Roman" w:eastAsia="Times New Roman" w:hAnsi="Times New Roman" w:cs="Times New Roman"/>
          <w:sz w:val="24"/>
          <w:szCs w:val="24"/>
        </w:rPr>
        <w:t>, uma ferramenta desenvolvida pela OpenIA, foi consultado para opinar qual das três opções seria a mais adequada para a análise dos dados coletados.</w:t>
      </w:r>
    </w:p>
    <w:p w14:paraId="11571EF8" w14:textId="77777777" w:rsidR="003A2C3C" w:rsidRDefault="00235C05" w:rsidP="00511305">
      <w:pPr>
        <w:spacing w:line="360" w:lineRule="auto"/>
        <w:jc w:val="both"/>
        <w:rPr>
          <w:rFonts w:ascii="Times New Roman" w:eastAsia="Times New Roman" w:hAnsi="Times New Roman" w:cs="Times New Roman"/>
          <w:color w:val="1155CC"/>
          <w:sz w:val="24"/>
          <w:szCs w:val="24"/>
          <w:u w:val="single"/>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ab/>
      </w:r>
      <w:r>
        <w:rPr>
          <w:rFonts w:ascii="Times New Roman" w:eastAsia="Times New Roman" w:hAnsi="Times New Roman" w:cs="Times New Roman"/>
          <w:sz w:val="24"/>
          <w:szCs w:val="24"/>
        </w:rPr>
        <w:t>Ao iniciar o diálogo e passar o contexto da análise de dados, ChatGPT utilizou-se o seguinte prompt</w:t>
      </w:r>
      <w:r>
        <w:rPr>
          <w:rFonts w:ascii="Times New Roman" w:eastAsia="Times New Roman" w:hAnsi="Times New Roman" w:cs="Times New Roman"/>
          <w:sz w:val="24"/>
          <w:szCs w:val="24"/>
          <w:vertAlign w:val="superscript"/>
        </w:rPr>
        <w:footnoteReference w:id="38"/>
      </w:r>
      <w:r>
        <w:rPr>
          <w:rFonts w:ascii="Times New Roman" w:eastAsia="Times New Roman" w:hAnsi="Times New Roman" w:cs="Times New Roman"/>
          <w:sz w:val="24"/>
          <w:szCs w:val="24"/>
        </w:rPr>
        <w:t>:</w:t>
      </w:r>
    </w:p>
    <w:p w14:paraId="11571EF9" w14:textId="77777777" w:rsidR="003A2C3C" w:rsidRDefault="00235C05" w:rsidP="005113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571EFA" w14:textId="77777777" w:rsidR="003A2C3C" w:rsidRDefault="00235C05" w:rsidP="00511305">
      <w:pPr>
        <w:spacing w:line="360" w:lineRule="auto"/>
        <w:ind w:left="2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 base nas informações anteriores, considere que tenham sido reunidas em uma planilha do Excel os dados mais importantes sobre os processos envolvendo imposto de renda sobre as gratificações de difícil acesso, </w:t>
      </w:r>
      <w:r>
        <w:rPr>
          <w:rFonts w:ascii="Times New Roman" w:eastAsia="Times New Roman" w:hAnsi="Times New Roman" w:cs="Times New Roman"/>
          <w:sz w:val="24"/>
          <w:szCs w:val="24"/>
        </w:rPr>
        <w:lastRenderedPageBreak/>
        <w:t>locomoção e localização. Qual seria a ferramenta que o ChatGPT poderia mais ajudar tirando dúvidas e dando orientações para a criação de dashboards: Excel, Linguagem R ou Power BI?</w:t>
      </w:r>
    </w:p>
    <w:p w14:paraId="11571EFB" w14:textId="77777777" w:rsidR="003A2C3C" w:rsidRDefault="00235C05" w:rsidP="00511305">
      <w:pPr>
        <w:spacing w:line="360" w:lineRule="auto"/>
        <w:ind w:left="2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571EFC" w14:textId="77777777" w:rsidR="003A2C3C" w:rsidRDefault="00235C05" w:rsidP="005113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Em resposta ao comando, o ChatGPT informou o seguinte:</w:t>
      </w:r>
    </w:p>
    <w:p w14:paraId="11571EFD" w14:textId="77777777" w:rsidR="003A2C3C" w:rsidRDefault="00235C05" w:rsidP="00511305">
      <w:pPr>
        <w:spacing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p w14:paraId="11571EFE" w14:textId="77777777" w:rsidR="003A2C3C" w:rsidRDefault="00235C05" w:rsidP="00511305">
      <w:pPr>
        <w:spacing w:line="360" w:lineRule="auto"/>
        <w:ind w:left="2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 base nas informações fornecidas, o ChatGPT pode mais ajudar tirando dúvidas e dando orientações para a criação de dashboards no Excel.</w:t>
      </w:r>
    </w:p>
    <w:p w14:paraId="11571EFF" w14:textId="77777777" w:rsidR="003A2C3C" w:rsidRDefault="00235C05" w:rsidP="00511305">
      <w:pPr>
        <w:spacing w:line="360" w:lineRule="auto"/>
        <w:ind w:left="2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Excel é uma ferramenta amplamente utilizada para a criação de dashboards e relatórios, especialmente quando se trabalha com dados tabulares e análises mais simples. Ele oferece recursos e funcionalidades que permitem criar visualizações gráficas, tabelas dinâmicas e gráficos, tornando-o uma opção acessível e familiar para muitos usuários.</w:t>
      </w:r>
    </w:p>
    <w:p w14:paraId="11571F00" w14:textId="77777777" w:rsidR="003A2C3C" w:rsidRDefault="00235C05" w:rsidP="00511305">
      <w:pPr>
        <w:spacing w:line="360" w:lineRule="auto"/>
        <w:ind w:left="2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Embora a Linguagem R e o Power BI também sejam úteis para criar dashboards e análises mais complexas, eles requerem um nível mais avançado de conhecimento técnico. A Linguagem R é uma linguagem de programação estatística, enquanto o Power BI é uma ferramenta de Business Intelligence da Microsoft que permite a criação de painéis interativos e relatórios baseados em dados.</w:t>
      </w:r>
    </w:p>
    <w:p w14:paraId="11571F01" w14:textId="77777777" w:rsidR="003A2C3C" w:rsidRDefault="00235C05" w:rsidP="00511305">
      <w:pPr>
        <w:spacing w:line="360" w:lineRule="auto"/>
        <w:ind w:left="2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Portanto, se você estiver buscando orientações mais básicas e familiaridade com a criação de dashboards, o ChatGPT pode ser mais útil no contexto do Excel. No entanto, se suas necessidades exigirem análises mais avançadas ou integrações de dados complexas, a Linguagem R e o Power BI podem ser alternativas a serem exploradas.”</w:t>
      </w:r>
    </w:p>
    <w:p w14:paraId="11571F02" w14:textId="77777777" w:rsidR="003A2C3C" w:rsidRDefault="00235C05" w:rsidP="00511305">
      <w:pPr>
        <w:spacing w:line="360" w:lineRule="auto"/>
        <w:ind w:left="2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571F03" w14:textId="77777777" w:rsidR="003A2C3C" w:rsidRDefault="00235C05" w:rsidP="00511305">
      <w:pPr>
        <w:spacing w:line="36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Portanto, com base nas considerações sobre o uso de cada ferramenta e na resposta fornecida pelo ChatGPT, optou-se em fazer a análise dos dados pelo Excel. Em primeiro lugar, por ser o software em que as planilhas já haviam sido criadas e por já haver uma familiaridade maior se comparado às outras duas opções, Linguagem R e Power BI. </w:t>
      </w:r>
    </w:p>
    <w:p w14:paraId="11571F04" w14:textId="77777777" w:rsidR="003A2C3C" w:rsidRDefault="00235C05" w:rsidP="00511305">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Também foi levado em consideração como ponto positivo o fato de o ChatGPT afirmar que poderia ajudar com esclarecimentos e orientações se a análise fosse realizada por meio do Excel, visto que seria natural o aparecimento de dúvidas e problemas - como realmente surgiu e será demonstrado adiante - no decorrer da criação dos painéis.</w:t>
      </w:r>
    </w:p>
    <w:p w14:paraId="11571F05" w14:textId="77777777" w:rsidR="003A2C3C" w:rsidRDefault="00235C05" w:rsidP="005113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Definida a opção pelo Excel, deu-se início à criação do painel integrativo, com a finalidade de analisar, por meio de gráficos, a quantidade de decisões favoráveis e desfavoráveis ao Estado, seja por comarca, por instância ou por natureza provisória ou de mérito.</w:t>
      </w:r>
    </w:p>
    <w:p w14:paraId="11571F06" w14:textId="77777777" w:rsidR="003A2C3C" w:rsidRDefault="00235C05" w:rsidP="00511305">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Assim, criando abas no arquivo que continha a planilha principal, com os dados extraídos do SAJ e posteriormente complementados, construíram-se Tabelas Dinâmicas</w:t>
      </w:r>
      <w:r>
        <w:rPr>
          <w:rFonts w:ascii="Times New Roman" w:eastAsia="Times New Roman" w:hAnsi="Times New Roman" w:cs="Times New Roman"/>
          <w:sz w:val="24"/>
          <w:szCs w:val="24"/>
          <w:vertAlign w:val="superscript"/>
        </w:rPr>
        <w:footnoteReference w:id="39"/>
      </w:r>
      <w:r>
        <w:rPr>
          <w:rFonts w:ascii="Times New Roman" w:eastAsia="Times New Roman" w:hAnsi="Times New Roman" w:cs="Times New Roman"/>
          <w:sz w:val="24"/>
          <w:szCs w:val="24"/>
        </w:rPr>
        <w:t>, estrutura fundamental para a criação dos painéis, por ser a partir delas que é possível elaborar os gráficos para as análises.</w:t>
      </w:r>
    </w:p>
    <w:p w14:paraId="11571F07" w14:textId="77777777" w:rsidR="003A2C3C" w:rsidRDefault="00235C05" w:rsidP="00511305">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Nas tabelas dinâmicas, as Linhas foram reservadas para as gratificações, bem como para as Comarcas e Órgão Julgador do TJPE onde tramitou o processo. Já no campo Colunas, foram colocadas informações sobre especificidade das decisões, se a tutela foi concedida ou se o pedido foi indeferido. Por fim, o campo de Valores foi preenchido com a contagem de decisões, de acordo com o seu conteúdo, conforme a imagem ilustrativa da Tabela Dinâmica das Tutelas Provisórias no 1º Grau:</w:t>
      </w:r>
    </w:p>
    <w:p w14:paraId="11571F08" w14:textId="77777777" w:rsidR="003A2C3C" w:rsidRDefault="00235C05" w:rsidP="00511305">
      <w:pPr>
        <w:spacing w:line="360" w:lineRule="auto"/>
        <w:jc w:val="center"/>
        <w:rPr>
          <w:rFonts w:ascii="Times New Roman" w:eastAsia="Times New Roman" w:hAnsi="Times New Roman" w:cs="Times New Roman"/>
          <w:color w:val="1155CC"/>
          <w:sz w:val="24"/>
          <w:szCs w:val="24"/>
          <w:u w:val="single"/>
        </w:rPr>
      </w:pPr>
      <w:r>
        <w:rPr>
          <w:rFonts w:ascii="Times New Roman" w:eastAsia="Times New Roman" w:hAnsi="Times New Roman" w:cs="Times New Roman"/>
          <w:noProof/>
          <w:sz w:val="24"/>
          <w:szCs w:val="24"/>
        </w:rPr>
        <w:drawing>
          <wp:inline distT="114300" distB="114300" distL="114300" distR="114300" wp14:anchorId="11571F50" wp14:editId="11571F51">
            <wp:extent cx="5857013" cy="2104152"/>
            <wp:effectExtent l="12700" t="12700" r="12700" b="127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5857013" cy="2104152"/>
                    </a:xfrm>
                    <a:prstGeom prst="rect">
                      <a:avLst/>
                    </a:prstGeom>
                    <a:ln w="12700">
                      <a:solidFill>
                        <a:srgbClr val="000000"/>
                      </a:solidFill>
                      <a:prstDash val="solid"/>
                    </a:ln>
                  </pic:spPr>
                </pic:pic>
              </a:graphicData>
            </a:graphic>
          </wp:inline>
        </w:drawing>
      </w:r>
      <w:r>
        <w:rPr>
          <w:rFonts w:ascii="Times New Roman" w:eastAsia="Times New Roman" w:hAnsi="Times New Roman" w:cs="Times New Roman"/>
          <w:sz w:val="24"/>
          <w:szCs w:val="24"/>
          <w:vertAlign w:val="superscript"/>
        </w:rPr>
        <w:footnoteReference w:id="40"/>
      </w:r>
    </w:p>
    <w:p w14:paraId="11571F09" w14:textId="77777777" w:rsidR="003A2C3C" w:rsidRDefault="00235C05" w:rsidP="00511305">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Posteriormente, as decisões judiciais foram elencadas em quatro Grupos de Decisões (Concessão de Tutela Provisória no 1° grau, Concessão da Tutela no 2° grau, Julgamento de Mérito no 1º Grau e Julgamento de Mérito no 2º grau), de maneira que foram confeccionadas Tabelas Dinâmicas para cada Grupo.</w:t>
      </w:r>
    </w:p>
    <w:p w14:paraId="11571F0A" w14:textId="77777777" w:rsidR="003A2C3C" w:rsidRDefault="00235C05" w:rsidP="00511305">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seguida, foram criados gráfico de pizza e gráfico de barras para cada uma das quatro Tabelas Dinâmicas geradas. Para montar a Dashboard e possibilitar a análise dos julgados de cada Juízo, foram inseridas duas segmentações de dados, uma para filtrar por Juízo e outra para analisar a cada gratificação.</w:t>
      </w:r>
    </w:p>
    <w:p w14:paraId="11571F0B" w14:textId="77777777" w:rsidR="003A2C3C" w:rsidRDefault="00235C05" w:rsidP="00511305">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Após a construção das tabelas dinâmicas, o Dashboard foi elaborado a partir de elementos e formas nativas do próprio Excel, destrinchando o painel principal em 4 (quatro) abas, uma para cada Grupo de Decisões, conectados a partir de botões, os quais são capazes de direcionar para o Grupo em sua aba correspondente. </w:t>
      </w:r>
    </w:p>
    <w:p w14:paraId="11571F0C" w14:textId="77777777" w:rsidR="003A2C3C" w:rsidRDefault="00235C05" w:rsidP="00511305">
      <w:pPr>
        <w:spacing w:line="360" w:lineRule="auto"/>
        <w:ind w:firstLine="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Painel Principal:</w:t>
      </w:r>
    </w:p>
    <w:p w14:paraId="11571F0D" w14:textId="77777777" w:rsidR="003A2C3C" w:rsidRDefault="00235C05" w:rsidP="0051130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11571F52" wp14:editId="25409554">
            <wp:extent cx="5501217" cy="2758017"/>
            <wp:effectExtent l="19050" t="19050" r="23495" b="23495"/>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t="6852" b="7235"/>
                    <a:stretch>
                      <a:fillRect/>
                    </a:stretch>
                  </pic:blipFill>
                  <pic:spPr>
                    <a:xfrm>
                      <a:off x="0" y="0"/>
                      <a:ext cx="5508271" cy="2761553"/>
                    </a:xfrm>
                    <a:prstGeom prst="rect">
                      <a:avLst/>
                    </a:prstGeom>
                    <a:ln w="12700">
                      <a:solidFill>
                        <a:srgbClr val="000000"/>
                      </a:solidFill>
                      <a:prstDash val="solid"/>
                    </a:ln>
                  </pic:spPr>
                </pic:pic>
              </a:graphicData>
            </a:graphic>
          </wp:inline>
        </w:drawing>
      </w:r>
    </w:p>
    <w:p w14:paraId="477224B8" w14:textId="77777777" w:rsidR="00511305" w:rsidRDefault="00235C05" w:rsidP="00511305">
      <w:pPr>
        <w:spacing w:line="360" w:lineRule="auto"/>
        <w:ind w:firstLine="1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Painel de Grupo de Decisões – Concessão de Tutela Provisória no 1° grau:</w:t>
      </w:r>
    </w:p>
    <w:p w14:paraId="11571F0F" w14:textId="35959B43" w:rsidR="003A2C3C" w:rsidRDefault="00235C05" w:rsidP="0051130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11571F54" wp14:editId="4A1B663E">
            <wp:extent cx="5501216" cy="3088217"/>
            <wp:effectExtent l="19050" t="19050" r="23495" b="17145"/>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4081" b="5152"/>
                    <a:stretch>
                      <a:fillRect/>
                    </a:stretch>
                  </pic:blipFill>
                  <pic:spPr>
                    <a:xfrm>
                      <a:off x="0" y="0"/>
                      <a:ext cx="5518833" cy="3098107"/>
                    </a:xfrm>
                    <a:prstGeom prst="rect">
                      <a:avLst/>
                    </a:prstGeom>
                    <a:ln w="12700">
                      <a:solidFill>
                        <a:srgbClr val="000000"/>
                      </a:solidFill>
                      <a:prstDash val="solid"/>
                    </a:ln>
                  </pic:spPr>
                </pic:pic>
              </a:graphicData>
            </a:graphic>
          </wp:inline>
        </w:drawing>
      </w:r>
    </w:p>
    <w:p w14:paraId="11571F10" w14:textId="77777777" w:rsidR="003A2C3C" w:rsidRDefault="00235C05" w:rsidP="005113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Como já antecipado, o ChatGPT, em sua versão gratuita, foi utilizado para solucionar alguns problemas que apareceram ao longo da construção do Dashboard, sendo esse, inclusive, um dos critérios utilizados para a escolha do Excel como plataforma de manejo dos dados levantados.</w:t>
      </w:r>
    </w:p>
    <w:p w14:paraId="11571F11" w14:textId="77777777" w:rsidR="003A2C3C" w:rsidRDefault="00235C05" w:rsidP="00511305">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experiência em esclarecer dúvidas simples e pontuais com a plataforma da OpenAI foi positiva, como no caso do alinhamento dos ícones no painel, contudo, para obstáculos mais complexos, como a uniformização das cores nas legendas dos gráficos filtrados pela segmentação de dados, o ChatGPT apresentar respostas imprecisas e até criou soluções que inexistem no Excel, resultados fictícios, chamados de alucinações</w:t>
      </w:r>
      <w:r>
        <w:rPr>
          <w:rFonts w:ascii="Times New Roman" w:eastAsia="Times New Roman" w:hAnsi="Times New Roman" w:cs="Times New Roman"/>
          <w:sz w:val="24"/>
          <w:szCs w:val="24"/>
          <w:vertAlign w:val="superscript"/>
        </w:rPr>
        <w:footnoteReference w:id="41"/>
      </w:r>
      <w:r>
        <w:rPr>
          <w:rFonts w:ascii="Times New Roman" w:eastAsia="Times New Roman" w:hAnsi="Times New Roman" w:cs="Times New Roman"/>
          <w:sz w:val="24"/>
          <w:szCs w:val="24"/>
        </w:rPr>
        <w:t>.</w:t>
      </w:r>
    </w:p>
    <w:p w14:paraId="11571F12" w14:textId="77777777" w:rsidR="003A2C3C" w:rsidRDefault="00235C05" w:rsidP="00511305">
      <w:pPr>
        <w:spacing w:line="360" w:lineRule="auto"/>
        <w:ind w:firstLine="70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Apesar de não utilizado neste estudo, vale pontuar que, em 06 de julho de 2023, a OpenAI introduziu no ChatGPT o </w:t>
      </w:r>
      <w:r>
        <w:rPr>
          <w:rFonts w:ascii="Times New Roman" w:eastAsia="Times New Roman" w:hAnsi="Times New Roman" w:cs="Times New Roman"/>
          <w:i/>
          <w:sz w:val="24"/>
          <w:szCs w:val="24"/>
        </w:rPr>
        <w:t>code interpreter</w:t>
      </w:r>
      <w:r>
        <w:rPr>
          <w:rFonts w:ascii="Times New Roman" w:eastAsia="Times New Roman" w:hAnsi="Times New Roman" w:cs="Times New Roman"/>
          <w:sz w:val="24"/>
          <w:szCs w:val="24"/>
          <w:vertAlign w:val="superscript"/>
        </w:rPr>
        <w:footnoteReference w:id="42"/>
      </w:r>
      <w:r>
        <w:rPr>
          <w:rFonts w:ascii="Times New Roman" w:eastAsia="Times New Roman" w:hAnsi="Times New Roman" w:cs="Times New Roman"/>
          <w:sz w:val="24"/>
          <w:szCs w:val="24"/>
        </w:rPr>
        <w:t>, funcionalidade experimental que permite aos usuários do ChatGPT Plus (GPT-4) analisar e visualizar gráfica por meio de gráficos, ferramenta que pode contribuir com o processamento de dados em pesquisas futuras.</w:t>
      </w:r>
    </w:p>
    <w:p w14:paraId="11571F13" w14:textId="77777777" w:rsidR="003A2C3C" w:rsidRDefault="003A2C3C" w:rsidP="00511305">
      <w:pPr>
        <w:spacing w:line="360" w:lineRule="auto"/>
        <w:ind w:firstLine="700"/>
        <w:jc w:val="both"/>
        <w:rPr>
          <w:rFonts w:ascii="Times New Roman" w:eastAsia="Times New Roman" w:hAnsi="Times New Roman" w:cs="Times New Roman"/>
          <w:color w:val="FF0000"/>
          <w:sz w:val="24"/>
          <w:szCs w:val="24"/>
        </w:rPr>
      </w:pPr>
    </w:p>
    <w:p w14:paraId="11571F14" w14:textId="77777777" w:rsidR="003A2C3C" w:rsidRDefault="00235C05" w:rsidP="0051130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3.5. Conclusões obtidas a partir da análise do Dashboard e implementações na rotina de trabalho</w:t>
      </w:r>
    </w:p>
    <w:p w14:paraId="11571F15" w14:textId="77777777" w:rsidR="003A2C3C" w:rsidRDefault="003A2C3C" w:rsidP="00511305">
      <w:pPr>
        <w:spacing w:line="360" w:lineRule="auto"/>
        <w:jc w:val="both"/>
        <w:rPr>
          <w:rFonts w:ascii="Times New Roman" w:eastAsia="Times New Roman" w:hAnsi="Times New Roman" w:cs="Times New Roman"/>
          <w:b/>
          <w:sz w:val="24"/>
          <w:szCs w:val="24"/>
        </w:rPr>
      </w:pPr>
    </w:p>
    <w:p w14:paraId="11571F16" w14:textId="77777777" w:rsidR="003A2C3C" w:rsidRDefault="00235C05" w:rsidP="00511305">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coleta, complementação e organização, em painéis interativos, dos dados à disposição do Estado nas ações de imposto de renda sobre as gratificações de difícil acesso, locomoção e localização possibilitaram obter algumas descobertas, inclusive quanto ao comportamento decisório dos juízes, indicando a necessidade de uma abordagem mais estruturada para lidar com a crescente judicialização da matéria.</w:t>
      </w:r>
    </w:p>
    <w:p w14:paraId="11571F17" w14:textId="77777777" w:rsidR="003A2C3C" w:rsidRDefault="00235C05" w:rsidP="00511305">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Conforme é possível analisar no gráfico a seguir, de 2009 a 2018, em um intervalo de 9 (nove) anos, foram protocolados 12 (doze) processos. Em 2019, 19 (dezenove) novas ações. Já em 2020, 2021 e 2022, foram propostas, respectivamente, 25 (vinte e cinco), 18 (dezoito) e 32 (trinta e dois) processos. Por fim, apenas no 1º semestre de 2023, 67 (sessenta e sete) apresentaram novas ações, sendo que a maioria dos processos possuem dezenas de autores em litisconsórcio e com o recebimento de gratificações distintas.</w:t>
      </w:r>
    </w:p>
    <w:p w14:paraId="11571F18" w14:textId="77777777" w:rsidR="003A2C3C" w:rsidRDefault="00235C05" w:rsidP="0051130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11571F56" wp14:editId="11571F57">
            <wp:extent cx="4359330" cy="2487113"/>
            <wp:effectExtent l="12700" t="12700" r="12700" b="127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4359330" cy="2487113"/>
                    </a:xfrm>
                    <a:prstGeom prst="rect">
                      <a:avLst/>
                    </a:prstGeom>
                    <a:ln w="12700">
                      <a:solidFill>
                        <a:srgbClr val="000000"/>
                      </a:solidFill>
                      <a:prstDash val="solid"/>
                    </a:ln>
                  </pic:spPr>
                </pic:pic>
              </a:graphicData>
            </a:graphic>
          </wp:inline>
        </w:drawing>
      </w:r>
    </w:p>
    <w:p w14:paraId="11571F19" w14:textId="77777777" w:rsidR="003A2C3C" w:rsidRDefault="00235C05" w:rsidP="00511305">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se percebe, houve um crescimento de 109% (cento e nove por cento) se compararmos as novas ações de 2022 com as apresentadas no 1º semestre de 2023, e um aumento de 272% se a comparação for realizada entre 2021 e o mesmo período de 2023. Os números confirmam a rápida alta na demanda e a necessidade em operacionalizar de forma eficiente a defesa da Fazenda Pública estadual.</w:t>
      </w:r>
    </w:p>
    <w:p w14:paraId="11571F1A" w14:textId="078EB7F9" w:rsidR="003A2C3C" w:rsidRDefault="00235C05" w:rsidP="00511305">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Sobre esses dados, conclui-se, portanto, que houve aumento exponencial do ajuizamento dessas ações nos últimos anos. Apesar de o volume ser menor se comparado às outras matérias que tramitam no Núcleo de Demandas Repetitivas, o crescimento abrupto demonstra que as ações de imposto de renda sobre as gratificações dos professores alter</w:t>
      </w:r>
      <w:r w:rsidR="000A247F">
        <w:rPr>
          <w:rFonts w:ascii="Times New Roman" w:eastAsia="Times New Roman" w:hAnsi="Times New Roman" w:cs="Times New Roman"/>
          <w:sz w:val="24"/>
          <w:szCs w:val="24"/>
        </w:rPr>
        <w:t>aram</w:t>
      </w:r>
      <w:r>
        <w:rPr>
          <w:rFonts w:ascii="Times New Roman" w:eastAsia="Times New Roman" w:hAnsi="Times New Roman" w:cs="Times New Roman"/>
          <w:sz w:val="24"/>
          <w:szCs w:val="24"/>
        </w:rPr>
        <w:t xml:space="preserve"> a dinâmica do Núcleo Residual do Contencioso Tributário, na medida em que não havia estrutura desenhada para fazer frente aos novos processos.</w:t>
      </w:r>
    </w:p>
    <w:p w14:paraId="11571F1B" w14:textId="77777777" w:rsidR="003A2C3C" w:rsidRDefault="00235C05" w:rsidP="00511305">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ser uma demanda de massa que tem como autores profissionais pertencentes a uma classe profissional organizada e consolidada no serviço público, professores do ensino básico, verificou-se que o patrocínio das ações </w:t>
      </w:r>
      <w:proofErr w:type="gramStart"/>
      <w:r>
        <w:rPr>
          <w:rFonts w:ascii="Times New Roman" w:eastAsia="Times New Roman" w:hAnsi="Times New Roman" w:cs="Times New Roman"/>
          <w:sz w:val="24"/>
          <w:szCs w:val="24"/>
        </w:rPr>
        <w:t>concentrou-se</w:t>
      </w:r>
      <w:proofErr w:type="gramEnd"/>
      <w:r>
        <w:rPr>
          <w:rFonts w:ascii="Times New Roman" w:eastAsia="Times New Roman" w:hAnsi="Times New Roman" w:cs="Times New Roman"/>
          <w:sz w:val="24"/>
          <w:szCs w:val="24"/>
        </w:rPr>
        <w:t xml:space="preserve"> em poucos escritórios de advocacia, provavelmente aqueles especializados em servidores públicos e direito coletivo, de modo que as petições iniciais possuíam padrões significativos. Percebeu-se, assim, que essa matéria já estava sendo tratada pelos próprios advogados dos autores, depois de certo tempo, como uma demanda de massa, sendo feitas raras adaptações de uma petição inicial para outra.</w:t>
      </w:r>
    </w:p>
    <w:p w14:paraId="11571F1C" w14:textId="77777777" w:rsidR="003A2C3C" w:rsidRDefault="00235C05" w:rsidP="00511305">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Pela análise dos gráficos construídos no Dashboard, foram identificadas também tendências</w:t>
      </w:r>
      <w:r>
        <w:rPr>
          <w:rFonts w:ascii="Times New Roman" w:eastAsia="Times New Roman" w:hAnsi="Times New Roman" w:cs="Times New Roman"/>
          <w:sz w:val="24"/>
          <w:szCs w:val="24"/>
          <w:vertAlign w:val="superscript"/>
        </w:rPr>
        <w:footnoteReference w:id="43"/>
      </w:r>
      <w:r>
        <w:rPr>
          <w:rFonts w:ascii="Times New Roman" w:eastAsia="Times New Roman" w:hAnsi="Times New Roman" w:cs="Times New Roman"/>
          <w:sz w:val="24"/>
          <w:szCs w:val="24"/>
        </w:rPr>
        <w:t xml:space="preserve"> quanto ao posicionamento decisório dos Juízos onde tramita a maior parte dos processos, inclusive permitindo confirmar o avanço do ajuizamento em determinada comarca, diante da previsibilidade das decisões proferidas naquela localidade. </w:t>
      </w:r>
    </w:p>
    <w:p w14:paraId="11571F1D" w14:textId="77777777" w:rsidR="003A2C3C" w:rsidRDefault="00235C05" w:rsidP="00511305">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 processos analisados, percebeu-se que os demandantes passaram a realizar a escolha direcionada do foro para as comarcas consideradas mais favoráveis à tese autoral, por haver litisconsórcio ativo facultativo, sob a justificativa de ser possível propor a ação no domicílio de qualquer dos autores, o que resulta em verdadeira burla ao princípio do Juiz Natural.</w:t>
      </w:r>
    </w:p>
    <w:p w14:paraId="11571F1E" w14:textId="77777777" w:rsidR="003A2C3C" w:rsidRDefault="00235C05" w:rsidP="00511305">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 análise dos dados decorreram duas medidas para implementar melhorias na rotina de trabalho e no acompanhamento das ações. A primeira medida foi a criação de modelos institucionais, que são peças estruturadas com os elementos básicos de defesa, a serem utilizadas pelos Procuradores em exercício no Núcleo, para fazer frente às muitas intimações do Estado. </w:t>
      </w:r>
    </w:p>
    <w:p w14:paraId="11571F1F" w14:textId="77777777" w:rsidR="003A2C3C" w:rsidRDefault="00235C05" w:rsidP="00511305">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Porém, a grande vantagem propiciada pelo levantamento dos dados na criação desses modelos institucionais foi a inclusão das decisões positivas ao Estado na matéria, identificadas na análise das decisões judiciais, sendo possível indicar precedentes favoráveis ao ente público de acordo com o Juízo de 1º grau e com o órgão julgador do Tribunal de Justiça, o que veio a fortalecer a argumentação fazendária.</w:t>
      </w:r>
    </w:p>
    <w:p w14:paraId="11571F20" w14:textId="77777777" w:rsidR="003A2C3C" w:rsidRDefault="00235C05" w:rsidP="00511305">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segunda implementação de melhoria, houve também a sinalização dos Procuradores-chefes da Fazenda Estadual para que as ações nesse tema sejam transferidas do Núcleo Residual para o Núcleo de Demandas Repetitivas, ambos pertencentes ao Contencioso Tributário da PGE/PE, por ter este expertise no tratamento de matérias com alto volume, como a realização de ações em bloco no sistema, contando com a presença de um Coordenador,  Procurador responsável pela otimização das rotinas de trabalho, e assessores jurídicos, além do RPA Capiba, uma automação robótica de processos</w:t>
      </w:r>
      <w:r>
        <w:rPr>
          <w:rFonts w:ascii="Times New Roman" w:eastAsia="Times New Roman" w:hAnsi="Times New Roman" w:cs="Times New Roman"/>
          <w:sz w:val="24"/>
          <w:szCs w:val="24"/>
          <w:vertAlign w:val="superscript"/>
        </w:rPr>
        <w:footnoteReference w:id="44"/>
      </w:r>
      <w:r>
        <w:rPr>
          <w:rFonts w:ascii="Times New Roman" w:eastAsia="Times New Roman" w:hAnsi="Times New Roman" w:cs="Times New Roman"/>
          <w:sz w:val="24"/>
          <w:szCs w:val="24"/>
        </w:rPr>
        <w:t>, capaz de fazer tarefas repetitivas, massivas e propensas a erros, como cálculos e peças previamente indicadas, com base no tema em que se enquadra a ação proposta.</w:t>
      </w:r>
    </w:p>
    <w:p w14:paraId="11571F21" w14:textId="5E0513C8" w:rsidR="003A2C3C" w:rsidRDefault="00235C05" w:rsidP="00511305">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organização e o processamento dos dados permitir</w:t>
      </w:r>
      <w:r w:rsidR="005C59A5">
        <w:rPr>
          <w:rFonts w:ascii="Times New Roman" w:eastAsia="Times New Roman" w:hAnsi="Times New Roman" w:cs="Times New Roman"/>
          <w:sz w:val="24"/>
          <w:szCs w:val="24"/>
        </w:rPr>
        <w:t>ão</w:t>
      </w:r>
      <w:r>
        <w:rPr>
          <w:rFonts w:ascii="Times New Roman" w:eastAsia="Times New Roman" w:hAnsi="Times New Roman" w:cs="Times New Roman"/>
          <w:sz w:val="24"/>
          <w:szCs w:val="24"/>
        </w:rPr>
        <w:t>, desse modo, que a defesa do Estado seja apresentada com maior celeridade, ao ser tratada em um Núcleo especializado em grande volume, e com melhor fundamentação técnica, tendo em vista a qualificação das peças com precedentes favoráveis à Fazenda Pública identificados nesta iniciativa.</w:t>
      </w:r>
    </w:p>
    <w:p w14:paraId="11571F22" w14:textId="77777777" w:rsidR="003A2C3C" w:rsidRDefault="00235C05" w:rsidP="005113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Contudo, assim como toda pesquisa acadêmica, que pode ser amadurecida e aperfeiçoada, o uso dos dados obtidos e a criação do Dashboard objeto deste estudo também é suscetível de melhorias.</w:t>
      </w:r>
    </w:p>
    <w:p w14:paraId="11571F23" w14:textId="77777777" w:rsidR="003A2C3C" w:rsidRDefault="00235C05" w:rsidP="005113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Na apresentação dos painéis, percebeu-se que seria vantajoso se o teor das decisões, se favorável ou desfavorável à Fazenda, pudesse ser verificado de acordo com o ano em que foram proferidas, possibilidade não disponível no Dashboard criado. </w:t>
      </w:r>
    </w:p>
    <w:p w14:paraId="11571F24" w14:textId="77777777" w:rsidR="003A2C3C" w:rsidRDefault="00235C05" w:rsidP="0051130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Essa vantajosidade ocorre porque é provável que haja uma evolução da jurisprudência, seja contra ou a favor do Estado, o que torna interessante verificar como caminha o entendimento do Judiciário em determinado ano ou apenas na atualidade, sem considerar todo o período do levantamento dos dados. Portanto, o recorte das decisões de acordo com cada ano é uma medida interessante que pode ser adotada nas análises de dados futuras, com o intuito de apresentar ao operador do painel qual o retrato dos precedentes judiciais sobre o assunto em espaço de tempo específico.</w:t>
      </w:r>
    </w:p>
    <w:p w14:paraId="11571F25" w14:textId="77777777" w:rsidR="003A2C3C" w:rsidRDefault="00235C05" w:rsidP="00511305">
      <w:pPr>
        <w:spacing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571F26" w14:textId="77777777" w:rsidR="003A2C3C" w:rsidRDefault="00235C05" w:rsidP="00511305">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Considerações finais</w:t>
      </w:r>
    </w:p>
    <w:p w14:paraId="11571F27" w14:textId="77777777" w:rsidR="003A2C3C" w:rsidRDefault="00235C05" w:rsidP="00511305">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um cenário em que a atuação no contencioso tributário se torna cada vez mais complexa, o presente estudo teve como objetivo principal compreender a dinâmica e o impacto do crescimento das ações judiciais relacionadas ao imposto de renda sobre gratificações de difícil acesso, locomoção e localização no contexto do Núcleo Residual (Outros Tributos) da Procuradoria da Fazenda Estadual de Pernambuco, revelando uma tendência alarmante de crescimento exponencial na judicialização do tema, particularmente no primeiro semestre de 2023, o que exige medidas assertivas por parte da Fazenda Pública.</w:t>
      </w:r>
    </w:p>
    <w:p w14:paraId="11571F28" w14:textId="77777777" w:rsidR="003A2C3C" w:rsidRDefault="00235C05" w:rsidP="00511305">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Além de constatar o perfil de crescimento dos processos ao longo dos anos, após a coleta e processamento dos dados inseridos em planilhas, a criação de painéis de controle (dashboard) permitiu visualizar de maneira mais nítida e dinâmica o comportamento das decisões judiciais de acordo com o Juízo, com recortes por gratificação e instância recursal, permitindo que fossem percebidos precedentes judiciais favoráveis que podem ser usados em novos casos, o que fortalece a argumentação do Estado. Ademais, ainda que em papel de coadjuvante, a inteligência artificial contribuiu para a análise de dados obtida, exemplificado pelo auxílio do ChatGPT na escolha do software Excel e nas consultas para resolução de problemas relacionados à criação do dashboard.</w:t>
      </w:r>
    </w:p>
    <w:p w14:paraId="11571F29" w14:textId="77777777" w:rsidR="003A2C3C" w:rsidRDefault="00235C05" w:rsidP="00511305">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enfrentar essa nova realidade complexa e dinâmica, o estudo contribuiu na tomada de decisões em duas medidas específicas para melhorar a rotina de trabalho: a primeira envolve a criação de modelos institucionais de peças jurídicas para responder de forma coordenada e qualificada ao volume crescente de ações. A segunda é a transferência dessas ações para o Núcleo de Demandas Repetitivas, órgão mais bem estruturado e familiarizado com as demandas de massa.</w:t>
      </w:r>
    </w:p>
    <w:p w14:paraId="11571F2A" w14:textId="77777777" w:rsidR="003A2C3C" w:rsidRDefault="00235C05" w:rsidP="00511305">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Contudo, é crucial mencionar as limitações do estudo. A análise de dados foi realizada praticamente de maneira manual e em uma quantidade pequena de informações. É provável que em uma quantidade maior de dados outras ferramentas e metodologias teriam que ser adotadas. Nesse outro contexto de mais dados, a escolha da plataforma também seria uma barreira a ser enfrentada, para ser definida uma ferramenta adequada à realidade da administração pública, tanto em termos de custos como de capacidade técnica.</w:t>
      </w:r>
    </w:p>
    <w:p w14:paraId="11571F2B" w14:textId="77777777" w:rsidR="003A2C3C" w:rsidRDefault="00235C05" w:rsidP="00511305">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pesquisas e estudos futuros, é imprescindível que seja realizada a depuração de informações após a alimentação de dados, para evitar a criação de grupos distintos para uma mesma informação. Ainda, recomenda-se que seja feito o recorte das decisões por ano, para melhor filtrar e delimitar a tendência de procedência ou improcedência das ações em período específico.</w:t>
      </w:r>
    </w:p>
    <w:p w14:paraId="11571F2C" w14:textId="77777777" w:rsidR="003A2C3C" w:rsidRDefault="00235C05" w:rsidP="00511305">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fim, fica evidente que a área de conhecimento relacionada à análise de dados é de rápido crescimento e evolução, o que sugere a necessidade de estudos e abordagens futuras que incorporem atualizações tecnológicas. A introdução recente do </w:t>
      </w:r>
      <w:r>
        <w:rPr>
          <w:rFonts w:ascii="Times New Roman" w:eastAsia="Times New Roman" w:hAnsi="Times New Roman" w:cs="Times New Roman"/>
          <w:i/>
          <w:sz w:val="24"/>
          <w:szCs w:val="24"/>
        </w:rPr>
        <w:t>code interpreter</w:t>
      </w:r>
      <w:r>
        <w:rPr>
          <w:rFonts w:ascii="Times New Roman" w:eastAsia="Times New Roman" w:hAnsi="Times New Roman" w:cs="Times New Roman"/>
          <w:sz w:val="24"/>
          <w:szCs w:val="24"/>
        </w:rPr>
        <w:t xml:space="preserve"> no ChatGPT Plus (GPT-4) pela OpenAI, por exemplo, abre novas possibilidades para o desenvolvimento de estratégias de defesa mais sofisticadas, utilizando a inteligência artificial como aliada, não apenas na escolha do software, mas também como protagonista na mineração e visualização dos dados.</w:t>
      </w:r>
    </w:p>
    <w:p w14:paraId="11571F2D" w14:textId="06367E85" w:rsidR="003A2C3C" w:rsidRDefault="00235C05" w:rsidP="00511305">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estudo, portanto, confirma a urgência de abordar de forma estratégica a crescente judicialização de matérias que têm o indicativo de que se tornarão demandas de massa (no caso analisado, tratou-se do imposto de renda sobre gratificações dos professores em Pernambuco) e a importância da análise e processamento de dados, especialmente quanto ao comportamento decisório dos magistrados, para a atuação processual da Fazenda Pública. As contribuições deste trabalho não apenas lançam luz sobre um problema emergente, mas também buscam </w:t>
      </w:r>
      <w:r w:rsidR="00C55D68">
        <w:rPr>
          <w:rFonts w:ascii="Times New Roman" w:eastAsia="Times New Roman" w:hAnsi="Times New Roman" w:cs="Times New Roman"/>
          <w:sz w:val="24"/>
          <w:szCs w:val="24"/>
        </w:rPr>
        <w:t>apresentar</w:t>
      </w:r>
      <w:r>
        <w:rPr>
          <w:rFonts w:ascii="Times New Roman" w:eastAsia="Times New Roman" w:hAnsi="Times New Roman" w:cs="Times New Roman"/>
          <w:sz w:val="24"/>
          <w:szCs w:val="24"/>
        </w:rPr>
        <w:t xml:space="preserve"> ferramentas práticas para mitigá-lo, na intenção de desenvolver uma defesa pública eficaz e ágil.</w:t>
      </w:r>
    </w:p>
    <w:p w14:paraId="11571F2E" w14:textId="77777777" w:rsidR="003A2C3C" w:rsidRDefault="003A2C3C" w:rsidP="00511305">
      <w:pPr>
        <w:jc w:val="both"/>
        <w:rPr>
          <w:rFonts w:ascii="Times New Roman" w:eastAsia="Times New Roman" w:hAnsi="Times New Roman" w:cs="Times New Roman"/>
          <w:sz w:val="24"/>
          <w:szCs w:val="24"/>
        </w:rPr>
      </w:pPr>
    </w:p>
    <w:p w14:paraId="11571F2F" w14:textId="77777777" w:rsidR="003A2C3C" w:rsidRDefault="00235C05" w:rsidP="0051130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Referências   </w:t>
      </w:r>
      <w:r>
        <w:rPr>
          <w:rFonts w:ascii="Times New Roman" w:eastAsia="Times New Roman" w:hAnsi="Times New Roman" w:cs="Times New Roman"/>
          <w:sz w:val="24"/>
          <w:szCs w:val="24"/>
        </w:rPr>
        <w:t xml:space="preserve"> </w:t>
      </w:r>
    </w:p>
    <w:p w14:paraId="11571F30" w14:textId="77777777" w:rsidR="003A2C3C" w:rsidRDefault="003A2C3C" w:rsidP="00511305">
      <w:pPr>
        <w:jc w:val="both"/>
        <w:rPr>
          <w:rFonts w:ascii="Times New Roman" w:eastAsia="Times New Roman" w:hAnsi="Times New Roman" w:cs="Times New Roman"/>
          <w:sz w:val="24"/>
          <w:szCs w:val="24"/>
        </w:rPr>
      </w:pPr>
    </w:p>
    <w:p w14:paraId="11571F31" w14:textId="77777777" w:rsidR="003A2C3C" w:rsidRDefault="00235C05" w:rsidP="0051130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 Araken de. </w:t>
      </w:r>
      <w:r>
        <w:rPr>
          <w:rFonts w:ascii="Times New Roman" w:eastAsia="Times New Roman" w:hAnsi="Times New Roman" w:cs="Times New Roman"/>
          <w:i/>
          <w:sz w:val="24"/>
          <w:szCs w:val="24"/>
        </w:rPr>
        <w:t>Processo civil brasileiro</w:t>
      </w:r>
      <w:r>
        <w:rPr>
          <w:rFonts w:ascii="Times New Roman" w:eastAsia="Times New Roman" w:hAnsi="Times New Roman" w:cs="Times New Roman"/>
          <w:sz w:val="24"/>
          <w:szCs w:val="24"/>
        </w:rPr>
        <w:t>. v. 2, tomo II. 2. ed. São Paulo: Editora Revista dos Tribunais, 2016.</w:t>
      </w:r>
    </w:p>
    <w:p w14:paraId="11571F32" w14:textId="77777777" w:rsidR="003A2C3C" w:rsidRDefault="00235C05" w:rsidP="00511305">
      <w:pPr>
        <w:spacing w:line="240" w:lineRule="auto"/>
        <w:jc w:val="both"/>
        <w:rPr>
          <w:rFonts w:ascii="Times New Roman" w:eastAsia="Times New Roman" w:hAnsi="Times New Roman" w:cs="Times New Roman"/>
          <w:i/>
          <w:sz w:val="32"/>
          <w:szCs w:val="32"/>
        </w:rPr>
      </w:pPr>
      <w:r>
        <w:rPr>
          <w:rFonts w:ascii="Times New Roman" w:eastAsia="Times New Roman" w:hAnsi="Times New Roman" w:cs="Times New Roman"/>
          <w:sz w:val="24"/>
          <w:szCs w:val="24"/>
          <w:highlight w:val="white"/>
        </w:rPr>
        <w:t xml:space="preserve">BITTENCOURT, Priscilla Aparecida Santana; BARROS, Daniela Melaré Vieira; ALBINO, João Pedro. A linguagem R e sua importância na recolha e análise dos dados. In: </w:t>
      </w:r>
      <w:r>
        <w:rPr>
          <w:rFonts w:ascii="Times New Roman" w:eastAsia="Times New Roman" w:hAnsi="Times New Roman" w:cs="Times New Roman"/>
          <w:i/>
          <w:sz w:val="24"/>
          <w:szCs w:val="24"/>
          <w:highlight w:val="white"/>
        </w:rPr>
        <w:t>Atas do Congresso Internacional sobre Avaliação no Ensino Superior</w:t>
      </w:r>
      <w:r>
        <w:rPr>
          <w:rFonts w:ascii="Times New Roman" w:eastAsia="Times New Roman" w:hAnsi="Times New Roman" w:cs="Times New Roman"/>
          <w:sz w:val="24"/>
          <w:szCs w:val="24"/>
          <w:highlight w:val="white"/>
        </w:rPr>
        <w:t>. Braga: Universidade do Minho, Instituto de Educação Centro de Investigação em Estudos da Criança, 2019, v. 1, p. 179. Disponível em: https://www.researchgate.net/publication/343700418_Estudo_Cientometrico_sobre_Aprendizagem_Tecnologia_e_Ensino_Superior. Acesso em: 29 ago. 2023.</w:t>
      </w:r>
    </w:p>
    <w:p w14:paraId="11571F33" w14:textId="77777777" w:rsidR="003A2C3C" w:rsidRDefault="00235C05" w:rsidP="0051130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BRASIL. Conselho Nacional de Justiça. </w:t>
      </w:r>
      <w:r>
        <w:rPr>
          <w:rFonts w:ascii="Times New Roman" w:eastAsia="Times New Roman" w:hAnsi="Times New Roman" w:cs="Times New Roman"/>
          <w:i/>
          <w:sz w:val="24"/>
          <w:szCs w:val="24"/>
        </w:rPr>
        <w:t>Justiça em Números 2022</w:t>
      </w:r>
      <w:r>
        <w:rPr>
          <w:rFonts w:ascii="Times New Roman" w:eastAsia="Times New Roman" w:hAnsi="Times New Roman" w:cs="Times New Roman"/>
          <w:sz w:val="24"/>
          <w:szCs w:val="24"/>
        </w:rPr>
        <w:t>: ano-base 2021. Brasília: CNJ, 2022. Disponível em: https://www.cnj.jus.br/pesquisas-judiciarias/justica-em-numeros/. Acesso em: 20 ago. 2023.</w:t>
      </w:r>
    </w:p>
    <w:p w14:paraId="11571F34" w14:textId="77777777" w:rsidR="003A2C3C" w:rsidRDefault="00235C05" w:rsidP="0051130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 ______. </w:t>
      </w:r>
      <w:r>
        <w:rPr>
          <w:rFonts w:ascii="Times New Roman" w:eastAsia="Times New Roman" w:hAnsi="Times New Roman" w:cs="Times New Roman"/>
          <w:i/>
          <w:sz w:val="24"/>
          <w:szCs w:val="24"/>
        </w:rPr>
        <w:t>Justiça em Números 2023</w:t>
      </w:r>
      <w:r>
        <w:rPr>
          <w:rFonts w:ascii="Times New Roman" w:eastAsia="Times New Roman" w:hAnsi="Times New Roman" w:cs="Times New Roman"/>
          <w:sz w:val="24"/>
          <w:szCs w:val="24"/>
        </w:rPr>
        <w:t xml:space="preserve">: ano-base 2022. Brasília: CNJ, 2023. Disponível em: https://www.cnj.jus.br/pesquisas-judiciarias/justica-em-numeros/. Acesso em: 29 ago. 2023. </w:t>
      </w:r>
    </w:p>
    <w:p w14:paraId="11571F35" w14:textId="77777777" w:rsidR="003A2C3C" w:rsidRDefault="00235C05" w:rsidP="0051130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CUNHA, Leonardo Carneiro da. </w:t>
      </w:r>
      <w:r>
        <w:rPr>
          <w:rFonts w:ascii="Times New Roman" w:eastAsia="Times New Roman" w:hAnsi="Times New Roman" w:cs="Times New Roman"/>
          <w:i/>
          <w:sz w:val="24"/>
          <w:szCs w:val="24"/>
        </w:rPr>
        <w:t>A fazenda pública em juízo</w:t>
      </w:r>
      <w:r>
        <w:rPr>
          <w:rFonts w:ascii="Times New Roman" w:eastAsia="Times New Roman" w:hAnsi="Times New Roman" w:cs="Times New Roman"/>
          <w:sz w:val="24"/>
          <w:szCs w:val="24"/>
        </w:rPr>
        <w:t>. 18. ed. Rio de Janeiro: Forense, 2021.</w:t>
      </w:r>
    </w:p>
    <w:p w14:paraId="11571F36" w14:textId="77777777" w:rsidR="003A2C3C" w:rsidRDefault="00235C05" w:rsidP="0051130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DUARTE, Luis Gustavo Potrick. Eficiência na Administração Pública Indireta: avaliação de resultados jurídicos por OKRs. </w:t>
      </w:r>
      <w:r>
        <w:rPr>
          <w:rFonts w:ascii="Times New Roman" w:eastAsia="Times New Roman" w:hAnsi="Times New Roman" w:cs="Times New Roman"/>
          <w:i/>
          <w:sz w:val="24"/>
          <w:szCs w:val="24"/>
        </w:rPr>
        <w:t>Revista de Direito e as Novas Tecnologias</w:t>
      </w:r>
      <w:r>
        <w:rPr>
          <w:rFonts w:ascii="Times New Roman" w:eastAsia="Times New Roman" w:hAnsi="Times New Roman" w:cs="Times New Roman"/>
          <w:sz w:val="24"/>
          <w:szCs w:val="24"/>
        </w:rPr>
        <w:t>. vol. 16. ano 5. São Paulo: Ed. RT, jul.-set. 2022. Disponível em: https://next-proview.thomsonreuters.com/title. Acesso em: 27 ago. 2023.</w:t>
      </w:r>
    </w:p>
    <w:p w14:paraId="11571F37" w14:textId="77777777" w:rsidR="003A2C3C" w:rsidRPr="00BD0A74" w:rsidRDefault="00235C05" w:rsidP="00511305">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FERRAZ JR., Tércio Sampaio. </w:t>
      </w:r>
      <w:r>
        <w:rPr>
          <w:rFonts w:ascii="Times New Roman" w:eastAsia="Times New Roman" w:hAnsi="Times New Roman" w:cs="Times New Roman"/>
          <w:i/>
          <w:sz w:val="24"/>
          <w:szCs w:val="24"/>
        </w:rPr>
        <w:t>Introdução ao estudo do direito: técnica, decisão, dominação.</w:t>
      </w:r>
      <w:r>
        <w:rPr>
          <w:rFonts w:ascii="Times New Roman" w:eastAsia="Times New Roman" w:hAnsi="Times New Roman" w:cs="Times New Roman"/>
          <w:sz w:val="24"/>
          <w:szCs w:val="24"/>
        </w:rPr>
        <w:t xml:space="preserve"> </w:t>
      </w:r>
      <w:r w:rsidRPr="00BD0A74">
        <w:rPr>
          <w:rFonts w:ascii="Times New Roman" w:eastAsia="Times New Roman" w:hAnsi="Times New Roman" w:cs="Times New Roman"/>
          <w:sz w:val="24"/>
          <w:szCs w:val="24"/>
          <w:lang w:val="en-US"/>
        </w:rPr>
        <w:t>6. ed. São Paulo: Atlas, 2008.</w:t>
      </w:r>
    </w:p>
    <w:p w14:paraId="11571F38" w14:textId="77777777" w:rsidR="003A2C3C" w:rsidRDefault="00235C05" w:rsidP="00511305">
      <w:pPr>
        <w:spacing w:line="240" w:lineRule="auto"/>
        <w:jc w:val="both"/>
        <w:rPr>
          <w:rFonts w:ascii="Times New Roman" w:eastAsia="Times New Roman" w:hAnsi="Times New Roman" w:cs="Times New Roman"/>
          <w:sz w:val="28"/>
          <w:szCs w:val="28"/>
        </w:rPr>
      </w:pPr>
      <w:r w:rsidRPr="00BD0A74">
        <w:rPr>
          <w:rFonts w:ascii="Times New Roman" w:eastAsia="Times New Roman" w:hAnsi="Times New Roman" w:cs="Times New Roman"/>
          <w:sz w:val="24"/>
          <w:szCs w:val="24"/>
          <w:lang w:val="en-US"/>
        </w:rPr>
        <w:t xml:space="preserve">GOERTZ, Gary; MAHONEY, James. </w:t>
      </w:r>
      <w:r w:rsidRPr="00BD0A74">
        <w:rPr>
          <w:rFonts w:ascii="Times New Roman" w:eastAsia="Times New Roman" w:hAnsi="Times New Roman" w:cs="Times New Roman"/>
          <w:i/>
          <w:sz w:val="24"/>
          <w:szCs w:val="24"/>
          <w:lang w:val="en-US"/>
        </w:rPr>
        <w:t>A tale of two cultures</w:t>
      </w:r>
      <w:r w:rsidRPr="00BD0A74">
        <w:rPr>
          <w:rFonts w:ascii="Times New Roman" w:eastAsia="Times New Roman" w:hAnsi="Times New Roman" w:cs="Times New Roman"/>
          <w:sz w:val="24"/>
          <w:szCs w:val="24"/>
          <w:lang w:val="en-US"/>
        </w:rPr>
        <w:t xml:space="preserve">: qualitative and quantitative research in the social sciences. </w:t>
      </w:r>
      <w:r>
        <w:rPr>
          <w:rFonts w:ascii="Times New Roman" w:eastAsia="Times New Roman" w:hAnsi="Times New Roman" w:cs="Times New Roman"/>
          <w:sz w:val="24"/>
          <w:szCs w:val="24"/>
        </w:rPr>
        <w:t>Nova Jérsei (EUA): Princeton University Press, 2012.</w:t>
      </w:r>
    </w:p>
    <w:p w14:paraId="11571F39" w14:textId="77777777" w:rsidR="003A2C3C" w:rsidRDefault="00235C05" w:rsidP="0051130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GOMES NETO, José Mário Wanderley; BARBOSA, Luis Felipe Andrade; PAULA FILHO, Alexandre Moura Alves de. </w:t>
      </w:r>
      <w:r>
        <w:rPr>
          <w:rFonts w:ascii="Times New Roman" w:eastAsia="Times New Roman" w:hAnsi="Times New Roman" w:cs="Times New Roman"/>
          <w:i/>
          <w:sz w:val="24"/>
          <w:szCs w:val="24"/>
        </w:rPr>
        <w:t xml:space="preserve">O que nos dizem os </w:t>
      </w:r>
      <w:proofErr w:type="gramStart"/>
      <w:r>
        <w:rPr>
          <w:rFonts w:ascii="Times New Roman" w:eastAsia="Times New Roman" w:hAnsi="Times New Roman" w:cs="Times New Roman"/>
          <w:i/>
          <w:sz w:val="24"/>
          <w:szCs w:val="24"/>
        </w:rPr>
        <w:t>dados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uma introdução à pesquisa jurídica quantitativa. Petrópolis, RJ: Vozes, 2023.</w:t>
      </w:r>
    </w:p>
    <w:p w14:paraId="11571F3A" w14:textId="77777777" w:rsidR="003A2C3C" w:rsidRDefault="00235C05" w:rsidP="0051130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MARQUES, Ricardo Dalmaso. Inteligência artificial e direito: o uso da tecnologia na gestão do processo no sistema brasileiro de precedentes. </w:t>
      </w:r>
      <w:r>
        <w:rPr>
          <w:rFonts w:ascii="Times New Roman" w:eastAsia="Times New Roman" w:hAnsi="Times New Roman" w:cs="Times New Roman"/>
          <w:i/>
          <w:sz w:val="24"/>
          <w:szCs w:val="24"/>
        </w:rPr>
        <w:t>Revista de Direito e as Novas Tecnologias</w:t>
      </w:r>
      <w:r>
        <w:rPr>
          <w:rFonts w:ascii="Times New Roman" w:eastAsia="Times New Roman" w:hAnsi="Times New Roman" w:cs="Times New Roman"/>
          <w:sz w:val="24"/>
          <w:szCs w:val="24"/>
        </w:rPr>
        <w:t>. vol. 3. ano 2. São Paulo: Ed. RT, abr.-jun. 2019. Disponível em: https://next-proview.thomsonreuters.com/title. Acesso em: 27 ago. 2023.</w:t>
      </w:r>
    </w:p>
    <w:p w14:paraId="11571F3B" w14:textId="77777777" w:rsidR="003A2C3C" w:rsidRDefault="00235C05" w:rsidP="0051130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MELO, Tiago; MEDEIROS, Richerland. Estudo exploratório sobre aplicação de técnica de análise semântica latente, para vinculação de processos judiciais a temas de repercussão geral e incidente de resolução de demanda repetitiva. </w:t>
      </w:r>
      <w:r>
        <w:rPr>
          <w:rFonts w:ascii="Times New Roman" w:eastAsia="Times New Roman" w:hAnsi="Times New Roman" w:cs="Times New Roman"/>
          <w:i/>
          <w:sz w:val="24"/>
          <w:szCs w:val="24"/>
        </w:rPr>
        <w:t>Revista de Direito e as Novas Tecnologias</w:t>
      </w:r>
      <w:r>
        <w:rPr>
          <w:rFonts w:ascii="Times New Roman" w:eastAsia="Times New Roman" w:hAnsi="Times New Roman" w:cs="Times New Roman"/>
          <w:sz w:val="24"/>
          <w:szCs w:val="24"/>
        </w:rPr>
        <w:t>. vol. 1. ano 1. São Paulo: Ed. RT, out.-dez. 2018. Disponível em: https://next-proview.thomsonreuters.com/title. Acesso em: 29 ago. 2023.</w:t>
      </w:r>
    </w:p>
    <w:p w14:paraId="11571F3C" w14:textId="77777777" w:rsidR="003A2C3C" w:rsidRDefault="003A2C3C" w:rsidP="00511305">
      <w:pPr>
        <w:spacing w:line="240" w:lineRule="auto"/>
        <w:jc w:val="both"/>
        <w:rPr>
          <w:rFonts w:ascii="Times New Roman" w:eastAsia="Times New Roman" w:hAnsi="Times New Roman" w:cs="Times New Roman"/>
          <w:sz w:val="24"/>
          <w:szCs w:val="24"/>
        </w:rPr>
      </w:pPr>
    </w:p>
    <w:p w14:paraId="11571F3D" w14:textId="77777777" w:rsidR="003A2C3C" w:rsidRDefault="00235C05" w:rsidP="00511305">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NUNES, Letícia Gonçalves. A tecnologia como entidade transformadora da gestão jurídica: do papel à inteligência artificial. </w:t>
      </w:r>
      <w:r>
        <w:rPr>
          <w:rFonts w:ascii="Times New Roman" w:eastAsia="Times New Roman" w:hAnsi="Times New Roman" w:cs="Times New Roman"/>
          <w:i/>
          <w:sz w:val="24"/>
          <w:szCs w:val="24"/>
        </w:rPr>
        <w:t>Revista de Direito e as Novas Tecnologias</w:t>
      </w:r>
      <w:r>
        <w:rPr>
          <w:rFonts w:ascii="Times New Roman" w:eastAsia="Times New Roman" w:hAnsi="Times New Roman" w:cs="Times New Roman"/>
          <w:sz w:val="24"/>
          <w:szCs w:val="24"/>
        </w:rPr>
        <w:t>. vol. 2. ano 2. São Paulo: Ed. RT, jan.-fev. 2019. Disponível em: https://next-proview.thomsonreuters.com/title. Acesso em: 29 ago. 2023.</w:t>
      </w:r>
    </w:p>
    <w:p w14:paraId="11571F3E" w14:textId="77777777" w:rsidR="003A2C3C" w:rsidRDefault="003A2C3C" w:rsidP="00511305">
      <w:pPr>
        <w:spacing w:line="240" w:lineRule="auto"/>
        <w:jc w:val="both"/>
        <w:rPr>
          <w:rFonts w:ascii="Times New Roman" w:eastAsia="Times New Roman" w:hAnsi="Times New Roman" w:cs="Times New Roman"/>
          <w:sz w:val="20"/>
          <w:szCs w:val="20"/>
        </w:rPr>
      </w:pPr>
    </w:p>
    <w:p w14:paraId="11571F3F" w14:textId="77777777" w:rsidR="003A2C3C" w:rsidRDefault="00235C05" w:rsidP="0051130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NUNES, Marcelo Guedes. </w:t>
      </w:r>
      <w:r>
        <w:rPr>
          <w:rFonts w:ascii="Times New Roman" w:eastAsia="Times New Roman" w:hAnsi="Times New Roman" w:cs="Times New Roman"/>
          <w:i/>
          <w:sz w:val="24"/>
          <w:szCs w:val="24"/>
        </w:rPr>
        <w:t>Jurimetria</w:t>
      </w:r>
      <w:r>
        <w:rPr>
          <w:rFonts w:ascii="Times New Roman" w:eastAsia="Times New Roman" w:hAnsi="Times New Roman" w:cs="Times New Roman"/>
          <w:sz w:val="24"/>
          <w:szCs w:val="24"/>
        </w:rPr>
        <w:t xml:space="preserve"> [livro eletrônico]: como a estatística pode reinventar o direito. São Paulo: Editora Revista dos Tribunais. 2016.</w:t>
      </w:r>
    </w:p>
    <w:p w14:paraId="11571F40" w14:textId="77777777" w:rsidR="003A2C3C" w:rsidRDefault="003A2C3C" w:rsidP="00511305">
      <w:pPr>
        <w:spacing w:line="240" w:lineRule="auto"/>
        <w:jc w:val="both"/>
        <w:rPr>
          <w:rFonts w:ascii="Times New Roman" w:eastAsia="Times New Roman" w:hAnsi="Times New Roman" w:cs="Times New Roman"/>
          <w:sz w:val="24"/>
          <w:szCs w:val="24"/>
        </w:rPr>
      </w:pPr>
    </w:p>
    <w:p w14:paraId="11571F41" w14:textId="77777777" w:rsidR="003A2C3C" w:rsidRDefault="00235C05" w:rsidP="0051130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 </w:t>
      </w:r>
      <w:r>
        <w:rPr>
          <w:rFonts w:ascii="Times New Roman" w:eastAsia="Times New Roman" w:hAnsi="Times New Roman" w:cs="Times New Roman"/>
          <w:i/>
          <w:sz w:val="24"/>
          <w:szCs w:val="24"/>
        </w:rPr>
        <w:t>Jurimetria</w:t>
      </w:r>
      <w:r>
        <w:rPr>
          <w:rFonts w:ascii="Times New Roman" w:eastAsia="Times New Roman" w:hAnsi="Times New Roman" w:cs="Times New Roman"/>
          <w:sz w:val="24"/>
          <w:szCs w:val="24"/>
        </w:rPr>
        <w:t xml:space="preserve"> [livro eletrônico]: como a estatística pode reinventar o direito. 2. ed. São Paulo: Thomson Reuters Brasil, 2020.</w:t>
      </w:r>
    </w:p>
    <w:p w14:paraId="11571F42" w14:textId="77777777" w:rsidR="003A2C3C" w:rsidRDefault="003A2C3C" w:rsidP="00511305">
      <w:pPr>
        <w:spacing w:line="240" w:lineRule="auto"/>
        <w:jc w:val="both"/>
        <w:rPr>
          <w:rFonts w:ascii="Times New Roman" w:eastAsia="Times New Roman" w:hAnsi="Times New Roman" w:cs="Times New Roman"/>
          <w:sz w:val="24"/>
          <w:szCs w:val="24"/>
        </w:rPr>
      </w:pPr>
    </w:p>
    <w:p w14:paraId="11571F43" w14:textId="77777777" w:rsidR="003A2C3C" w:rsidRDefault="00235C05" w:rsidP="0051130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PERNAMBUCO. </w:t>
      </w:r>
      <w:r>
        <w:rPr>
          <w:rFonts w:ascii="Times New Roman" w:eastAsia="Times New Roman" w:hAnsi="Times New Roman" w:cs="Times New Roman"/>
          <w:sz w:val="24"/>
          <w:szCs w:val="24"/>
          <w:highlight w:val="white"/>
        </w:rPr>
        <w:t xml:space="preserve">Ferramentas tecnológicas desenvolvidas pela PGE-PE ganham projeção nacional. Disponível em:  </w:t>
      </w:r>
      <w:r>
        <w:rPr>
          <w:rFonts w:ascii="Times New Roman" w:eastAsia="Times New Roman" w:hAnsi="Times New Roman" w:cs="Times New Roman"/>
          <w:sz w:val="24"/>
          <w:szCs w:val="24"/>
        </w:rPr>
        <w:t>http://www.pge.pe.gov.br/?2146_ferramentas_tecnologicas_desenvolvidas_pela_pge-pe_ganham_projecao_nacional. Acesso em: 15 jul. 2023.</w:t>
      </w:r>
    </w:p>
    <w:p w14:paraId="11571F44" w14:textId="77777777" w:rsidR="003A2C3C" w:rsidRDefault="003A2C3C" w:rsidP="00511305">
      <w:pPr>
        <w:spacing w:line="240" w:lineRule="auto"/>
        <w:jc w:val="both"/>
        <w:rPr>
          <w:rFonts w:ascii="Times New Roman" w:eastAsia="Times New Roman" w:hAnsi="Times New Roman" w:cs="Times New Roman"/>
          <w:sz w:val="24"/>
          <w:szCs w:val="24"/>
        </w:rPr>
      </w:pPr>
    </w:p>
    <w:p w14:paraId="11571F45" w14:textId="77777777" w:rsidR="003A2C3C" w:rsidRDefault="00235C05" w:rsidP="00511305">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PINHEIRO, Á.; GUIMARÃES, R. </w:t>
      </w:r>
      <w:r>
        <w:rPr>
          <w:rFonts w:ascii="Times New Roman" w:eastAsia="Times New Roman" w:hAnsi="Times New Roman" w:cs="Times New Roman"/>
          <w:i/>
          <w:sz w:val="24"/>
          <w:szCs w:val="24"/>
          <w:highlight w:val="white"/>
        </w:rPr>
        <w:t>Hyperautomation in Government Digital Transformation</w:t>
      </w:r>
      <w:r>
        <w:rPr>
          <w:rFonts w:ascii="Times New Roman" w:eastAsia="Times New Roman" w:hAnsi="Times New Roman" w:cs="Times New Roman"/>
          <w:sz w:val="24"/>
          <w:szCs w:val="24"/>
          <w:highlight w:val="white"/>
        </w:rPr>
        <w:t>. Preprints 2023, 2023061822.</w:t>
      </w:r>
      <w:hyperlink r:id="rId10">
        <w:r>
          <w:rPr>
            <w:rFonts w:ascii="Times New Roman" w:eastAsia="Times New Roman" w:hAnsi="Times New Roman" w:cs="Times New Roman"/>
            <w:sz w:val="24"/>
            <w:szCs w:val="24"/>
            <w:highlight w:val="white"/>
          </w:rPr>
          <w:t xml:space="preserve"> </w:t>
        </w:r>
      </w:hyperlink>
      <w:r>
        <w:rPr>
          <w:rFonts w:ascii="Times New Roman" w:eastAsia="Times New Roman" w:hAnsi="Times New Roman" w:cs="Times New Roman"/>
          <w:sz w:val="24"/>
          <w:szCs w:val="24"/>
          <w:highlight w:val="white"/>
        </w:rPr>
        <w:t>Disponível em: https://doi.org/10.20944/preprints202306.1822.v1. Acesso em: 24 jul. 2023.</w:t>
      </w:r>
    </w:p>
    <w:p w14:paraId="11571F46" w14:textId="77777777" w:rsidR="003A2C3C" w:rsidRDefault="003A2C3C" w:rsidP="00511305">
      <w:pPr>
        <w:spacing w:line="240" w:lineRule="auto"/>
        <w:jc w:val="both"/>
        <w:rPr>
          <w:rFonts w:ascii="Times New Roman" w:eastAsia="Times New Roman" w:hAnsi="Times New Roman" w:cs="Times New Roman"/>
          <w:sz w:val="24"/>
          <w:szCs w:val="24"/>
          <w:highlight w:val="white"/>
        </w:rPr>
      </w:pPr>
    </w:p>
    <w:p w14:paraId="11571F47" w14:textId="77777777" w:rsidR="003A2C3C" w:rsidRDefault="00235C05" w:rsidP="00511305">
      <w:pPr>
        <w:spacing w:line="240" w:lineRule="auto"/>
        <w:jc w:val="both"/>
        <w:rPr>
          <w:rFonts w:ascii="Times New Roman" w:eastAsia="Times New Roman" w:hAnsi="Times New Roman" w:cs="Times New Roman"/>
          <w:sz w:val="24"/>
          <w:szCs w:val="24"/>
          <w:shd w:val="clear" w:color="auto" w:fill="F7F7F8"/>
        </w:rPr>
      </w:pPr>
      <w:r>
        <w:rPr>
          <w:rFonts w:ascii="Times New Roman" w:eastAsia="Times New Roman" w:hAnsi="Times New Roman" w:cs="Times New Roman"/>
          <w:sz w:val="24"/>
          <w:szCs w:val="24"/>
          <w:shd w:val="clear" w:color="auto" w:fill="F7F7F8"/>
        </w:rPr>
        <w:t xml:space="preserve">RODRIGUES CATALANO, J. V.; ROSSI LORENZI, B. Sem referências: o ChatGPT sob a perspectiva latouriana e a armadilha do Duplo Clique. </w:t>
      </w:r>
      <w:r>
        <w:rPr>
          <w:rFonts w:ascii="Times New Roman" w:eastAsia="Times New Roman" w:hAnsi="Times New Roman" w:cs="Times New Roman"/>
          <w:i/>
          <w:sz w:val="24"/>
          <w:szCs w:val="24"/>
          <w:shd w:val="clear" w:color="auto" w:fill="F7F7F8"/>
        </w:rPr>
        <w:t>Revista Faz Ciência</w:t>
      </w:r>
      <w:r>
        <w:rPr>
          <w:rFonts w:ascii="Times New Roman" w:eastAsia="Times New Roman" w:hAnsi="Times New Roman" w:cs="Times New Roman"/>
          <w:sz w:val="24"/>
          <w:szCs w:val="24"/>
          <w:shd w:val="clear" w:color="auto" w:fill="F7F7F8"/>
        </w:rPr>
        <w:t xml:space="preserve">, </w:t>
      </w:r>
      <w:r>
        <w:rPr>
          <w:rFonts w:ascii="Times New Roman" w:eastAsia="Times New Roman" w:hAnsi="Times New Roman" w:cs="Times New Roman"/>
          <w:i/>
          <w:sz w:val="24"/>
          <w:szCs w:val="24"/>
          <w:shd w:val="clear" w:color="auto" w:fill="F7F7F8"/>
        </w:rPr>
        <w:t>[S. l.]</w:t>
      </w:r>
      <w:r>
        <w:rPr>
          <w:rFonts w:ascii="Times New Roman" w:eastAsia="Times New Roman" w:hAnsi="Times New Roman" w:cs="Times New Roman"/>
          <w:sz w:val="24"/>
          <w:szCs w:val="24"/>
          <w:shd w:val="clear" w:color="auto" w:fill="F7F7F8"/>
        </w:rPr>
        <w:t>, v. 25, n. 41, 2023. DOI: 10.48075/</w:t>
      </w:r>
      <w:proofErr w:type="gramStart"/>
      <w:r>
        <w:rPr>
          <w:rFonts w:ascii="Times New Roman" w:eastAsia="Times New Roman" w:hAnsi="Times New Roman" w:cs="Times New Roman"/>
          <w:sz w:val="24"/>
          <w:szCs w:val="24"/>
          <w:shd w:val="clear" w:color="auto" w:fill="F7F7F8"/>
        </w:rPr>
        <w:t>rfc.v</w:t>
      </w:r>
      <w:proofErr w:type="gramEnd"/>
      <w:r>
        <w:rPr>
          <w:rFonts w:ascii="Times New Roman" w:eastAsia="Times New Roman" w:hAnsi="Times New Roman" w:cs="Times New Roman"/>
          <w:sz w:val="24"/>
          <w:szCs w:val="24"/>
          <w:shd w:val="clear" w:color="auto" w:fill="F7F7F8"/>
        </w:rPr>
        <w:t>25i41.30761. Disponível em:</w:t>
      </w:r>
      <w:hyperlink r:id="rId11">
        <w:r>
          <w:rPr>
            <w:rFonts w:ascii="Times New Roman" w:eastAsia="Times New Roman" w:hAnsi="Times New Roman" w:cs="Times New Roman"/>
            <w:sz w:val="24"/>
            <w:szCs w:val="24"/>
            <w:shd w:val="clear" w:color="auto" w:fill="F7F7F8"/>
          </w:rPr>
          <w:t xml:space="preserve"> </w:t>
        </w:r>
      </w:hyperlink>
      <w:r>
        <w:rPr>
          <w:rFonts w:ascii="Times New Roman" w:eastAsia="Times New Roman" w:hAnsi="Times New Roman" w:cs="Times New Roman"/>
          <w:sz w:val="24"/>
          <w:szCs w:val="24"/>
          <w:shd w:val="clear" w:color="auto" w:fill="F7F7F8"/>
        </w:rPr>
        <w:t>https://saber.unioeste.br/index.php/fazciencia/article/view/30761. Acesso em: 30 jul. 2023.</w:t>
      </w:r>
    </w:p>
    <w:p w14:paraId="11571F48" w14:textId="77777777" w:rsidR="003A2C3C" w:rsidRDefault="003A2C3C" w:rsidP="00511305">
      <w:pPr>
        <w:spacing w:line="240" w:lineRule="auto"/>
        <w:jc w:val="both"/>
        <w:rPr>
          <w:rFonts w:ascii="Times New Roman" w:eastAsia="Times New Roman" w:hAnsi="Times New Roman" w:cs="Times New Roman"/>
          <w:sz w:val="24"/>
          <w:szCs w:val="24"/>
          <w:shd w:val="clear" w:color="auto" w:fill="F7F7F8"/>
        </w:rPr>
      </w:pPr>
    </w:p>
    <w:p w14:paraId="11571F49" w14:textId="77777777" w:rsidR="003A2C3C" w:rsidRDefault="00235C05" w:rsidP="00511305">
      <w:pPr>
        <w:spacing w:line="240" w:lineRule="auto"/>
        <w:rPr>
          <w:rFonts w:ascii="Times New Roman" w:eastAsia="Times New Roman" w:hAnsi="Times New Roman" w:cs="Times New Roman"/>
          <w:sz w:val="28"/>
          <w:szCs w:val="28"/>
          <w:shd w:val="clear" w:color="auto" w:fill="F7F7F8"/>
        </w:rPr>
      </w:pPr>
      <w:r>
        <w:rPr>
          <w:rFonts w:ascii="Times New Roman" w:eastAsia="Times New Roman" w:hAnsi="Times New Roman" w:cs="Times New Roman"/>
          <w:sz w:val="24"/>
          <w:szCs w:val="24"/>
        </w:rPr>
        <w:t xml:space="preserve">TRIOLA, Mario F. </w:t>
      </w:r>
      <w:r>
        <w:rPr>
          <w:rFonts w:ascii="Times New Roman" w:eastAsia="Times New Roman" w:hAnsi="Times New Roman" w:cs="Times New Roman"/>
          <w:i/>
          <w:sz w:val="24"/>
          <w:szCs w:val="24"/>
        </w:rPr>
        <w:t>Introdução à estatística.</w:t>
      </w:r>
      <w:r>
        <w:rPr>
          <w:rFonts w:ascii="Times New Roman" w:eastAsia="Times New Roman" w:hAnsi="Times New Roman" w:cs="Times New Roman"/>
          <w:sz w:val="24"/>
          <w:szCs w:val="24"/>
        </w:rPr>
        <w:t xml:space="preserve"> 12. ed. Rio da </w:t>
      </w:r>
      <w:proofErr w:type="gramStart"/>
      <w:r>
        <w:rPr>
          <w:rFonts w:ascii="Times New Roman" w:eastAsia="Times New Roman" w:hAnsi="Times New Roman" w:cs="Times New Roman"/>
          <w:sz w:val="24"/>
          <w:szCs w:val="24"/>
        </w:rPr>
        <w:t>Janeiro</w:t>
      </w:r>
      <w:proofErr w:type="gramEnd"/>
      <w:r>
        <w:rPr>
          <w:rFonts w:ascii="Times New Roman" w:eastAsia="Times New Roman" w:hAnsi="Times New Roman" w:cs="Times New Roman"/>
          <w:sz w:val="24"/>
          <w:szCs w:val="24"/>
        </w:rPr>
        <w:t>: LTC, 2017.</w:t>
      </w:r>
    </w:p>
    <w:p w14:paraId="11571F4A" w14:textId="77777777" w:rsidR="003A2C3C" w:rsidRDefault="003A2C3C" w:rsidP="00511305">
      <w:pPr>
        <w:spacing w:line="240" w:lineRule="auto"/>
        <w:jc w:val="both"/>
        <w:rPr>
          <w:rFonts w:ascii="Times New Roman" w:eastAsia="Times New Roman" w:hAnsi="Times New Roman" w:cs="Times New Roman"/>
          <w:sz w:val="24"/>
          <w:szCs w:val="24"/>
          <w:shd w:val="clear" w:color="auto" w:fill="F7F7F8"/>
        </w:rPr>
      </w:pPr>
    </w:p>
    <w:p w14:paraId="11571F4B" w14:textId="77777777" w:rsidR="003A2C3C" w:rsidRDefault="00235C05" w:rsidP="0051130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VALE, Luís Manoel Borges do. </w:t>
      </w:r>
      <w:r>
        <w:rPr>
          <w:rFonts w:ascii="Times New Roman" w:eastAsia="Times New Roman" w:hAnsi="Times New Roman" w:cs="Times New Roman"/>
          <w:i/>
          <w:sz w:val="24"/>
          <w:szCs w:val="24"/>
        </w:rPr>
        <w:t>Teoria geral do processo tecnológico</w:t>
      </w:r>
      <w:r>
        <w:rPr>
          <w:rFonts w:ascii="Times New Roman" w:eastAsia="Times New Roman" w:hAnsi="Times New Roman" w:cs="Times New Roman"/>
          <w:sz w:val="24"/>
          <w:szCs w:val="24"/>
        </w:rPr>
        <w:t>. São Paulo: Thomson Reuters Brasil, 2023.</w:t>
      </w:r>
    </w:p>
    <w:p w14:paraId="11571F4C" w14:textId="77777777" w:rsidR="003A2C3C" w:rsidRDefault="003A2C3C" w:rsidP="00511305">
      <w:pPr>
        <w:spacing w:line="240" w:lineRule="auto"/>
        <w:jc w:val="both"/>
        <w:rPr>
          <w:rFonts w:ascii="Times New Roman" w:eastAsia="Times New Roman" w:hAnsi="Times New Roman" w:cs="Times New Roman"/>
          <w:sz w:val="24"/>
          <w:szCs w:val="24"/>
        </w:rPr>
      </w:pPr>
    </w:p>
    <w:p w14:paraId="11571F4D" w14:textId="77777777" w:rsidR="003A2C3C" w:rsidRDefault="00235C05" w:rsidP="0051130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YUKIHARA. E. R. Um ambiente de trabalho gratuito para análise e visualização de dados. </w:t>
      </w:r>
      <w:r>
        <w:rPr>
          <w:rFonts w:ascii="Times New Roman" w:eastAsia="Times New Roman" w:hAnsi="Times New Roman" w:cs="Times New Roman"/>
          <w:i/>
          <w:sz w:val="24"/>
          <w:szCs w:val="24"/>
        </w:rPr>
        <w:t>In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Ciência Prática</w:t>
      </w:r>
      <w:r>
        <w:rPr>
          <w:rFonts w:ascii="Times New Roman" w:eastAsia="Times New Roman" w:hAnsi="Times New Roman" w:cs="Times New Roman"/>
          <w:sz w:val="24"/>
          <w:szCs w:val="24"/>
        </w:rPr>
        <w:t>. [Online]. Disponível em: https://cienciapratica.wordpress.com/2014/12/02/r-uma-linguagem-gratuita-para-analisee-visualizacao-de-dados/. Acesso em: 21 ago. 2023.</w:t>
      </w:r>
    </w:p>
    <w:p w14:paraId="11571F4E" w14:textId="77777777" w:rsidR="003A2C3C" w:rsidRDefault="003A2C3C" w:rsidP="00511305">
      <w:pPr>
        <w:spacing w:line="240" w:lineRule="auto"/>
        <w:jc w:val="both"/>
        <w:rPr>
          <w:rFonts w:ascii="Times New Roman" w:eastAsia="Times New Roman" w:hAnsi="Times New Roman" w:cs="Times New Roman"/>
          <w:sz w:val="20"/>
          <w:szCs w:val="20"/>
          <w:highlight w:val="white"/>
        </w:rPr>
      </w:pPr>
    </w:p>
    <w:p w14:paraId="11571F4F" w14:textId="77777777" w:rsidR="003A2C3C" w:rsidRDefault="003A2C3C" w:rsidP="00511305">
      <w:pPr>
        <w:spacing w:line="240" w:lineRule="auto"/>
        <w:jc w:val="both"/>
        <w:rPr>
          <w:rFonts w:ascii="Times New Roman" w:eastAsia="Times New Roman" w:hAnsi="Times New Roman" w:cs="Times New Roman"/>
          <w:sz w:val="20"/>
          <w:szCs w:val="20"/>
        </w:rPr>
      </w:pPr>
    </w:p>
    <w:sectPr w:rsidR="003A2C3C">
      <w:pgSz w:w="11909" w:h="16834"/>
      <w:pgMar w:top="1700"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E1263" w14:textId="77777777" w:rsidR="003D7A55" w:rsidRDefault="003D7A55">
      <w:pPr>
        <w:spacing w:line="240" w:lineRule="auto"/>
      </w:pPr>
      <w:r>
        <w:separator/>
      </w:r>
    </w:p>
  </w:endnote>
  <w:endnote w:type="continuationSeparator" w:id="0">
    <w:p w14:paraId="078CF8D7" w14:textId="77777777" w:rsidR="003D7A55" w:rsidRDefault="003D7A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61564" w14:textId="77777777" w:rsidR="003D7A55" w:rsidRDefault="003D7A55">
      <w:pPr>
        <w:spacing w:line="240" w:lineRule="auto"/>
      </w:pPr>
      <w:r>
        <w:separator/>
      </w:r>
    </w:p>
  </w:footnote>
  <w:footnote w:type="continuationSeparator" w:id="0">
    <w:p w14:paraId="2886B750" w14:textId="77777777" w:rsidR="003D7A55" w:rsidRDefault="003D7A55">
      <w:pPr>
        <w:spacing w:line="240" w:lineRule="auto"/>
      </w:pPr>
      <w:r>
        <w:continuationSeparator/>
      </w:r>
    </w:p>
  </w:footnote>
  <w:footnote w:id="1">
    <w:p w14:paraId="11571F58" w14:textId="77777777" w:rsidR="003A2C3C" w:rsidRDefault="00235C05">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FERRAZ JR., Tércio Sampaio. </w:t>
      </w:r>
      <w:r>
        <w:rPr>
          <w:rFonts w:ascii="Times New Roman" w:eastAsia="Times New Roman" w:hAnsi="Times New Roman" w:cs="Times New Roman"/>
          <w:i/>
          <w:sz w:val="20"/>
          <w:szCs w:val="20"/>
        </w:rPr>
        <w:t>Introdução ao estudo do direito: técnica, decisão, dominação.</w:t>
      </w:r>
      <w:r>
        <w:rPr>
          <w:rFonts w:ascii="Times New Roman" w:eastAsia="Times New Roman" w:hAnsi="Times New Roman" w:cs="Times New Roman"/>
          <w:sz w:val="20"/>
          <w:szCs w:val="20"/>
        </w:rPr>
        <w:t xml:space="preserve"> 6. ed. São Paulo: Atlas, 2008.</w:t>
      </w:r>
    </w:p>
    <w:p w14:paraId="11571F59" w14:textId="77777777" w:rsidR="003A2C3C" w:rsidRDefault="003A2C3C">
      <w:pPr>
        <w:spacing w:line="240" w:lineRule="auto"/>
        <w:rPr>
          <w:sz w:val="20"/>
          <w:szCs w:val="20"/>
        </w:rPr>
      </w:pPr>
    </w:p>
  </w:footnote>
  <w:footnote w:id="2">
    <w:p w14:paraId="11571F5A" w14:textId="77777777" w:rsidR="003A2C3C" w:rsidRDefault="00235C05">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NUNES, Marcelo Guedes. </w:t>
      </w:r>
      <w:r>
        <w:rPr>
          <w:rFonts w:ascii="Times New Roman" w:eastAsia="Times New Roman" w:hAnsi="Times New Roman" w:cs="Times New Roman"/>
          <w:i/>
          <w:sz w:val="20"/>
          <w:szCs w:val="20"/>
        </w:rPr>
        <w:t xml:space="preserve">Jurimetria </w:t>
      </w:r>
      <w:r>
        <w:rPr>
          <w:rFonts w:ascii="Times New Roman" w:eastAsia="Times New Roman" w:hAnsi="Times New Roman" w:cs="Times New Roman"/>
          <w:sz w:val="20"/>
          <w:szCs w:val="20"/>
        </w:rPr>
        <w:t>[livro eletrônico]</w:t>
      </w:r>
      <w:r>
        <w:rPr>
          <w:rFonts w:ascii="Times New Roman" w:eastAsia="Times New Roman" w:hAnsi="Times New Roman" w:cs="Times New Roman"/>
          <w:i/>
          <w:sz w:val="20"/>
          <w:szCs w:val="20"/>
        </w:rPr>
        <w:t xml:space="preserve">: como a estatística pode reinventar o direito. </w:t>
      </w:r>
      <w:r>
        <w:rPr>
          <w:rFonts w:ascii="Times New Roman" w:eastAsia="Times New Roman" w:hAnsi="Times New Roman" w:cs="Times New Roman"/>
          <w:sz w:val="20"/>
          <w:szCs w:val="20"/>
        </w:rPr>
        <w:t>2. ed. São Paulo: Thomson Reuters Brasil, 2020, Posição 3292 (e-book).</w:t>
      </w:r>
    </w:p>
    <w:p w14:paraId="11571F5B" w14:textId="77777777" w:rsidR="003A2C3C" w:rsidRDefault="003A2C3C">
      <w:pPr>
        <w:spacing w:line="240" w:lineRule="auto"/>
        <w:rPr>
          <w:sz w:val="20"/>
          <w:szCs w:val="20"/>
        </w:rPr>
      </w:pPr>
    </w:p>
  </w:footnote>
  <w:footnote w:id="3">
    <w:p w14:paraId="11571F5C" w14:textId="77777777" w:rsidR="003A2C3C" w:rsidRDefault="00235C05">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Ibid.</w:t>
      </w:r>
      <w:r>
        <w:rPr>
          <w:rFonts w:ascii="Times New Roman" w:eastAsia="Times New Roman" w:hAnsi="Times New Roman" w:cs="Times New Roman"/>
          <w:sz w:val="20"/>
          <w:szCs w:val="20"/>
        </w:rPr>
        <w:t>, Posição 452.</w:t>
      </w:r>
    </w:p>
    <w:p w14:paraId="11571F5D" w14:textId="77777777" w:rsidR="003A2C3C" w:rsidRDefault="003A2C3C">
      <w:pPr>
        <w:spacing w:line="240" w:lineRule="auto"/>
        <w:rPr>
          <w:sz w:val="20"/>
          <w:szCs w:val="20"/>
        </w:rPr>
      </w:pPr>
    </w:p>
  </w:footnote>
  <w:footnote w:id="4">
    <w:p w14:paraId="11571F5E" w14:textId="77777777" w:rsidR="003A2C3C" w:rsidRDefault="00235C05">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Ibid.</w:t>
      </w:r>
      <w:r>
        <w:rPr>
          <w:rFonts w:ascii="Times New Roman" w:eastAsia="Times New Roman" w:hAnsi="Times New Roman" w:cs="Times New Roman"/>
          <w:sz w:val="20"/>
          <w:szCs w:val="20"/>
        </w:rPr>
        <w:t>, Posição 432.</w:t>
      </w:r>
    </w:p>
    <w:p w14:paraId="11571F5F" w14:textId="77777777" w:rsidR="003A2C3C" w:rsidRDefault="003A2C3C">
      <w:pPr>
        <w:spacing w:line="240" w:lineRule="auto"/>
        <w:jc w:val="both"/>
        <w:rPr>
          <w:rFonts w:ascii="Times New Roman" w:eastAsia="Times New Roman" w:hAnsi="Times New Roman" w:cs="Times New Roman"/>
          <w:sz w:val="20"/>
          <w:szCs w:val="20"/>
        </w:rPr>
      </w:pPr>
    </w:p>
  </w:footnote>
  <w:footnote w:id="5">
    <w:p w14:paraId="11571F60" w14:textId="77777777" w:rsidR="003A2C3C" w:rsidRDefault="00235C05">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Vide o Relatório Justiça em Números 2022 (ano-base 2021), produzido anualmente pelo Conselho Nacional de Justiça. Disponível em: https://www.cnj.jus.br/pesquisas-judiciarias/justica-em-numeros/. Acesso em: 20 ago. 2023.</w:t>
      </w:r>
    </w:p>
    <w:p w14:paraId="11571F61" w14:textId="77777777" w:rsidR="003A2C3C" w:rsidRDefault="003A2C3C">
      <w:pPr>
        <w:spacing w:line="240" w:lineRule="auto"/>
        <w:rPr>
          <w:sz w:val="20"/>
          <w:szCs w:val="20"/>
        </w:rPr>
      </w:pPr>
    </w:p>
  </w:footnote>
  <w:footnote w:id="6">
    <w:p w14:paraId="11571F62" w14:textId="77777777" w:rsidR="003A2C3C" w:rsidRDefault="00235C05">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Vide o Relatório Justiça em Números 2023 (ano-base 2022), produzido anualmente pelo Conselho Nacional de Justiça. Disponível em: https://www.cnj.jus.br/pesquisas-judiciarias/justica-em-numeros/. Acesso em: 29 ago. 2023.</w:t>
      </w:r>
    </w:p>
    <w:p w14:paraId="11571F63" w14:textId="77777777" w:rsidR="003A2C3C" w:rsidRDefault="003A2C3C">
      <w:pPr>
        <w:spacing w:line="240" w:lineRule="auto"/>
        <w:rPr>
          <w:sz w:val="20"/>
          <w:szCs w:val="20"/>
        </w:rPr>
      </w:pPr>
    </w:p>
  </w:footnote>
  <w:footnote w:id="7">
    <w:p w14:paraId="11571F64" w14:textId="77777777" w:rsidR="003A2C3C" w:rsidRDefault="00235C05">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ASSIS, Araken de. </w:t>
      </w:r>
      <w:r>
        <w:rPr>
          <w:rFonts w:ascii="Times New Roman" w:eastAsia="Times New Roman" w:hAnsi="Times New Roman" w:cs="Times New Roman"/>
          <w:i/>
          <w:sz w:val="20"/>
          <w:szCs w:val="20"/>
        </w:rPr>
        <w:t>Processo civil brasileiro</w:t>
      </w:r>
      <w:r>
        <w:rPr>
          <w:rFonts w:ascii="Times New Roman" w:eastAsia="Times New Roman" w:hAnsi="Times New Roman" w:cs="Times New Roman"/>
          <w:sz w:val="20"/>
          <w:szCs w:val="20"/>
        </w:rPr>
        <w:t>. v. 2, tomo II. 2. ed. São Paulo: Editora Revista dos Tribunais, 2016. p. 67-68.</w:t>
      </w:r>
    </w:p>
    <w:p w14:paraId="11571F65" w14:textId="77777777" w:rsidR="003A2C3C" w:rsidRDefault="003A2C3C">
      <w:pPr>
        <w:spacing w:line="240" w:lineRule="auto"/>
        <w:rPr>
          <w:sz w:val="20"/>
          <w:szCs w:val="20"/>
        </w:rPr>
      </w:pPr>
    </w:p>
  </w:footnote>
  <w:footnote w:id="8">
    <w:p w14:paraId="11571F66" w14:textId="77777777" w:rsidR="003A2C3C" w:rsidRDefault="00235C05">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Vide Item 3 do presente trabalho.</w:t>
      </w:r>
    </w:p>
    <w:p w14:paraId="11571F67" w14:textId="77777777" w:rsidR="003A2C3C" w:rsidRDefault="003A2C3C">
      <w:pPr>
        <w:spacing w:line="240" w:lineRule="auto"/>
        <w:rPr>
          <w:sz w:val="20"/>
          <w:szCs w:val="20"/>
        </w:rPr>
      </w:pPr>
    </w:p>
  </w:footnote>
  <w:footnote w:id="9">
    <w:p w14:paraId="11571F68" w14:textId="77777777" w:rsidR="003A2C3C" w:rsidRDefault="00235C05">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GOMES NETO, José Mário Wanderley; BARBOSA, Luis Felipe Andrade; PAULA FILHO, Alexandre Moura Alves de. </w:t>
      </w:r>
      <w:r>
        <w:rPr>
          <w:rFonts w:ascii="Times New Roman" w:eastAsia="Times New Roman" w:hAnsi="Times New Roman" w:cs="Times New Roman"/>
          <w:i/>
          <w:sz w:val="20"/>
          <w:szCs w:val="20"/>
        </w:rPr>
        <w:t xml:space="preserve">O que nos dizem os </w:t>
      </w:r>
      <w:proofErr w:type="gramStart"/>
      <w:r>
        <w:rPr>
          <w:rFonts w:ascii="Times New Roman" w:eastAsia="Times New Roman" w:hAnsi="Times New Roman" w:cs="Times New Roman"/>
          <w:i/>
          <w:sz w:val="20"/>
          <w:szCs w:val="20"/>
        </w:rPr>
        <w:t>dados?</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uma introdução à pesquisa jurídica quantitativa. Petrópolis, RJ: Vozes, 2023. p. 61. </w:t>
      </w:r>
    </w:p>
    <w:p w14:paraId="11571F69" w14:textId="77777777" w:rsidR="003A2C3C" w:rsidRDefault="003A2C3C">
      <w:pPr>
        <w:spacing w:line="240" w:lineRule="auto"/>
        <w:rPr>
          <w:sz w:val="20"/>
          <w:szCs w:val="20"/>
        </w:rPr>
      </w:pPr>
    </w:p>
  </w:footnote>
  <w:footnote w:id="10">
    <w:p w14:paraId="11571F6A" w14:textId="77777777" w:rsidR="003A2C3C" w:rsidRDefault="00235C05">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Ibid., </w:t>
      </w:r>
      <w:r>
        <w:rPr>
          <w:rFonts w:ascii="Times New Roman" w:eastAsia="Times New Roman" w:hAnsi="Times New Roman" w:cs="Times New Roman"/>
          <w:sz w:val="20"/>
          <w:szCs w:val="20"/>
        </w:rPr>
        <w:t>p. 63.</w:t>
      </w:r>
    </w:p>
    <w:p w14:paraId="11571F6B" w14:textId="77777777" w:rsidR="003A2C3C" w:rsidRDefault="003A2C3C">
      <w:pPr>
        <w:spacing w:line="240" w:lineRule="auto"/>
        <w:rPr>
          <w:sz w:val="20"/>
          <w:szCs w:val="20"/>
        </w:rPr>
      </w:pPr>
    </w:p>
  </w:footnote>
  <w:footnote w:id="11">
    <w:p w14:paraId="11571F6C" w14:textId="77777777" w:rsidR="003A2C3C" w:rsidRDefault="00235C05">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NUNES, Marcelo Guedes. </w:t>
      </w:r>
      <w:r>
        <w:rPr>
          <w:rFonts w:ascii="Times New Roman" w:eastAsia="Times New Roman" w:hAnsi="Times New Roman" w:cs="Times New Roman"/>
          <w:i/>
          <w:sz w:val="20"/>
          <w:szCs w:val="20"/>
        </w:rPr>
        <w:t xml:space="preserve">Jurimetria </w:t>
      </w:r>
      <w:r>
        <w:rPr>
          <w:rFonts w:ascii="Times New Roman" w:eastAsia="Times New Roman" w:hAnsi="Times New Roman" w:cs="Times New Roman"/>
          <w:sz w:val="20"/>
          <w:szCs w:val="20"/>
        </w:rPr>
        <w:t>[livro eletrônico]: como a estatística pode reinventar o direito. 2. ed. São Paulo: Thomson Reuters Brasil, 2020, Posição 3543-3549.</w:t>
      </w:r>
    </w:p>
    <w:p w14:paraId="11571F6D" w14:textId="77777777" w:rsidR="003A2C3C" w:rsidRDefault="003A2C3C">
      <w:pPr>
        <w:spacing w:line="240" w:lineRule="auto"/>
        <w:rPr>
          <w:sz w:val="20"/>
          <w:szCs w:val="20"/>
        </w:rPr>
      </w:pPr>
    </w:p>
  </w:footnote>
  <w:footnote w:id="12">
    <w:p w14:paraId="11571F6E" w14:textId="77777777" w:rsidR="003A2C3C" w:rsidRDefault="00235C05">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Ibid.</w:t>
      </w:r>
      <w:r>
        <w:rPr>
          <w:rFonts w:ascii="Times New Roman" w:eastAsia="Times New Roman" w:hAnsi="Times New Roman" w:cs="Times New Roman"/>
          <w:sz w:val="20"/>
          <w:szCs w:val="20"/>
        </w:rPr>
        <w:t>, Posição 3543 (e-book).</w:t>
      </w:r>
    </w:p>
    <w:p w14:paraId="11571F6F" w14:textId="77777777" w:rsidR="003A2C3C" w:rsidRDefault="003A2C3C">
      <w:pPr>
        <w:spacing w:line="240" w:lineRule="auto"/>
        <w:rPr>
          <w:sz w:val="20"/>
          <w:szCs w:val="20"/>
        </w:rPr>
      </w:pPr>
    </w:p>
  </w:footnote>
  <w:footnote w:id="13">
    <w:p w14:paraId="11571F70" w14:textId="77777777" w:rsidR="003A2C3C" w:rsidRDefault="00235C05">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CUNHA, Leonardo Carneiro da. </w:t>
      </w:r>
      <w:r>
        <w:rPr>
          <w:rFonts w:ascii="Times New Roman" w:eastAsia="Times New Roman" w:hAnsi="Times New Roman" w:cs="Times New Roman"/>
          <w:i/>
          <w:sz w:val="20"/>
          <w:szCs w:val="20"/>
        </w:rPr>
        <w:t>A fazenda pública em juízo</w:t>
      </w:r>
      <w:r>
        <w:rPr>
          <w:rFonts w:ascii="Times New Roman" w:eastAsia="Times New Roman" w:hAnsi="Times New Roman" w:cs="Times New Roman"/>
          <w:sz w:val="20"/>
          <w:szCs w:val="20"/>
        </w:rPr>
        <w:t>. 18. ed. Rio de Janeiro: Forense, 2021. p. 1-6.</w:t>
      </w:r>
    </w:p>
    <w:p w14:paraId="11571F71" w14:textId="77777777" w:rsidR="003A2C3C" w:rsidRDefault="003A2C3C">
      <w:pPr>
        <w:spacing w:line="240" w:lineRule="auto"/>
        <w:rPr>
          <w:sz w:val="20"/>
          <w:szCs w:val="20"/>
        </w:rPr>
      </w:pPr>
    </w:p>
  </w:footnote>
  <w:footnote w:id="14">
    <w:p w14:paraId="11571F72" w14:textId="77777777" w:rsidR="003A2C3C" w:rsidRDefault="00235C05">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Vide https://grandes-litigantes.stg.cloud.cnj.jus.br/. Acesso em: 27 ago. 2023.</w:t>
      </w:r>
    </w:p>
    <w:p w14:paraId="11571F73" w14:textId="77777777" w:rsidR="003A2C3C" w:rsidRDefault="003A2C3C">
      <w:pPr>
        <w:spacing w:line="240" w:lineRule="auto"/>
        <w:rPr>
          <w:sz w:val="20"/>
          <w:szCs w:val="20"/>
        </w:rPr>
      </w:pPr>
    </w:p>
  </w:footnote>
  <w:footnote w:id="15">
    <w:p w14:paraId="11571F74" w14:textId="77777777" w:rsidR="003A2C3C" w:rsidRDefault="00235C05">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Vide os Relatórios Justiça em Números 2022 (ano-base 2021) e 2023 (ano-base 2022), produzido anualmente pelo Conselho Nacional de Justiça. Disponível em: https://www.cnj.jus.br/pesquisas-judiciarias/justica-em-numeros/. Acesso em: 27 ago. 2023 e 29 ago. 2023.</w:t>
      </w:r>
    </w:p>
    <w:p w14:paraId="11571F75" w14:textId="77777777" w:rsidR="003A2C3C" w:rsidRDefault="003A2C3C">
      <w:pPr>
        <w:spacing w:line="240" w:lineRule="auto"/>
        <w:rPr>
          <w:sz w:val="20"/>
          <w:szCs w:val="20"/>
        </w:rPr>
      </w:pPr>
    </w:p>
  </w:footnote>
  <w:footnote w:id="16">
    <w:p w14:paraId="11571F76" w14:textId="77777777" w:rsidR="003A2C3C" w:rsidRDefault="00235C05">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Os números não sofreram grandes mudanças de 2021 para 2022. Vide nota de rodapé 15.</w:t>
      </w:r>
    </w:p>
    <w:p w14:paraId="11571F77" w14:textId="77777777" w:rsidR="003A2C3C" w:rsidRDefault="003A2C3C">
      <w:pPr>
        <w:spacing w:line="240" w:lineRule="auto"/>
        <w:jc w:val="both"/>
        <w:rPr>
          <w:rFonts w:ascii="Times New Roman" w:eastAsia="Times New Roman" w:hAnsi="Times New Roman" w:cs="Times New Roman"/>
          <w:sz w:val="20"/>
          <w:szCs w:val="20"/>
        </w:rPr>
      </w:pPr>
    </w:p>
  </w:footnote>
  <w:footnote w:id="17">
    <w:p w14:paraId="11571F78" w14:textId="77777777" w:rsidR="003A2C3C" w:rsidRDefault="00235C05">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NUNES, Letícia Gonçalves. A tecnologia como entidade transformadora da gestão jurídica: do papel à inteligência artificial. </w:t>
      </w:r>
      <w:r>
        <w:rPr>
          <w:rFonts w:ascii="Times New Roman" w:eastAsia="Times New Roman" w:hAnsi="Times New Roman" w:cs="Times New Roman"/>
          <w:i/>
          <w:sz w:val="20"/>
          <w:szCs w:val="20"/>
        </w:rPr>
        <w:t>Revista de Direito e as Novas Tecnologias</w:t>
      </w:r>
      <w:r>
        <w:rPr>
          <w:rFonts w:ascii="Times New Roman" w:eastAsia="Times New Roman" w:hAnsi="Times New Roman" w:cs="Times New Roman"/>
          <w:sz w:val="20"/>
          <w:szCs w:val="20"/>
        </w:rPr>
        <w:t>. vol. 2. ano 2. São Paulo: Ed. RT, jan.-fev. 2019. Disponível em: https://next-proview.thomsonreuters.com/title. Acesso em: 29 ago. 2023.</w:t>
      </w:r>
    </w:p>
    <w:p w14:paraId="11571F79" w14:textId="77777777" w:rsidR="003A2C3C" w:rsidRDefault="003A2C3C">
      <w:pPr>
        <w:spacing w:line="240" w:lineRule="auto"/>
        <w:rPr>
          <w:sz w:val="20"/>
          <w:szCs w:val="20"/>
        </w:rPr>
      </w:pPr>
    </w:p>
  </w:footnote>
  <w:footnote w:id="18">
    <w:p w14:paraId="11571F7A" w14:textId="77777777" w:rsidR="003A2C3C" w:rsidRDefault="00235C05">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DUARTE, Luis Gustavo Potrick. Eficiência na Administração Pública Indireta: avaliação de resultados jurídicos por OKRs. </w:t>
      </w:r>
      <w:r>
        <w:rPr>
          <w:rFonts w:ascii="Times New Roman" w:eastAsia="Times New Roman" w:hAnsi="Times New Roman" w:cs="Times New Roman"/>
          <w:i/>
          <w:sz w:val="20"/>
          <w:szCs w:val="20"/>
        </w:rPr>
        <w:t>Revista de Direito e as Novas Tecnologias</w:t>
      </w:r>
      <w:r>
        <w:rPr>
          <w:rFonts w:ascii="Times New Roman" w:eastAsia="Times New Roman" w:hAnsi="Times New Roman" w:cs="Times New Roman"/>
          <w:sz w:val="20"/>
          <w:szCs w:val="20"/>
        </w:rPr>
        <w:t xml:space="preserve">. vol. 16. ano 5. São Paulo: Ed. RT, p. RR-12.3, jul.-set. 2022. Disponível em: https://next-proview.thomsonreuters.com/title. Acesso em: 27 ago. 2023. </w:t>
      </w:r>
    </w:p>
    <w:p w14:paraId="11571F7B" w14:textId="77777777" w:rsidR="003A2C3C" w:rsidRDefault="003A2C3C">
      <w:pPr>
        <w:spacing w:line="240" w:lineRule="auto"/>
        <w:rPr>
          <w:sz w:val="20"/>
          <w:szCs w:val="20"/>
        </w:rPr>
      </w:pPr>
    </w:p>
  </w:footnote>
  <w:footnote w:id="19">
    <w:p w14:paraId="11571F7C" w14:textId="77777777" w:rsidR="003A2C3C" w:rsidRPr="00BD0A74" w:rsidRDefault="00235C05">
      <w:pPr>
        <w:spacing w:line="240" w:lineRule="auto"/>
        <w:jc w:val="both"/>
        <w:rPr>
          <w:rFonts w:ascii="Times New Roman" w:eastAsia="Times New Roman" w:hAnsi="Times New Roman" w:cs="Times New Roman"/>
          <w:sz w:val="20"/>
          <w:szCs w:val="20"/>
          <w:lang w:val="en-US"/>
        </w:rPr>
      </w:pPr>
      <w:r>
        <w:rPr>
          <w:vertAlign w:val="superscript"/>
        </w:rPr>
        <w:footnoteRef/>
      </w:r>
      <w:r>
        <w:rPr>
          <w:rFonts w:ascii="Times New Roman" w:eastAsia="Times New Roman" w:hAnsi="Times New Roman" w:cs="Times New Roman"/>
          <w:sz w:val="20"/>
          <w:szCs w:val="20"/>
        </w:rPr>
        <w:t xml:space="preserve"> O autor explica que “Analytics é considerado um ramo de Business Intelligence (BI) – comumente utilizado por áreas de negócio, finanças e marketing, por exemplo – que se refere à utilização de dados, análises e raciocínio sistemático para embasar as decisões que são tomadas. </w:t>
      </w:r>
      <w:proofErr w:type="gramStart"/>
      <w:r>
        <w:rPr>
          <w:rFonts w:ascii="Times New Roman" w:eastAsia="Times New Roman" w:hAnsi="Times New Roman" w:cs="Times New Roman"/>
          <w:sz w:val="20"/>
          <w:szCs w:val="20"/>
        </w:rPr>
        <w:t>O big data</w:t>
      </w:r>
      <w:proofErr w:type="gramEnd"/>
      <w:r>
        <w:rPr>
          <w:rFonts w:ascii="Times New Roman" w:eastAsia="Times New Roman" w:hAnsi="Times New Roman" w:cs="Times New Roman"/>
          <w:sz w:val="20"/>
          <w:szCs w:val="20"/>
        </w:rPr>
        <w:t xml:space="preserve"> analytics significa o uso dessas técnicas avançadas de análise em grandes volumes de dados, gerados em alta velocidade e variedade.” (MARQUES, Ricardo Dalmaso. Inteligência artificial e direito: o uso da tecnologia na gestão do processo no sistema brasileiro de precedentes. </w:t>
      </w:r>
      <w:r>
        <w:rPr>
          <w:rFonts w:ascii="Times New Roman" w:eastAsia="Times New Roman" w:hAnsi="Times New Roman" w:cs="Times New Roman"/>
          <w:i/>
          <w:sz w:val="20"/>
          <w:szCs w:val="20"/>
        </w:rPr>
        <w:t>Revista de Direito e as Novas Tecnologias</w:t>
      </w:r>
      <w:r>
        <w:rPr>
          <w:rFonts w:ascii="Times New Roman" w:eastAsia="Times New Roman" w:hAnsi="Times New Roman" w:cs="Times New Roman"/>
          <w:sz w:val="20"/>
          <w:szCs w:val="20"/>
        </w:rPr>
        <w:t xml:space="preserve">. vol. 3. ano 2. São Paulo: Ed. RT, p. RR-5.1, abr.-jun. 2019. Disponível em: https://next-proview.thomsonreuters.com/title. </w:t>
      </w:r>
      <w:r w:rsidRPr="00BD0A74">
        <w:rPr>
          <w:rFonts w:ascii="Times New Roman" w:eastAsia="Times New Roman" w:hAnsi="Times New Roman" w:cs="Times New Roman"/>
          <w:sz w:val="20"/>
          <w:szCs w:val="20"/>
          <w:lang w:val="en-US"/>
        </w:rPr>
        <w:t>Acesso em: 27 ago. 2023).</w:t>
      </w:r>
    </w:p>
    <w:p w14:paraId="11571F7D" w14:textId="77777777" w:rsidR="003A2C3C" w:rsidRPr="00BD0A74" w:rsidRDefault="003A2C3C">
      <w:pPr>
        <w:spacing w:line="240" w:lineRule="auto"/>
        <w:rPr>
          <w:sz w:val="20"/>
          <w:szCs w:val="20"/>
          <w:lang w:val="en-US"/>
        </w:rPr>
      </w:pPr>
    </w:p>
  </w:footnote>
  <w:footnote w:id="20">
    <w:p w14:paraId="11571F7E" w14:textId="77777777" w:rsidR="003A2C3C" w:rsidRDefault="00235C05">
      <w:pPr>
        <w:spacing w:line="240" w:lineRule="auto"/>
        <w:jc w:val="both"/>
        <w:rPr>
          <w:rFonts w:ascii="Times New Roman" w:eastAsia="Times New Roman" w:hAnsi="Times New Roman" w:cs="Times New Roman"/>
          <w:sz w:val="20"/>
          <w:szCs w:val="20"/>
        </w:rPr>
      </w:pPr>
      <w:r>
        <w:rPr>
          <w:vertAlign w:val="superscript"/>
        </w:rPr>
        <w:footnoteRef/>
      </w:r>
      <w:r w:rsidRPr="00BD0A74">
        <w:rPr>
          <w:rFonts w:ascii="Times New Roman" w:eastAsia="Times New Roman" w:hAnsi="Times New Roman" w:cs="Times New Roman"/>
          <w:sz w:val="20"/>
          <w:szCs w:val="20"/>
          <w:lang w:val="en-US"/>
        </w:rPr>
        <w:t xml:space="preserve"> GOERTZ, Gary; MAHONEY, James. </w:t>
      </w:r>
      <w:r w:rsidRPr="00BD0A74">
        <w:rPr>
          <w:rFonts w:ascii="Times New Roman" w:eastAsia="Times New Roman" w:hAnsi="Times New Roman" w:cs="Times New Roman"/>
          <w:i/>
          <w:sz w:val="20"/>
          <w:szCs w:val="20"/>
          <w:lang w:val="en-US"/>
        </w:rPr>
        <w:t>A tale of two cultures</w:t>
      </w:r>
      <w:r w:rsidRPr="00BD0A74">
        <w:rPr>
          <w:rFonts w:ascii="Times New Roman" w:eastAsia="Times New Roman" w:hAnsi="Times New Roman" w:cs="Times New Roman"/>
          <w:sz w:val="20"/>
          <w:szCs w:val="20"/>
          <w:lang w:val="en-US"/>
        </w:rPr>
        <w:t xml:space="preserve">: qualitative and quantitative research in the social sciences. </w:t>
      </w:r>
      <w:r>
        <w:rPr>
          <w:rFonts w:ascii="Times New Roman" w:eastAsia="Times New Roman" w:hAnsi="Times New Roman" w:cs="Times New Roman"/>
          <w:sz w:val="20"/>
          <w:szCs w:val="20"/>
        </w:rPr>
        <w:t xml:space="preserve">Nova Jérsei (EUA): Princeton University Press, 2012. p. 3. Esses mesmos autores destacam: “[...] acreditamos que as técnicas quantitativas e qualitativas são apropriadas para diferentes tarefas de pesquisa e são projetadas para alcançar diferentes objetivos de pesquisa.” </w:t>
      </w:r>
      <w:r w:rsidRPr="00BD0A74">
        <w:rPr>
          <w:rFonts w:ascii="Times New Roman" w:eastAsia="Times New Roman" w:hAnsi="Times New Roman" w:cs="Times New Roman"/>
          <w:sz w:val="20"/>
          <w:szCs w:val="20"/>
          <w:lang w:val="en-US"/>
        </w:rPr>
        <w:t xml:space="preserve">No original: “[...] we believe that quantitative and qualitative techniques are appropriate for different research tasks and are designed to achieve different research goals.”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Ibid.</w:t>
      </w:r>
      <w:r>
        <w:rPr>
          <w:rFonts w:ascii="Times New Roman" w:eastAsia="Times New Roman" w:hAnsi="Times New Roman" w:cs="Times New Roman"/>
          <w:sz w:val="20"/>
          <w:szCs w:val="20"/>
        </w:rPr>
        <w:t xml:space="preserve">, p. 3). </w:t>
      </w:r>
    </w:p>
    <w:p w14:paraId="11571F7F" w14:textId="77777777" w:rsidR="003A2C3C" w:rsidRDefault="003A2C3C">
      <w:pPr>
        <w:spacing w:line="240" w:lineRule="auto"/>
        <w:jc w:val="both"/>
        <w:rPr>
          <w:rFonts w:ascii="Times New Roman" w:eastAsia="Times New Roman" w:hAnsi="Times New Roman" w:cs="Times New Roman"/>
          <w:sz w:val="20"/>
          <w:szCs w:val="20"/>
        </w:rPr>
      </w:pPr>
    </w:p>
  </w:footnote>
  <w:footnote w:id="21">
    <w:p w14:paraId="11571F80" w14:textId="77777777" w:rsidR="003A2C3C" w:rsidRDefault="00235C05">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GOMES NETO, José Mário Wanderley; BARBOSA, Luis Felipe Andrade; PAULA FILHO, Alexandre Moura Alves de. </w:t>
      </w:r>
      <w:r>
        <w:rPr>
          <w:rFonts w:ascii="Times New Roman" w:eastAsia="Times New Roman" w:hAnsi="Times New Roman" w:cs="Times New Roman"/>
          <w:i/>
          <w:sz w:val="20"/>
          <w:szCs w:val="20"/>
        </w:rPr>
        <w:t xml:space="preserve">O que nos dizem os </w:t>
      </w:r>
      <w:proofErr w:type="gramStart"/>
      <w:r>
        <w:rPr>
          <w:rFonts w:ascii="Times New Roman" w:eastAsia="Times New Roman" w:hAnsi="Times New Roman" w:cs="Times New Roman"/>
          <w:i/>
          <w:sz w:val="20"/>
          <w:szCs w:val="20"/>
        </w:rPr>
        <w:t>dados?</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uma introdução à pesquisa jurídica quantitativa. Petrópolis, RJ: Vozes, 2023. p. 25.</w:t>
      </w:r>
    </w:p>
    <w:p w14:paraId="11571F81" w14:textId="77777777" w:rsidR="003A2C3C" w:rsidRDefault="003A2C3C">
      <w:pPr>
        <w:spacing w:line="240" w:lineRule="auto"/>
        <w:rPr>
          <w:rFonts w:ascii="Times New Roman" w:eastAsia="Times New Roman" w:hAnsi="Times New Roman" w:cs="Times New Roman"/>
          <w:sz w:val="20"/>
          <w:szCs w:val="20"/>
        </w:rPr>
      </w:pPr>
    </w:p>
  </w:footnote>
  <w:footnote w:id="22">
    <w:p w14:paraId="11571F82" w14:textId="77777777" w:rsidR="003A2C3C" w:rsidRDefault="00235C05">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Algumas dessas técnicas qualitativas, como a análise de conteúdo, o estudo de caso, o QCA e o </w:t>
      </w:r>
      <w:r>
        <w:rPr>
          <w:rFonts w:ascii="Times New Roman" w:eastAsia="Times New Roman" w:hAnsi="Times New Roman" w:cs="Times New Roman"/>
          <w:i/>
          <w:sz w:val="20"/>
          <w:szCs w:val="20"/>
        </w:rPr>
        <w:t>process tracing</w:t>
      </w:r>
      <w:r>
        <w:rPr>
          <w:rFonts w:ascii="Times New Roman" w:eastAsia="Times New Roman" w:hAnsi="Times New Roman" w:cs="Times New Roman"/>
          <w:sz w:val="20"/>
          <w:szCs w:val="20"/>
        </w:rPr>
        <w:t xml:space="preserve">, constam de manuais de aplicação editados pela Escola Nacional de Administração Pública (ENAP), vinculada à Administração Pública Federal. Esses manuais podem ser consultados aqui: https://repositorio.enap.gov.br/. </w:t>
      </w:r>
    </w:p>
    <w:p w14:paraId="11571F83" w14:textId="77777777" w:rsidR="003A2C3C" w:rsidRDefault="003A2C3C">
      <w:pPr>
        <w:spacing w:line="240" w:lineRule="auto"/>
        <w:jc w:val="both"/>
        <w:rPr>
          <w:rFonts w:ascii="Times New Roman" w:eastAsia="Times New Roman" w:hAnsi="Times New Roman" w:cs="Times New Roman"/>
          <w:sz w:val="20"/>
          <w:szCs w:val="20"/>
        </w:rPr>
      </w:pPr>
    </w:p>
  </w:footnote>
  <w:footnote w:id="23">
    <w:p w14:paraId="11571F84" w14:textId="77777777" w:rsidR="003A2C3C" w:rsidRDefault="00235C05">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Vide o relatório anual do Justiça em Números: https://www.cnj.jus.br/pesquisas-judiciarias/justica-em-numeros/</w:t>
      </w:r>
    </w:p>
    <w:p w14:paraId="11571F85" w14:textId="77777777" w:rsidR="003A2C3C" w:rsidRDefault="003A2C3C">
      <w:pPr>
        <w:spacing w:line="240" w:lineRule="auto"/>
        <w:jc w:val="both"/>
        <w:rPr>
          <w:rFonts w:ascii="Times New Roman" w:eastAsia="Times New Roman" w:hAnsi="Times New Roman" w:cs="Times New Roman"/>
          <w:sz w:val="20"/>
          <w:szCs w:val="20"/>
        </w:rPr>
      </w:pPr>
    </w:p>
  </w:footnote>
  <w:footnote w:id="24">
    <w:p w14:paraId="11571F86" w14:textId="77777777" w:rsidR="003A2C3C" w:rsidRDefault="00235C05">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NUNES, Marcelo Guedes. </w:t>
      </w:r>
      <w:r>
        <w:rPr>
          <w:rFonts w:ascii="Times New Roman" w:eastAsia="Times New Roman" w:hAnsi="Times New Roman" w:cs="Times New Roman"/>
          <w:i/>
          <w:sz w:val="20"/>
          <w:szCs w:val="20"/>
        </w:rPr>
        <w:t xml:space="preserve">Jurimetria </w:t>
      </w:r>
      <w:r>
        <w:rPr>
          <w:rFonts w:ascii="Times New Roman" w:eastAsia="Times New Roman" w:hAnsi="Times New Roman" w:cs="Times New Roman"/>
          <w:sz w:val="20"/>
          <w:szCs w:val="20"/>
        </w:rPr>
        <w:t>[livro eletrônico]: como a estatística pode reinventar o direito. 2. ed. São Paulo: Thomson Reuters Brasil, 2020.</w:t>
      </w:r>
    </w:p>
    <w:p w14:paraId="11571F87" w14:textId="77777777" w:rsidR="003A2C3C" w:rsidRDefault="003A2C3C">
      <w:pPr>
        <w:spacing w:line="240" w:lineRule="auto"/>
        <w:rPr>
          <w:rFonts w:ascii="Times New Roman" w:eastAsia="Times New Roman" w:hAnsi="Times New Roman" w:cs="Times New Roman"/>
          <w:sz w:val="20"/>
          <w:szCs w:val="20"/>
        </w:rPr>
      </w:pPr>
    </w:p>
  </w:footnote>
  <w:footnote w:id="25">
    <w:p w14:paraId="11571F88" w14:textId="77777777" w:rsidR="003A2C3C" w:rsidRDefault="00235C05">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TRIOLA, Mario F. </w:t>
      </w:r>
      <w:r>
        <w:rPr>
          <w:rFonts w:ascii="Times New Roman" w:eastAsia="Times New Roman" w:hAnsi="Times New Roman" w:cs="Times New Roman"/>
          <w:i/>
          <w:sz w:val="20"/>
          <w:szCs w:val="20"/>
        </w:rPr>
        <w:t>Introdução à estatística.</w:t>
      </w:r>
      <w:r>
        <w:rPr>
          <w:rFonts w:ascii="Times New Roman" w:eastAsia="Times New Roman" w:hAnsi="Times New Roman" w:cs="Times New Roman"/>
          <w:sz w:val="20"/>
          <w:szCs w:val="20"/>
        </w:rPr>
        <w:t xml:space="preserve"> 12. ed. Rio da </w:t>
      </w:r>
      <w:proofErr w:type="gramStart"/>
      <w:r>
        <w:rPr>
          <w:rFonts w:ascii="Times New Roman" w:eastAsia="Times New Roman" w:hAnsi="Times New Roman" w:cs="Times New Roman"/>
          <w:sz w:val="20"/>
          <w:szCs w:val="20"/>
        </w:rPr>
        <w:t>Janeiro</w:t>
      </w:r>
      <w:proofErr w:type="gramEnd"/>
      <w:r>
        <w:rPr>
          <w:rFonts w:ascii="Times New Roman" w:eastAsia="Times New Roman" w:hAnsi="Times New Roman" w:cs="Times New Roman"/>
          <w:sz w:val="20"/>
          <w:szCs w:val="20"/>
        </w:rPr>
        <w:t xml:space="preserve">: LTC, 2017. </w:t>
      </w:r>
      <w:r>
        <w:rPr>
          <w:rFonts w:ascii="Times New Roman" w:eastAsia="Times New Roman" w:hAnsi="Times New Roman" w:cs="Times New Roman"/>
          <w:i/>
          <w:sz w:val="20"/>
          <w:szCs w:val="20"/>
        </w:rPr>
        <w:t>passim.</w:t>
      </w:r>
      <w:r>
        <w:rPr>
          <w:sz w:val="20"/>
          <w:szCs w:val="20"/>
        </w:rPr>
        <w:tab/>
      </w:r>
    </w:p>
    <w:p w14:paraId="11571F89" w14:textId="77777777" w:rsidR="003A2C3C" w:rsidRDefault="003A2C3C">
      <w:pPr>
        <w:spacing w:line="240" w:lineRule="auto"/>
        <w:rPr>
          <w:sz w:val="20"/>
          <w:szCs w:val="20"/>
        </w:rPr>
      </w:pPr>
    </w:p>
  </w:footnote>
  <w:footnote w:id="26">
    <w:p w14:paraId="11571F8A" w14:textId="77777777" w:rsidR="003A2C3C" w:rsidRDefault="00235C05">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As técnicas na estatística inferencial são as mais variadas possíveis, estando </w:t>
      </w:r>
      <w:proofErr w:type="gramStart"/>
      <w:r>
        <w:rPr>
          <w:rFonts w:ascii="Times New Roman" w:eastAsia="Times New Roman" w:hAnsi="Times New Roman" w:cs="Times New Roman"/>
          <w:sz w:val="20"/>
          <w:szCs w:val="20"/>
        </w:rPr>
        <w:t>os teste</w:t>
      </w:r>
      <w:proofErr w:type="gramEnd"/>
      <w:r>
        <w:rPr>
          <w:rFonts w:ascii="Times New Roman" w:eastAsia="Times New Roman" w:hAnsi="Times New Roman" w:cs="Times New Roman"/>
          <w:sz w:val="20"/>
          <w:szCs w:val="20"/>
        </w:rPr>
        <w:t xml:space="preserve"> de correlação e os modelos de regressão dentre os mais utilizados. Para mais detalhes, vide: GOMES NETO, José Mário Wanderley; BARBOSA, Luis Felipe Andrade; PAULA FILHO, Alexandre Moura Alves de. </w:t>
      </w:r>
      <w:r>
        <w:rPr>
          <w:rFonts w:ascii="Times New Roman" w:eastAsia="Times New Roman" w:hAnsi="Times New Roman" w:cs="Times New Roman"/>
          <w:i/>
          <w:sz w:val="20"/>
          <w:szCs w:val="20"/>
        </w:rPr>
        <w:t xml:space="preserve">O que nos dizem os </w:t>
      </w:r>
      <w:proofErr w:type="gramStart"/>
      <w:r>
        <w:rPr>
          <w:rFonts w:ascii="Times New Roman" w:eastAsia="Times New Roman" w:hAnsi="Times New Roman" w:cs="Times New Roman"/>
          <w:i/>
          <w:sz w:val="20"/>
          <w:szCs w:val="20"/>
        </w:rPr>
        <w:t>dados?</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uma introdução à pesquisa jurídica quantitativa. Petrópolis, RJ: Vozes, 2023.  </w:t>
      </w:r>
    </w:p>
    <w:p w14:paraId="11571F8B" w14:textId="77777777" w:rsidR="003A2C3C" w:rsidRDefault="003A2C3C">
      <w:pPr>
        <w:spacing w:line="240" w:lineRule="auto"/>
        <w:jc w:val="both"/>
        <w:rPr>
          <w:rFonts w:ascii="Times New Roman" w:eastAsia="Times New Roman" w:hAnsi="Times New Roman" w:cs="Times New Roman"/>
          <w:sz w:val="20"/>
          <w:szCs w:val="20"/>
        </w:rPr>
      </w:pPr>
    </w:p>
  </w:footnote>
  <w:footnote w:id="27">
    <w:p w14:paraId="11571F8C" w14:textId="77777777" w:rsidR="003A2C3C" w:rsidRDefault="00235C05">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Os exemplos das letras “a”, “b” e “c” foram extraídos de GOMES NETO, José Mário Wanderley; BARBOSA, Luis Felipe Andrade; PAULA FILHO, Alexandre Moura Alves de. </w:t>
      </w:r>
      <w:r>
        <w:rPr>
          <w:rFonts w:ascii="Times New Roman" w:eastAsia="Times New Roman" w:hAnsi="Times New Roman" w:cs="Times New Roman"/>
          <w:i/>
          <w:sz w:val="20"/>
          <w:szCs w:val="20"/>
        </w:rPr>
        <w:t xml:space="preserve">O que nos dizem os </w:t>
      </w:r>
      <w:proofErr w:type="gramStart"/>
      <w:r>
        <w:rPr>
          <w:rFonts w:ascii="Times New Roman" w:eastAsia="Times New Roman" w:hAnsi="Times New Roman" w:cs="Times New Roman"/>
          <w:i/>
          <w:sz w:val="20"/>
          <w:szCs w:val="20"/>
        </w:rPr>
        <w:t>dados?</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uma introdução à pesquisa jurídica quantitativa. Petrópolis, RJ: Vozes, 2023. Por sua vez, os exemplos das letras “d”, “e” e “f” foram selecionados de NUNES, Marcelo Guedes. </w:t>
      </w:r>
      <w:r>
        <w:rPr>
          <w:rFonts w:ascii="Times New Roman" w:eastAsia="Times New Roman" w:hAnsi="Times New Roman" w:cs="Times New Roman"/>
          <w:i/>
          <w:sz w:val="20"/>
          <w:szCs w:val="20"/>
        </w:rPr>
        <w:t xml:space="preserve">Jurimetria </w:t>
      </w:r>
      <w:r>
        <w:rPr>
          <w:rFonts w:ascii="Times New Roman" w:eastAsia="Times New Roman" w:hAnsi="Times New Roman" w:cs="Times New Roman"/>
          <w:sz w:val="20"/>
          <w:szCs w:val="20"/>
        </w:rPr>
        <w:t xml:space="preserve">[livro eletrônico]: como a estatística pode reinventar o direito. 2. ed. São Paulo: Thomson Reuters Brasil, 2020. Por fim, o exemplo da letra “g” foi colhido de MELO, Tiago; MEDEIROS, Richerland. Estudo exploratório sobre aplicação de técnica de análise semântica latente, para vinculação de processos judiciais a temas de repercussão geral e incidente de resolução de demanda repetitiva. </w:t>
      </w:r>
      <w:r>
        <w:rPr>
          <w:rFonts w:ascii="Times New Roman" w:eastAsia="Times New Roman" w:hAnsi="Times New Roman" w:cs="Times New Roman"/>
          <w:i/>
          <w:sz w:val="20"/>
          <w:szCs w:val="20"/>
        </w:rPr>
        <w:t>Revista de Direito e as Novas Tecnologias</w:t>
      </w:r>
      <w:r>
        <w:rPr>
          <w:rFonts w:ascii="Times New Roman" w:eastAsia="Times New Roman" w:hAnsi="Times New Roman" w:cs="Times New Roman"/>
          <w:sz w:val="20"/>
          <w:szCs w:val="20"/>
        </w:rPr>
        <w:t xml:space="preserve">. vol. 1. ano 1. São Paulo: Ed. RT, p. RR-12.1-RR-12.9, out.-dez. 2018. Disponível em: https://next-proview.thomsonreuters.com/title. Acesso em: 29 ago. 2023. São exemplos tanto do uso de estatística descritiva como do uso da estatística inferencial. </w:t>
      </w:r>
    </w:p>
  </w:footnote>
  <w:footnote w:id="28">
    <w:p w14:paraId="11571F8D" w14:textId="77777777" w:rsidR="003A2C3C" w:rsidRDefault="00235C05">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Art. 48 da Lei Complementar nº 2/1990 e art. 4º, inciso XLII do Decreto nº 49.355/2020.</w:t>
      </w:r>
    </w:p>
    <w:p w14:paraId="11571F8E" w14:textId="77777777" w:rsidR="003A2C3C" w:rsidRDefault="003A2C3C">
      <w:pPr>
        <w:spacing w:line="240" w:lineRule="auto"/>
        <w:jc w:val="both"/>
        <w:rPr>
          <w:rFonts w:ascii="Times New Roman" w:eastAsia="Times New Roman" w:hAnsi="Times New Roman" w:cs="Times New Roman"/>
          <w:sz w:val="20"/>
          <w:szCs w:val="20"/>
        </w:rPr>
      </w:pPr>
    </w:p>
  </w:footnote>
  <w:footnote w:id="29">
    <w:p w14:paraId="11571F8F" w14:textId="77777777" w:rsidR="003A2C3C" w:rsidRDefault="00235C05">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PERNAMBUCO. Procuradoria Geral do Estado. </w:t>
      </w:r>
      <w:r>
        <w:rPr>
          <w:rFonts w:ascii="Times New Roman" w:eastAsia="Times New Roman" w:hAnsi="Times New Roman" w:cs="Times New Roman"/>
          <w:sz w:val="20"/>
          <w:szCs w:val="20"/>
          <w:highlight w:val="white"/>
        </w:rPr>
        <w:t xml:space="preserve">Ferramentas tecnológicas desenvolvidas pela PGE-PE ganham projeção nacional. Disponível em:  </w:t>
      </w:r>
      <w:r>
        <w:rPr>
          <w:rFonts w:ascii="Times New Roman" w:eastAsia="Times New Roman" w:hAnsi="Times New Roman" w:cs="Times New Roman"/>
          <w:sz w:val="20"/>
          <w:szCs w:val="20"/>
        </w:rPr>
        <w:t xml:space="preserve">http://www.pge.pe.gov.br/?2146_ferramentas_tecnologicas_desenvolvidas_pela_pge-pe_ganham_projecao_nacional. Acesso em: 15 julho. 2023. Destaque-se, quanto a isso, que a PGE/PE tem realizado vários tipos de levantamento e processamento de dados, tais como: a) o mapeamento, com o posterior desenvolvimento de </w:t>
      </w:r>
      <w:r>
        <w:rPr>
          <w:rFonts w:ascii="Times New Roman" w:eastAsia="Times New Roman" w:hAnsi="Times New Roman" w:cs="Times New Roman"/>
          <w:i/>
          <w:sz w:val="20"/>
          <w:szCs w:val="20"/>
        </w:rPr>
        <w:t>dashboards,</w:t>
      </w:r>
      <w:r>
        <w:rPr>
          <w:rFonts w:ascii="Times New Roman" w:eastAsia="Times New Roman" w:hAnsi="Times New Roman" w:cs="Times New Roman"/>
          <w:sz w:val="20"/>
          <w:szCs w:val="20"/>
        </w:rPr>
        <w:t xml:space="preserve"> da dívida ativa do Estado de Pernambuco, com a classificação da dívida recuperável, de modo a proceder a ajuizamentos seletivos; b) análise do estoque de processos componentes do contencioso tributário, com a meta de automatizar fluxos; c) dentre outras experiências que tiveram o objetivo de otimizar a arrecadação do Estado. Quanto a essas experiências, vide:  http://www.pge.pe.gov.br/noticias.aspx. Acesso em: 29 ago. 2023.</w:t>
      </w:r>
    </w:p>
  </w:footnote>
  <w:footnote w:id="30">
    <w:p w14:paraId="11571F90" w14:textId="77777777" w:rsidR="003A2C3C" w:rsidRDefault="00235C05">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O Sistema de Automação da Justiça (SAJ) Procuradorias é uma solução desenvolvida pela Softplan e utilizada por Procuradorias Estaduais e Municipais para a gestão de processos físicos e digitais em várias esferas da Justiça.</w:t>
      </w:r>
    </w:p>
  </w:footnote>
  <w:footnote w:id="31">
    <w:p w14:paraId="11571F91" w14:textId="77777777" w:rsidR="003A2C3C" w:rsidRDefault="00235C05">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A etapa de extração de informações contou com a participação fundamental do assessor da PGE/PE Denilson Luandersson.</w:t>
      </w:r>
    </w:p>
  </w:footnote>
  <w:footnote w:id="32">
    <w:p w14:paraId="11571F92" w14:textId="77777777" w:rsidR="003A2C3C" w:rsidRDefault="00235C05">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A etapa de análise das decisões judiciais foi realizada com o auxílio de estagiários - com destaque para Danilo Silva, que também colaborou na criação dos painéis de controle - com supervisão do Procurador do Estado que conduziu o estudo.</w:t>
      </w:r>
    </w:p>
  </w:footnote>
  <w:footnote w:id="33">
    <w:p w14:paraId="11571F93" w14:textId="77777777" w:rsidR="003A2C3C" w:rsidRDefault="00235C05">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R é uma linguagem e ambiente para computação estatística e gráficos. É um conjunto integrado de recursos de software para manipulação de dados, cálculo e exibição gráfica. Disponível em: </w:t>
      </w:r>
      <w:hyperlink r:id="rId1">
        <w:r>
          <w:rPr>
            <w:rFonts w:ascii="Times New Roman" w:eastAsia="Times New Roman" w:hAnsi="Times New Roman" w:cs="Times New Roman"/>
            <w:sz w:val="20"/>
            <w:szCs w:val="20"/>
          </w:rPr>
          <w:t>https://www.r-project.org/about.html</w:t>
        </w:r>
      </w:hyperlink>
      <w:r>
        <w:rPr>
          <w:rFonts w:ascii="Times New Roman" w:eastAsia="Times New Roman" w:hAnsi="Times New Roman" w:cs="Times New Roman"/>
          <w:sz w:val="20"/>
          <w:szCs w:val="20"/>
        </w:rPr>
        <w:t>. Acesso em: 21 ago. 2023.</w:t>
      </w:r>
    </w:p>
    <w:p w14:paraId="11571F94" w14:textId="77777777" w:rsidR="003A2C3C" w:rsidRDefault="003A2C3C">
      <w:pPr>
        <w:spacing w:line="240" w:lineRule="auto"/>
        <w:jc w:val="both"/>
        <w:rPr>
          <w:rFonts w:ascii="Times New Roman" w:eastAsia="Times New Roman" w:hAnsi="Times New Roman" w:cs="Times New Roman"/>
          <w:sz w:val="20"/>
          <w:szCs w:val="20"/>
        </w:rPr>
      </w:pPr>
    </w:p>
  </w:footnote>
  <w:footnote w:id="34">
    <w:p w14:paraId="11571F95" w14:textId="77777777" w:rsidR="003A2C3C" w:rsidRDefault="00235C05">
      <w:pPr>
        <w:spacing w:line="240" w:lineRule="auto"/>
        <w:jc w:val="both"/>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BITTENCOURT, Priscilla Aparecida Santana; BARROS, Daniela Melaré Vieira; ALBINO, João Pedro. A linguagem R e sua importância na recolha e análise dos dados. In: </w:t>
      </w:r>
      <w:r>
        <w:rPr>
          <w:rFonts w:ascii="Times New Roman" w:eastAsia="Times New Roman" w:hAnsi="Times New Roman" w:cs="Times New Roman"/>
          <w:i/>
          <w:sz w:val="20"/>
          <w:szCs w:val="20"/>
          <w:highlight w:val="white"/>
        </w:rPr>
        <w:t>Atas do Congresso Internacional sobre Avaliação no Ensino Superior</w:t>
      </w:r>
      <w:r>
        <w:rPr>
          <w:rFonts w:ascii="Times New Roman" w:eastAsia="Times New Roman" w:hAnsi="Times New Roman" w:cs="Times New Roman"/>
          <w:sz w:val="20"/>
          <w:szCs w:val="20"/>
          <w:highlight w:val="white"/>
        </w:rPr>
        <w:t>. Braga: Universidade do Minho, Instituto de Educação Centro de Investigação em Estudos da Criança, 2019, v. 1, p. 179. Disponível em: https://www.researchgate.net/publication/343700418_Estudo_Cientometrico_sobre_Aprendizagem_Tecnologia_e_Ensino_Superior. Acesso em: 29 ago. 2023.</w:t>
      </w:r>
    </w:p>
    <w:p w14:paraId="11571F96" w14:textId="77777777" w:rsidR="003A2C3C" w:rsidRDefault="003A2C3C">
      <w:pPr>
        <w:spacing w:line="240" w:lineRule="auto"/>
        <w:jc w:val="both"/>
        <w:rPr>
          <w:rFonts w:ascii="Times New Roman" w:eastAsia="Times New Roman" w:hAnsi="Times New Roman" w:cs="Times New Roman"/>
          <w:sz w:val="20"/>
          <w:szCs w:val="20"/>
          <w:highlight w:val="white"/>
        </w:rPr>
      </w:pPr>
    </w:p>
  </w:footnote>
  <w:footnote w:id="35">
    <w:p w14:paraId="11571F97" w14:textId="77777777" w:rsidR="003A2C3C" w:rsidRDefault="00235C05">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YUKIHARA, Eduardo. R – Um ambiente de trabalho gratuito para análise e visualização de dados. In Ciência Prática. [Online]. Disponível em: https://cienciapratica.wordpress.com/2014/12/02/r-uma-linguagem-gratuita-para-analisee-visualizacao-de-dados/. Acesso em: 21 ago. 2023.</w:t>
      </w:r>
    </w:p>
    <w:p w14:paraId="11571F98" w14:textId="77777777" w:rsidR="003A2C3C" w:rsidRDefault="003A2C3C">
      <w:pPr>
        <w:spacing w:line="240" w:lineRule="auto"/>
        <w:jc w:val="both"/>
        <w:rPr>
          <w:rFonts w:ascii="Times New Roman" w:eastAsia="Times New Roman" w:hAnsi="Times New Roman" w:cs="Times New Roman"/>
          <w:sz w:val="20"/>
          <w:szCs w:val="20"/>
        </w:rPr>
      </w:pPr>
    </w:p>
  </w:footnote>
  <w:footnote w:id="36">
    <w:p w14:paraId="11571F99" w14:textId="77777777" w:rsidR="003A2C3C" w:rsidRDefault="00235C05">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Power BI é uma plataforma unificada e escalonável para business intelligence (BI) empresarial e de autoatendimento, lançada em 2015 pela Microsoft. Disponível em: https://powerbi.microsoft.com/pt-br/what-is-power-bi/. Acesso em: 21.08.2023. </w:t>
      </w:r>
    </w:p>
    <w:p w14:paraId="11571F9A" w14:textId="77777777" w:rsidR="003A2C3C" w:rsidRDefault="003A2C3C">
      <w:pPr>
        <w:spacing w:line="240" w:lineRule="auto"/>
        <w:jc w:val="both"/>
        <w:rPr>
          <w:rFonts w:ascii="Times New Roman" w:eastAsia="Times New Roman" w:hAnsi="Times New Roman" w:cs="Times New Roman"/>
          <w:sz w:val="20"/>
          <w:szCs w:val="20"/>
        </w:rPr>
      </w:pPr>
    </w:p>
  </w:footnote>
  <w:footnote w:id="37">
    <w:p w14:paraId="11571F9B" w14:textId="77777777" w:rsidR="003A2C3C" w:rsidRDefault="00235C05">
      <w:pPr>
        <w:spacing w:line="240" w:lineRule="auto"/>
        <w:jc w:val="both"/>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rPr>
        <w:t xml:space="preserve"> O ChatGPT é </w:t>
      </w:r>
      <w:r>
        <w:rPr>
          <w:rFonts w:ascii="Times New Roman" w:eastAsia="Times New Roman" w:hAnsi="Times New Roman" w:cs="Times New Roman"/>
          <w:sz w:val="20"/>
          <w:szCs w:val="20"/>
          <w:highlight w:val="white"/>
        </w:rPr>
        <w:t xml:space="preserve">um modelo de linguagem treinado para produzir texto, e foi otimizado para o diálogo usando Aprendizagem por Reforço com Feedback Humano (RLHF) – um método que usa demonstrações humanas e comparações de preferências para guiar o modelo em direção ao comportamento desejado. Disponível em: </w:t>
      </w:r>
      <w:hyperlink r:id="rId2">
        <w:r>
          <w:rPr>
            <w:rFonts w:ascii="Times New Roman" w:eastAsia="Times New Roman" w:hAnsi="Times New Roman" w:cs="Times New Roman"/>
            <w:sz w:val="20"/>
            <w:szCs w:val="20"/>
          </w:rPr>
          <w:t>https://help.openai.com/en/articles/6783457-what-is-chatgpt</w:t>
        </w:r>
      </w:hyperlink>
      <w:r>
        <w:rPr>
          <w:rFonts w:ascii="Times New Roman" w:eastAsia="Times New Roman" w:hAnsi="Times New Roman" w:cs="Times New Roman"/>
          <w:sz w:val="20"/>
          <w:szCs w:val="20"/>
          <w:highlight w:val="white"/>
        </w:rPr>
        <w:t>. Acesso em 31 jul. 2023.</w:t>
      </w:r>
    </w:p>
    <w:p w14:paraId="11571F9C" w14:textId="77777777" w:rsidR="003A2C3C" w:rsidRDefault="003A2C3C">
      <w:pPr>
        <w:spacing w:line="240" w:lineRule="auto"/>
        <w:jc w:val="both"/>
        <w:rPr>
          <w:rFonts w:ascii="Times New Roman" w:eastAsia="Times New Roman" w:hAnsi="Times New Roman" w:cs="Times New Roman"/>
          <w:sz w:val="20"/>
          <w:szCs w:val="20"/>
          <w:highlight w:val="white"/>
        </w:rPr>
      </w:pPr>
    </w:p>
  </w:footnote>
  <w:footnote w:id="38">
    <w:p w14:paraId="11571F9D" w14:textId="77777777" w:rsidR="003A2C3C" w:rsidRDefault="00235C05">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Prompt é um comando (entrada), que pode ser, por exemplo, </w:t>
      </w:r>
      <w:proofErr w:type="gramStart"/>
      <w:r>
        <w:rPr>
          <w:rFonts w:ascii="Times New Roman" w:eastAsia="Times New Roman" w:hAnsi="Times New Roman" w:cs="Times New Roman"/>
          <w:sz w:val="20"/>
          <w:szCs w:val="20"/>
        </w:rPr>
        <w:t>uma  pergunta</w:t>
      </w:r>
      <w:proofErr w:type="gramEnd"/>
      <w:r>
        <w:rPr>
          <w:rFonts w:ascii="Times New Roman" w:eastAsia="Times New Roman" w:hAnsi="Times New Roman" w:cs="Times New Roman"/>
          <w:sz w:val="20"/>
          <w:szCs w:val="20"/>
        </w:rPr>
        <w:t>, frase ou tarefa, fornecida pelo usuário a um modelo de linguagem (ex. ChatGPT), para que seja apresentada uma resposta (saída).</w:t>
      </w:r>
    </w:p>
  </w:footnote>
  <w:footnote w:id="39">
    <w:p w14:paraId="11571F9E" w14:textId="77777777" w:rsidR="003A2C3C" w:rsidRDefault="00235C05">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Explicação de tabela dinâmica no Excel e a sua importância para a criação dos Dashboards. Falar da composição em linhas, colunas e valores.</w:t>
      </w:r>
    </w:p>
    <w:p w14:paraId="11571F9F" w14:textId="77777777" w:rsidR="003A2C3C" w:rsidRDefault="003A2C3C">
      <w:pPr>
        <w:spacing w:line="240" w:lineRule="auto"/>
        <w:rPr>
          <w:rFonts w:ascii="Times New Roman" w:eastAsia="Times New Roman" w:hAnsi="Times New Roman" w:cs="Times New Roman"/>
          <w:sz w:val="20"/>
          <w:szCs w:val="20"/>
        </w:rPr>
      </w:pPr>
    </w:p>
  </w:footnote>
  <w:footnote w:id="40">
    <w:p w14:paraId="11571FA0" w14:textId="77777777" w:rsidR="003A2C3C" w:rsidRDefault="00235C05">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As células que contêm os números das tutelas concedidas e indeferidas foram desfocadas para preservar os dados obtidos.</w:t>
      </w:r>
    </w:p>
    <w:p w14:paraId="11571FA1" w14:textId="77777777" w:rsidR="003A2C3C" w:rsidRDefault="003A2C3C">
      <w:pPr>
        <w:spacing w:line="240" w:lineRule="auto"/>
        <w:rPr>
          <w:sz w:val="20"/>
          <w:szCs w:val="20"/>
        </w:rPr>
      </w:pPr>
    </w:p>
  </w:footnote>
  <w:footnote w:id="41">
    <w:p w14:paraId="11571FA2" w14:textId="77777777" w:rsidR="003A2C3C" w:rsidRDefault="00235C05">
      <w:pPr>
        <w:spacing w:line="240" w:lineRule="auto"/>
        <w:jc w:val="both"/>
        <w:rPr>
          <w:rFonts w:ascii="Times New Roman" w:eastAsia="Times New Roman" w:hAnsi="Times New Roman" w:cs="Times New Roman"/>
          <w:sz w:val="20"/>
          <w:szCs w:val="20"/>
          <w:shd w:val="clear" w:color="auto" w:fill="F7F7F8"/>
        </w:rPr>
      </w:pPr>
      <w:r>
        <w:rPr>
          <w:vertAlign w:val="superscript"/>
        </w:rPr>
        <w:footnoteRef/>
      </w:r>
      <w:r>
        <w:rPr>
          <w:rFonts w:ascii="Times New Roman" w:eastAsia="Times New Roman" w:hAnsi="Times New Roman" w:cs="Times New Roman"/>
          <w:sz w:val="20"/>
          <w:szCs w:val="20"/>
        </w:rPr>
        <w:t xml:space="preserve"> Alucinações são respostas que não condizem com a realidade, fornecidas de modo confiante pelo modelo de linguagem, mas que não podem ser explicadas pelos dados de treinamento. </w:t>
      </w:r>
      <w:r>
        <w:rPr>
          <w:rFonts w:ascii="Times New Roman" w:eastAsia="Times New Roman" w:hAnsi="Times New Roman" w:cs="Times New Roman"/>
          <w:sz w:val="20"/>
          <w:szCs w:val="20"/>
          <w:shd w:val="clear" w:color="auto" w:fill="F7F7F8"/>
        </w:rPr>
        <w:t xml:space="preserve">Ocorrem, portanto, quando o modelo não encontra justificativa nos dados de treinamento para a pergunta feita, mas ainda assim tenta produzir uma resposta com base na probabilidade das palavras. RODRIGUES CATALANO, J. V.; ROSSI LORENZI, B. </w:t>
      </w:r>
      <w:r>
        <w:rPr>
          <w:rFonts w:ascii="Times New Roman" w:eastAsia="Times New Roman" w:hAnsi="Times New Roman" w:cs="Times New Roman"/>
          <w:i/>
          <w:sz w:val="20"/>
          <w:szCs w:val="20"/>
          <w:shd w:val="clear" w:color="auto" w:fill="F7F7F8"/>
        </w:rPr>
        <w:t>Sem referências</w:t>
      </w:r>
      <w:r>
        <w:rPr>
          <w:rFonts w:ascii="Times New Roman" w:eastAsia="Times New Roman" w:hAnsi="Times New Roman" w:cs="Times New Roman"/>
          <w:sz w:val="20"/>
          <w:szCs w:val="20"/>
          <w:shd w:val="clear" w:color="auto" w:fill="F7F7F8"/>
        </w:rPr>
        <w:t xml:space="preserve">: o ChatGPT sob a perspectiva latouriana e a armadilha do Duplo Clique. Revista Faz Ciência, </w:t>
      </w:r>
      <w:r>
        <w:rPr>
          <w:rFonts w:ascii="Times New Roman" w:eastAsia="Times New Roman" w:hAnsi="Times New Roman" w:cs="Times New Roman"/>
          <w:i/>
          <w:sz w:val="20"/>
          <w:szCs w:val="20"/>
          <w:shd w:val="clear" w:color="auto" w:fill="F7F7F8"/>
        </w:rPr>
        <w:t>[S. l.]</w:t>
      </w:r>
      <w:r>
        <w:rPr>
          <w:rFonts w:ascii="Times New Roman" w:eastAsia="Times New Roman" w:hAnsi="Times New Roman" w:cs="Times New Roman"/>
          <w:sz w:val="20"/>
          <w:szCs w:val="20"/>
          <w:shd w:val="clear" w:color="auto" w:fill="F7F7F8"/>
        </w:rPr>
        <w:t>, v. 25, n. 41, 2023. DOI: 10.48075/</w:t>
      </w:r>
      <w:proofErr w:type="gramStart"/>
      <w:r>
        <w:rPr>
          <w:rFonts w:ascii="Times New Roman" w:eastAsia="Times New Roman" w:hAnsi="Times New Roman" w:cs="Times New Roman"/>
          <w:sz w:val="20"/>
          <w:szCs w:val="20"/>
          <w:shd w:val="clear" w:color="auto" w:fill="F7F7F8"/>
        </w:rPr>
        <w:t>rfc.v</w:t>
      </w:r>
      <w:proofErr w:type="gramEnd"/>
      <w:r>
        <w:rPr>
          <w:rFonts w:ascii="Times New Roman" w:eastAsia="Times New Roman" w:hAnsi="Times New Roman" w:cs="Times New Roman"/>
          <w:sz w:val="20"/>
          <w:szCs w:val="20"/>
          <w:shd w:val="clear" w:color="auto" w:fill="F7F7F8"/>
        </w:rPr>
        <w:t>25i41.30761. Disponível em: https://saber.unioeste.br/index.php/fazciencia/article/view/30761. Acesso em: 30 jul. 2023.</w:t>
      </w:r>
    </w:p>
    <w:p w14:paraId="11571FA3" w14:textId="77777777" w:rsidR="003A2C3C" w:rsidRDefault="003A2C3C">
      <w:pPr>
        <w:spacing w:line="240" w:lineRule="auto"/>
        <w:jc w:val="both"/>
        <w:rPr>
          <w:rFonts w:ascii="Times New Roman" w:eastAsia="Times New Roman" w:hAnsi="Times New Roman" w:cs="Times New Roman"/>
          <w:sz w:val="20"/>
          <w:szCs w:val="20"/>
          <w:shd w:val="clear" w:color="auto" w:fill="F7F7F8"/>
        </w:rPr>
      </w:pPr>
    </w:p>
  </w:footnote>
  <w:footnote w:id="42">
    <w:p w14:paraId="11571FA4" w14:textId="77777777" w:rsidR="003A2C3C" w:rsidRDefault="00235C05">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sidRPr="00474ED9">
        <w:rPr>
          <w:rFonts w:ascii="Times New Roman" w:eastAsia="Times New Roman" w:hAnsi="Times New Roman" w:cs="Times New Roman"/>
          <w:sz w:val="20"/>
          <w:szCs w:val="20"/>
        </w:rPr>
        <w:t>OPENAI. ChatGPT Plugins. Disponível em: https://openai.com/blog/chatgpt-plugins#code-interpreter. Acesso em: 31 jul. 2023.</w:t>
      </w:r>
    </w:p>
  </w:footnote>
  <w:footnote w:id="43">
    <w:p w14:paraId="11571FA5" w14:textId="77777777" w:rsidR="003A2C3C" w:rsidRDefault="00235C05">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 jurimetria é a disciplina do conhecimento que utiliza a metodologia estatística para investigar o funcionamento de uma ordem jurídica.” (NUNES, Marcelo Guedes. </w:t>
      </w:r>
      <w:r>
        <w:rPr>
          <w:rFonts w:ascii="Times New Roman" w:eastAsia="Times New Roman" w:hAnsi="Times New Roman" w:cs="Times New Roman"/>
          <w:i/>
          <w:sz w:val="20"/>
          <w:szCs w:val="20"/>
        </w:rPr>
        <w:t>Jurimetria</w:t>
      </w:r>
      <w:r>
        <w:rPr>
          <w:rFonts w:ascii="Times New Roman" w:eastAsia="Times New Roman" w:hAnsi="Times New Roman" w:cs="Times New Roman"/>
          <w:sz w:val="20"/>
          <w:szCs w:val="20"/>
        </w:rPr>
        <w:t xml:space="preserve"> [livro eletrônico]: como a estatística pode reinventar o direito. São Paulo: Editora Revista dos Tribunais. 2016, p. 91.). “Vem se tornando comum a análise preditiva, analytics, jurimetria para prever e prevenir determinados acontecimentos. Na seara processual, igualmente, a expansão de tais verificações são inafastáveis para separar os perfis de litigância, descrever padrões, classificar aplicações, redesenhar caminhos” (VALE, Luís Manoel Borges do. </w:t>
      </w:r>
      <w:r>
        <w:rPr>
          <w:rFonts w:ascii="Times New Roman" w:eastAsia="Times New Roman" w:hAnsi="Times New Roman" w:cs="Times New Roman"/>
          <w:i/>
          <w:sz w:val="20"/>
          <w:szCs w:val="20"/>
        </w:rPr>
        <w:t>Teoria geral do processo tecnológico</w:t>
      </w:r>
      <w:r>
        <w:rPr>
          <w:rFonts w:ascii="Times New Roman" w:eastAsia="Times New Roman" w:hAnsi="Times New Roman" w:cs="Times New Roman"/>
          <w:sz w:val="20"/>
          <w:szCs w:val="20"/>
        </w:rPr>
        <w:t>. São Paulo: Thomson Reuters Brasil, 2023, p. 167.)</w:t>
      </w:r>
    </w:p>
    <w:p w14:paraId="11571FA6" w14:textId="77777777" w:rsidR="003A2C3C" w:rsidRDefault="003A2C3C">
      <w:pPr>
        <w:spacing w:line="240" w:lineRule="auto"/>
        <w:jc w:val="both"/>
        <w:rPr>
          <w:rFonts w:ascii="Times New Roman" w:eastAsia="Times New Roman" w:hAnsi="Times New Roman" w:cs="Times New Roman"/>
          <w:sz w:val="20"/>
          <w:szCs w:val="20"/>
        </w:rPr>
      </w:pPr>
    </w:p>
  </w:footnote>
  <w:footnote w:id="44">
    <w:p w14:paraId="11571FA7" w14:textId="65168A9F" w:rsidR="003A2C3C" w:rsidRDefault="00235C05" w:rsidP="00247306">
      <w:pPr>
        <w:spacing w:line="240" w:lineRule="auto"/>
        <w:jc w:val="both"/>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rPr>
        <w:t xml:space="preserve"> </w:t>
      </w:r>
      <w:r w:rsidR="00247306">
        <w:rPr>
          <w:rFonts w:ascii="Times New Roman" w:eastAsia="Times New Roman" w:hAnsi="Times New Roman" w:cs="Times New Roman"/>
          <w:sz w:val="20"/>
          <w:szCs w:val="20"/>
          <w:highlight w:val="white"/>
        </w:rPr>
        <w:t>PINHEIRO</w:t>
      </w:r>
      <w:r>
        <w:rPr>
          <w:rFonts w:ascii="Times New Roman" w:eastAsia="Times New Roman" w:hAnsi="Times New Roman" w:cs="Times New Roman"/>
          <w:sz w:val="20"/>
          <w:szCs w:val="20"/>
          <w:highlight w:val="white"/>
        </w:rPr>
        <w:t xml:space="preserve">, Á.; </w:t>
      </w:r>
      <w:r w:rsidR="00247306">
        <w:rPr>
          <w:rFonts w:ascii="Times New Roman" w:eastAsia="Times New Roman" w:hAnsi="Times New Roman" w:cs="Times New Roman"/>
          <w:sz w:val="20"/>
          <w:szCs w:val="20"/>
          <w:highlight w:val="white"/>
        </w:rPr>
        <w:t>GUIMARÃES</w:t>
      </w:r>
      <w:r>
        <w:rPr>
          <w:rFonts w:ascii="Times New Roman" w:eastAsia="Times New Roman" w:hAnsi="Times New Roman" w:cs="Times New Roman"/>
          <w:sz w:val="20"/>
          <w:szCs w:val="20"/>
          <w:highlight w:val="white"/>
        </w:rPr>
        <w:t xml:space="preserve">, R. </w:t>
      </w:r>
      <w:r>
        <w:rPr>
          <w:rFonts w:ascii="Times New Roman" w:eastAsia="Times New Roman" w:hAnsi="Times New Roman" w:cs="Times New Roman"/>
          <w:i/>
          <w:sz w:val="20"/>
          <w:szCs w:val="20"/>
          <w:highlight w:val="white"/>
        </w:rPr>
        <w:t>Hyperautomation in Government Digital Transformation</w:t>
      </w:r>
      <w:r>
        <w:rPr>
          <w:rFonts w:ascii="Times New Roman" w:eastAsia="Times New Roman" w:hAnsi="Times New Roman" w:cs="Times New Roman"/>
          <w:sz w:val="20"/>
          <w:szCs w:val="20"/>
          <w:highlight w:val="white"/>
        </w:rPr>
        <w:t>. Preprints 2023, 2023061822. Disponível em: https://doi.org/10.20944/preprints202306.1822.v1. Acesso em: 24 jul. 2023.</w:t>
      </w:r>
    </w:p>
    <w:p w14:paraId="11571FA8" w14:textId="77777777" w:rsidR="003A2C3C" w:rsidRDefault="003A2C3C">
      <w:pPr>
        <w:spacing w:line="240" w:lineRule="auto"/>
        <w:rPr>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C3C"/>
    <w:rsid w:val="00076473"/>
    <w:rsid w:val="000A247F"/>
    <w:rsid w:val="00235C05"/>
    <w:rsid w:val="00247306"/>
    <w:rsid w:val="002724A5"/>
    <w:rsid w:val="003A2C3C"/>
    <w:rsid w:val="003D7A55"/>
    <w:rsid w:val="00474ED9"/>
    <w:rsid w:val="00511305"/>
    <w:rsid w:val="005C59A5"/>
    <w:rsid w:val="008C05D7"/>
    <w:rsid w:val="00BD0A74"/>
    <w:rsid w:val="00C55D68"/>
    <w:rsid w:val="00D55604"/>
    <w:rsid w:val="00EC0DEB"/>
    <w:rsid w:val="00F74F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1E87"/>
  <w15:docId w15:val="{3B6437D9-F8E8-4718-982E-9E85FE3E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saber.unioeste.br/index.php/fazciencia/article/view/30761" TargetMode="External"/><Relationship Id="rId5" Type="http://schemas.openxmlformats.org/officeDocument/2006/relationships/endnotes" Target="endnotes.xml"/><Relationship Id="rId10" Type="http://schemas.openxmlformats.org/officeDocument/2006/relationships/hyperlink" Target="https://doi.org/10.20944/preprints202306.1822.v1" TargetMode="External"/><Relationship Id="rId4" Type="http://schemas.openxmlformats.org/officeDocument/2006/relationships/footnotes" Target="footnotes.xml"/><Relationship Id="rId9"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s://help.openai.com/en/articles/6783457-what-is-chatgpt" TargetMode="External"/><Relationship Id="rId1" Type="http://schemas.openxmlformats.org/officeDocument/2006/relationships/hyperlink" Target="https://www.r-project.org/abou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15</Pages>
  <Words>7563</Words>
  <Characters>41976</Characters>
  <Application>Microsoft Office Word</Application>
  <DocSecurity>0</DocSecurity>
  <Lines>666</Lines>
  <Paragraphs>176</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49363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Mateus Rocha</cp:lastModifiedBy>
  <cp:revision>14</cp:revision>
  <dcterms:created xsi:type="dcterms:W3CDTF">2023-08-29T15:41:00Z</dcterms:created>
  <dcterms:modified xsi:type="dcterms:W3CDTF">2023-09-15T16:03:00Z</dcterms:modified>
  <cp:category/>
</cp:coreProperties>
</file>