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79C3" w14:textId="1B971AC2" w:rsidR="00653B9F" w:rsidRPr="00F00C3D" w:rsidRDefault="008B6891" w:rsidP="0090151B">
      <w:pPr>
        <w:pStyle w:val="TtulodoArtigo"/>
      </w:pPr>
      <w:r w:rsidRPr="00F00C3D">
        <w:t>S</w:t>
      </w:r>
      <w:r w:rsidR="00281DB2" w:rsidRPr="00F00C3D">
        <w:t xml:space="preserve">USTENTABILIDADE E O NOVO DIREITO ADMINISTRATIVO: CÂMARAS DE </w:t>
      </w:r>
      <w:r w:rsidR="005F5493" w:rsidRPr="00F00C3D">
        <w:t>PREVENÇÃO E RESOLUÇÃO DE CONFLITOS</w:t>
      </w:r>
      <w:r w:rsidR="00281DB2" w:rsidRPr="00F00C3D">
        <w:t xml:space="preserve"> NA ADMINISTRAÇÃO PÚBLICA</w:t>
      </w:r>
    </w:p>
    <w:p w14:paraId="1D6125BA" w14:textId="77777777" w:rsidR="00653B9F" w:rsidRPr="00F00C3D" w:rsidRDefault="00653B9F" w:rsidP="0090151B">
      <w:pPr>
        <w:pStyle w:val="TtulodoArtigo"/>
      </w:pPr>
    </w:p>
    <w:p w14:paraId="32F11C06" w14:textId="77777777" w:rsidR="00653B9F" w:rsidRPr="00F00C3D" w:rsidRDefault="00653B9F" w:rsidP="00B05FA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6A693" w14:textId="77777777" w:rsidR="003B2CE8" w:rsidRPr="00F00C3D" w:rsidRDefault="003B2CE8" w:rsidP="009D2636">
      <w:pPr>
        <w:pStyle w:val="Resumo"/>
        <w:rPr>
          <w:color w:val="auto"/>
        </w:rPr>
      </w:pPr>
    </w:p>
    <w:p w14:paraId="5171262D" w14:textId="607997B5" w:rsidR="00281DB2" w:rsidRPr="00F00C3D" w:rsidRDefault="00281DB2" w:rsidP="009D2636">
      <w:pPr>
        <w:pStyle w:val="Resumo"/>
        <w:rPr>
          <w:color w:val="auto"/>
        </w:rPr>
      </w:pPr>
      <w:r w:rsidRPr="00F00C3D">
        <w:rPr>
          <w:color w:val="auto"/>
        </w:rPr>
        <w:t>Resumo:</w:t>
      </w:r>
      <w:r w:rsidR="003B2CE8" w:rsidRPr="00F00C3D">
        <w:rPr>
          <w:color w:val="auto"/>
        </w:rPr>
        <w:t xml:space="preserve"> </w:t>
      </w:r>
      <w:r w:rsidR="000847AC" w:rsidRPr="00F00C3D">
        <w:rPr>
          <w:color w:val="auto"/>
        </w:rPr>
        <w:t xml:space="preserve">O Novo Direito Administrativo Sustentável </w:t>
      </w:r>
      <w:r w:rsidR="00337CDA" w:rsidRPr="00F00C3D">
        <w:rPr>
          <w:color w:val="auto"/>
        </w:rPr>
        <w:t xml:space="preserve">tem como um de seus marcos a prevenção e resolução </w:t>
      </w:r>
      <w:r w:rsidR="00E862D4" w:rsidRPr="00F00C3D">
        <w:rPr>
          <w:color w:val="auto"/>
        </w:rPr>
        <w:t xml:space="preserve">consensual de conflitos. A partir dessa premissa, o artigo resume a criação e o funcionamento das Câmaras de Prevenção e Resolução Administrativa de Conflitos </w:t>
      </w:r>
      <w:r w:rsidR="00FF166F" w:rsidRPr="00F00C3D">
        <w:rPr>
          <w:color w:val="auto"/>
        </w:rPr>
        <w:t xml:space="preserve">no âmbito da Procuradoria Geral do Estado do Amazonas, com foco na Primeira Câmara. Em seguida, </w:t>
      </w:r>
      <w:r w:rsidR="008B1606" w:rsidRPr="00F00C3D">
        <w:rPr>
          <w:color w:val="auto"/>
        </w:rPr>
        <w:t xml:space="preserve">são expostos </w:t>
      </w:r>
      <w:r w:rsidR="0074168E" w:rsidRPr="00F00C3D">
        <w:rPr>
          <w:color w:val="auto"/>
        </w:rPr>
        <w:t xml:space="preserve">os resultados obtidos no período </w:t>
      </w:r>
      <w:r w:rsidR="004914C4" w:rsidRPr="00F00C3D">
        <w:rPr>
          <w:color w:val="auto"/>
        </w:rPr>
        <w:t xml:space="preserve">em exame e </w:t>
      </w:r>
      <w:r w:rsidR="006A2A73" w:rsidRPr="00F00C3D">
        <w:rPr>
          <w:color w:val="auto"/>
        </w:rPr>
        <w:t xml:space="preserve">aponta-se como essa experiência pode </w:t>
      </w:r>
      <w:r w:rsidR="00C469FF" w:rsidRPr="00F00C3D">
        <w:rPr>
          <w:color w:val="auto"/>
        </w:rPr>
        <w:t xml:space="preserve">contribuir para a atuação da Advocacia Pública </w:t>
      </w:r>
      <w:r w:rsidR="00BE1559" w:rsidRPr="00F00C3D">
        <w:rPr>
          <w:color w:val="auto"/>
        </w:rPr>
        <w:t>rumo à sustentabilidade</w:t>
      </w:r>
      <w:r w:rsidR="00F35902" w:rsidRPr="00F00C3D">
        <w:rPr>
          <w:color w:val="auto"/>
        </w:rPr>
        <w:t>.</w:t>
      </w:r>
    </w:p>
    <w:p w14:paraId="18F58A54" w14:textId="77777777" w:rsidR="00F35902" w:rsidRPr="00F00C3D" w:rsidRDefault="00F35902" w:rsidP="009D2636">
      <w:pPr>
        <w:pStyle w:val="Resumo"/>
        <w:rPr>
          <w:color w:val="auto"/>
        </w:rPr>
      </w:pPr>
    </w:p>
    <w:p w14:paraId="09CFA1DB" w14:textId="40014497" w:rsidR="00F35902" w:rsidRPr="00F00C3D" w:rsidRDefault="00F35902" w:rsidP="009D2636">
      <w:pPr>
        <w:pStyle w:val="Resumo"/>
        <w:rPr>
          <w:color w:val="auto"/>
        </w:rPr>
      </w:pPr>
      <w:r w:rsidRPr="00F00C3D">
        <w:rPr>
          <w:color w:val="auto"/>
        </w:rPr>
        <w:t>Palavras-chave: Sustentabilidade; Novo Direito Administrativo; Câmara de Prevenção e Resolução Administrativa de Conflitos.</w:t>
      </w:r>
    </w:p>
    <w:p w14:paraId="7CD25ED7" w14:textId="77777777" w:rsidR="00281DB2" w:rsidRPr="00F00C3D" w:rsidRDefault="00281DB2" w:rsidP="009D2636">
      <w:pPr>
        <w:pStyle w:val="Resumo"/>
        <w:rPr>
          <w:color w:val="auto"/>
        </w:rPr>
      </w:pPr>
    </w:p>
    <w:p w14:paraId="2D8D5DC9" w14:textId="77777777" w:rsidR="00653B9F" w:rsidRPr="00F00C3D" w:rsidRDefault="00653B9F" w:rsidP="009D2636">
      <w:pPr>
        <w:pStyle w:val="Resumo"/>
        <w:rPr>
          <w:color w:val="auto"/>
        </w:rPr>
      </w:pPr>
      <w:r w:rsidRPr="00F00C3D">
        <w:rPr>
          <w:color w:val="auto"/>
        </w:rPr>
        <w:t>Sumário: 1. Considerações iniciais – 2.</w:t>
      </w:r>
      <w:r w:rsidR="00D06214" w:rsidRPr="00F00C3D">
        <w:rPr>
          <w:color w:val="auto"/>
        </w:rPr>
        <w:t xml:space="preserve"> Premência da resolução administrativas de conflito </w:t>
      </w:r>
      <w:r w:rsidRPr="00F00C3D">
        <w:rPr>
          <w:color w:val="auto"/>
        </w:rPr>
        <w:t xml:space="preserve">– 3. </w:t>
      </w:r>
      <w:r w:rsidR="008F095C" w:rsidRPr="00F00C3D">
        <w:rPr>
          <w:color w:val="auto"/>
        </w:rPr>
        <w:t xml:space="preserve">A construção de uma política de resolução administrativa de conflitos: a experiência da CPRAC – </w:t>
      </w:r>
      <w:r w:rsidRPr="00F00C3D">
        <w:rPr>
          <w:color w:val="auto"/>
        </w:rPr>
        <w:t xml:space="preserve">4. </w:t>
      </w:r>
      <w:r w:rsidR="00ED3206" w:rsidRPr="00F00C3D">
        <w:rPr>
          <w:color w:val="auto"/>
        </w:rPr>
        <w:t xml:space="preserve">Resultados obtidos </w:t>
      </w:r>
      <w:r w:rsidRPr="00F00C3D">
        <w:rPr>
          <w:color w:val="auto"/>
        </w:rPr>
        <w:t>– 5. Considerações Finais.</w:t>
      </w:r>
      <w:r w:rsidR="0090151B" w:rsidRPr="00F00C3D">
        <w:rPr>
          <w:color w:val="auto"/>
        </w:rPr>
        <w:t xml:space="preserve"> </w:t>
      </w:r>
      <w:r w:rsidRPr="00F00C3D">
        <w:rPr>
          <w:color w:val="auto"/>
        </w:rPr>
        <w:t>6.</w:t>
      </w:r>
      <w:r w:rsidR="008F095C" w:rsidRPr="00F00C3D">
        <w:rPr>
          <w:color w:val="auto"/>
        </w:rPr>
        <w:t xml:space="preserve"> </w:t>
      </w:r>
      <w:r w:rsidRPr="00F00C3D">
        <w:rPr>
          <w:color w:val="auto"/>
        </w:rPr>
        <w:t>Referências bibliográficas.</w:t>
      </w:r>
    </w:p>
    <w:p w14:paraId="2353AF47" w14:textId="77777777" w:rsidR="00653B9F" w:rsidRPr="00F00C3D" w:rsidRDefault="00653B9F" w:rsidP="009D2636">
      <w:pPr>
        <w:pStyle w:val="Resumo"/>
        <w:rPr>
          <w:color w:val="auto"/>
        </w:rPr>
      </w:pPr>
    </w:p>
    <w:p w14:paraId="5C7806AA" w14:textId="77777777" w:rsidR="00653B9F" w:rsidRPr="00F00C3D" w:rsidRDefault="00653B9F" w:rsidP="008F095C">
      <w:pPr>
        <w:pStyle w:val="TtulosdasPartesdoArtigo"/>
      </w:pPr>
      <w:bookmarkStart w:id="0" w:name="_Toc523991937"/>
      <w:bookmarkStart w:id="1" w:name="_Toc523992031"/>
      <w:bookmarkStart w:id="2" w:name="_Toc523992085"/>
      <w:r w:rsidRPr="00F00C3D">
        <w:t xml:space="preserve">1 </w:t>
      </w:r>
      <w:bookmarkEnd w:id="0"/>
      <w:bookmarkEnd w:id="1"/>
      <w:bookmarkEnd w:id="2"/>
      <w:r w:rsidRPr="00F00C3D">
        <w:t>CONSIDERAÇÕES INICIAIS</w:t>
      </w:r>
    </w:p>
    <w:p w14:paraId="03A499BA" w14:textId="31461C0A" w:rsidR="00F460FD" w:rsidRPr="00F00C3D" w:rsidRDefault="0090151B" w:rsidP="00F460F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O </w:t>
      </w:r>
      <w:r w:rsidR="00F35902" w:rsidRPr="00F00C3D">
        <w:rPr>
          <w:rFonts w:ascii="Times New Roman" w:hAnsi="Times New Roman" w:cs="Times New Roman"/>
          <w:sz w:val="24"/>
          <w:szCs w:val="24"/>
        </w:rPr>
        <w:t>N</w:t>
      </w:r>
      <w:r w:rsidRPr="00F00C3D">
        <w:rPr>
          <w:rFonts w:ascii="Times New Roman" w:hAnsi="Times New Roman" w:cs="Times New Roman"/>
          <w:sz w:val="24"/>
          <w:szCs w:val="24"/>
        </w:rPr>
        <w:t xml:space="preserve">ovo </w:t>
      </w:r>
      <w:r w:rsidR="00F35902" w:rsidRPr="00F00C3D">
        <w:rPr>
          <w:rFonts w:ascii="Times New Roman" w:hAnsi="Times New Roman" w:cs="Times New Roman"/>
          <w:sz w:val="24"/>
          <w:szCs w:val="24"/>
        </w:rPr>
        <w:t>D</w:t>
      </w:r>
      <w:r w:rsidRPr="00F00C3D">
        <w:rPr>
          <w:rFonts w:ascii="Times New Roman" w:hAnsi="Times New Roman" w:cs="Times New Roman"/>
          <w:sz w:val="24"/>
          <w:szCs w:val="24"/>
        </w:rPr>
        <w:t xml:space="preserve">ireito </w:t>
      </w:r>
      <w:r w:rsidR="00F35902" w:rsidRPr="00F00C3D">
        <w:rPr>
          <w:rFonts w:ascii="Times New Roman" w:hAnsi="Times New Roman" w:cs="Times New Roman"/>
          <w:sz w:val="24"/>
          <w:szCs w:val="24"/>
        </w:rPr>
        <w:t>A</w:t>
      </w:r>
      <w:r w:rsidRPr="00F00C3D">
        <w:rPr>
          <w:rFonts w:ascii="Times New Roman" w:hAnsi="Times New Roman" w:cs="Times New Roman"/>
          <w:sz w:val="24"/>
          <w:szCs w:val="24"/>
        </w:rPr>
        <w:t>dministrativo pre</w:t>
      </w:r>
      <w:r w:rsidR="00D510DC" w:rsidRPr="00F00C3D">
        <w:rPr>
          <w:rFonts w:ascii="Times New Roman" w:hAnsi="Times New Roman" w:cs="Times New Roman"/>
          <w:sz w:val="24"/>
          <w:szCs w:val="24"/>
        </w:rPr>
        <w:t xml:space="preserve">cisa partir de novas premissas. Sem uma reorientação sistemática, as </w:t>
      </w:r>
      <w:r w:rsidRPr="00F00C3D">
        <w:rPr>
          <w:rFonts w:ascii="Times New Roman" w:hAnsi="Times New Roman" w:cs="Times New Roman"/>
          <w:sz w:val="24"/>
          <w:szCs w:val="24"/>
        </w:rPr>
        <w:t>políticas públicas</w:t>
      </w:r>
      <w:r w:rsidR="00D510DC" w:rsidRPr="00F00C3D">
        <w:rPr>
          <w:rFonts w:ascii="Times New Roman" w:hAnsi="Times New Roman" w:cs="Times New Roman"/>
          <w:sz w:val="24"/>
          <w:szCs w:val="24"/>
        </w:rPr>
        <w:t xml:space="preserve"> permanecerão antiquadas e ineficientes, no modelo ainda dominante</w:t>
      </w:r>
      <w:r w:rsidR="00412C44" w:rsidRPr="00F00C3D">
        <w:rPr>
          <w:rFonts w:ascii="Times New Roman" w:hAnsi="Times New Roman" w:cs="Times New Roman"/>
          <w:sz w:val="24"/>
          <w:szCs w:val="24"/>
        </w:rPr>
        <w:t xml:space="preserve"> que tem se mostrado insustentável</w:t>
      </w:r>
      <w:r w:rsidR="00D510DC" w:rsidRPr="00F00C3D">
        <w:rPr>
          <w:rFonts w:ascii="Times New Roman" w:hAnsi="Times New Roman" w:cs="Times New Roman"/>
          <w:sz w:val="24"/>
          <w:szCs w:val="24"/>
        </w:rPr>
        <w:t xml:space="preserve">. </w:t>
      </w:r>
      <w:r w:rsidR="004C5DAA" w:rsidRPr="00F00C3D">
        <w:rPr>
          <w:rFonts w:ascii="Times New Roman" w:hAnsi="Times New Roman" w:cs="Times New Roman"/>
          <w:sz w:val="24"/>
          <w:szCs w:val="24"/>
        </w:rPr>
        <w:t xml:space="preserve">A </w:t>
      </w:r>
      <w:r w:rsidR="004E496C" w:rsidRPr="00F00C3D">
        <w:rPr>
          <w:rFonts w:ascii="Times New Roman" w:hAnsi="Times New Roman" w:cs="Times New Roman"/>
          <w:sz w:val="24"/>
          <w:szCs w:val="24"/>
        </w:rPr>
        <w:t xml:space="preserve">forma de funcionamento </w:t>
      </w:r>
      <w:r w:rsidR="00764884" w:rsidRPr="00F00C3D">
        <w:rPr>
          <w:rFonts w:ascii="Times New Roman" w:hAnsi="Times New Roman" w:cs="Times New Roman"/>
          <w:sz w:val="24"/>
          <w:szCs w:val="24"/>
        </w:rPr>
        <w:t xml:space="preserve">peculiar </w:t>
      </w:r>
      <w:r w:rsidR="004E496C" w:rsidRPr="00F00C3D">
        <w:rPr>
          <w:rFonts w:ascii="Times New Roman" w:hAnsi="Times New Roman" w:cs="Times New Roman"/>
          <w:sz w:val="24"/>
          <w:szCs w:val="24"/>
        </w:rPr>
        <w:t xml:space="preserve">da </w:t>
      </w:r>
      <w:r w:rsidR="004C5DAA" w:rsidRPr="00F00C3D">
        <w:rPr>
          <w:rFonts w:ascii="Times New Roman" w:hAnsi="Times New Roman" w:cs="Times New Roman"/>
          <w:sz w:val="24"/>
          <w:szCs w:val="24"/>
        </w:rPr>
        <w:t xml:space="preserve">Administração </w:t>
      </w:r>
      <w:r w:rsidR="004E496C" w:rsidRPr="00F00C3D">
        <w:rPr>
          <w:rFonts w:ascii="Times New Roman" w:hAnsi="Times New Roman" w:cs="Times New Roman"/>
          <w:sz w:val="24"/>
          <w:szCs w:val="24"/>
        </w:rPr>
        <w:t xml:space="preserve">atual é </w:t>
      </w:r>
      <w:r w:rsidR="004C5DAA" w:rsidRPr="00F00C3D">
        <w:rPr>
          <w:rFonts w:ascii="Times New Roman" w:hAnsi="Times New Roman" w:cs="Times New Roman"/>
          <w:sz w:val="24"/>
          <w:szCs w:val="24"/>
        </w:rPr>
        <w:t>causa de crises sist</w:t>
      </w:r>
      <w:r w:rsidR="004E496C" w:rsidRPr="00F00C3D">
        <w:rPr>
          <w:rFonts w:ascii="Times New Roman" w:hAnsi="Times New Roman" w:cs="Times New Roman"/>
          <w:sz w:val="24"/>
          <w:szCs w:val="24"/>
        </w:rPr>
        <w:t>ê</w:t>
      </w:r>
      <w:r w:rsidR="004C5DAA" w:rsidRPr="00F00C3D">
        <w:rPr>
          <w:rFonts w:ascii="Times New Roman" w:hAnsi="Times New Roman" w:cs="Times New Roman"/>
          <w:sz w:val="24"/>
          <w:szCs w:val="24"/>
        </w:rPr>
        <w:t>micas</w:t>
      </w:r>
      <w:r w:rsidR="00764884" w:rsidRPr="00F00C3D">
        <w:rPr>
          <w:rFonts w:ascii="Times New Roman" w:hAnsi="Times New Roman" w:cs="Times New Roman"/>
          <w:sz w:val="24"/>
          <w:szCs w:val="24"/>
        </w:rPr>
        <w:t xml:space="preserve"> diante </w:t>
      </w:r>
      <w:r w:rsidR="008E60BD" w:rsidRPr="00F00C3D">
        <w:rPr>
          <w:rFonts w:ascii="Times New Roman" w:hAnsi="Times New Roman" w:cs="Times New Roman"/>
          <w:sz w:val="24"/>
          <w:szCs w:val="24"/>
        </w:rPr>
        <w:t>de um sistema</w:t>
      </w:r>
      <w:r w:rsidR="00F460FD" w:rsidRPr="00F00C3D">
        <w:rPr>
          <w:rFonts w:ascii="Times New Roman" w:hAnsi="Times New Roman" w:cs="Times New Roman"/>
          <w:sz w:val="24"/>
          <w:szCs w:val="24"/>
        </w:rPr>
        <w:t xml:space="preserve"> que </w:t>
      </w:r>
      <w:r w:rsidR="00764884" w:rsidRPr="00F00C3D">
        <w:rPr>
          <w:rFonts w:ascii="Times New Roman" w:hAnsi="Times New Roman" w:cs="Times New Roman"/>
          <w:sz w:val="24"/>
          <w:szCs w:val="24"/>
        </w:rPr>
        <w:t xml:space="preserve">desconsidera </w:t>
      </w:r>
      <w:r w:rsidR="00F460FD" w:rsidRPr="00F00C3D">
        <w:rPr>
          <w:rFonts w:ascii="Times New Roman" w:hAnsi="Times New Roman" w:cs="Times New Roman"/>
          <w:sz w:val="24"/>
          <w:szCs w:val="24"/>
        </w:rPr>
        <w:t>efeitos colaterais</w:t>
      </w:r>
      <w:r w:rsidR="00764884" w:rsidRPr="00F00C3D">
        <w:rPr>
          <w:rFonts w:ascii="Times New Roman" w:hAnsi="Times New Roman" w:cs="Times New Roman"/>
          <w:sz w:val="24"/>
          <w:szCs w:val="24"/>
        </w:rPr>
        <w:t xml:space="preserve"> sociais, ambientais e econômico</w:t>
      </w:r>
      <w:r w:rsidR="00F460FD" w:rsidRPr="00F00C3D">
        <w:rPr>
          <w:rFonts w:ascii="Times New Roman" w:hAnsi="Times New Roman" w:cs="Times New Roman"/>
          <w:sz w:val="24"/>
          <w:szCs w:val="24"/>
        </w:rPr>
        <w:t>s das políticas públicas.</w:t>
      </w:r>
    </w:p>
    <w:p w14:paraId="5CAA329C" w14:textId="4FA7CA9F" w:rsidR="007C7A42" w:rsidRPr="00F00C3D" w:rsidRDefault="00764884" w:rsidP="004E496C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Neste cenário,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se faz urgente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abandonar a 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crença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C94473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uma atuação </w:t>
      </w:r>
      <w:r w:rsidR="00885171" w:rsidRPr="00F00C3D">
        <w:rPr>
          <w:rFonts w:ascii="Times New Roman" w:hAnsi="Times New Roman" w:cs="Times New Roman"/>
          <w:color w:val="auto"/>
          <w:sz w:val="24"/>
          <w:szCs w:val="24"/>
        </w:rPr>
        <w:t>engessada da Advocacia Pública</w:t>
      </w:r>
      <w:r w:rsidR="00014AB1" w:rsidRPr="00F00C3D">
        <w:rPr>
          <w:rFonts w:ascii="Times New Roman" w:hAnsi="Times New Roman" w:cs="Times New Roman"/>
          <w:color w:val="auto"/>
          <w:sz w:val="24"/>
          <w:szCs w:val="24"/>
        </w:rPr>
        <w:t>, caso se veja presa ao sistema do contencioso e à política da litigância a qualquer custo,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fará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>cumprir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o Direito </w:t>
      </w:r>
      <w:r w:rsidR="00D31764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Constitucional e 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Administrativo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>vigente</w:t>
      </w:r>
      <w:r w:rsidR="00F00C3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. Não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>far</w:t>
      </w:r>
      <w:r w:rsidR="00D31764" w:rsidRPr="00F00C3D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mais.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>A pouca eficiência e eficácia da Administração no controle preventivo de danos sociais, econômicos e ambientais prova a premência de mudanças profundas.</w:t>
      </w:r>
    </w:p>
    <w:p w14:paraId="086473CD" w14:textId="731527E0" w:rsidR="004E496C" w:rsidRPr="00F00C3D" w:rsidRDefault="004C5DAA" w:rsidP="004C5DA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O novo paradigma proposto é o da </w:t>
      </w:r>
      <w:r w:rsidR="00D510DC" w:rsidRPr="00F00C3D">
        <w:rPr>
          <w:rFonts w:ascii="Times New Roman" w:hAnsi="Times New Roman" w:cs="Times New Roman"/>
          <w:color w:val="auto"/>
          <w:sz w:val="24"/>
          <w:szCs w:val="24"/>
        </w:rPr>
        <w:t>sustentabilidade</w:t>
      </w:r>
      <w:r w:rsidR="00F00C3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que traz </w:t>
      </w:r>
      <w:r w:rsidR="00CA442B" w:rsidRPr="00F00C3D">
        <w:rPr>
          <w:rFonts w:ascii="Times New Roman" w:hAnsi="Times New Roman" w:cs="Times New Roman"/>
          <w:color w:val="auto"/>
          <w:sz w:val="24"/>
          <w:szCs w:val="24"/>
        </w:rPr>
        <w:t>à atuação da Advocacia Pública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uma nova perspectiva pautada na cooperação, pluralidade e prospecção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, passando esta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a ser entendida 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>à semelhança da dignidade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humana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como valor e princípio constitucional.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0BB2CE2" w14:textId="77777777" w:rsidR="004C5DAA" w:rsidRPr="00F00C3D" w:rsidRDefault="004C5DAA" w:rsidP="004C5DA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0C3D">
        <w:rPr>
          <w:rFonts w:ascii="Times New Roman" w:hAnsi="Times New Roman" w:cs="Times New Roman"/>
          <w:color w:val="auto"/>
          <w:sz w:val="24"/>
          <w:szCs w:val="24"/>
        </w:rPr>
        <w:t>É que as gerações futuras s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>ão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titulares de direitos fundamentais que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não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poderão ser usufruídos a menos que </w:t>
      </w:r>
      <w:r w:rsidR="006D59B9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se estabeleça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uma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mudança de perspectiva: é a constitucionalização do direito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lastRenderedPageBreak/>
        <w:t>administrativo, que tal qual o direito civil, será impactado pelas normas constitucionais funcionando como verdadeiro filtro a validar ou não as normas administrativas.</w:t>
      </w:r>
    </w:p>
    <w:p w14:paraId="77B5906C" w14:textId="74D3E64F" w:rsidR="004E496C" w:rsidRPr="00F00C3D" w:rsidRDefault="004C5DAA" w:rsidP="008619A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0C3D">
        <w:rPr>
          <w:rFonts w:ascii="Times New Roman" w:hAnsi="Times New Roman" w:cs="Times New Roman"/>
          <w:color w:val="auto"/>
          <w:sz w:val="24"/>
          <w:szCs w:val="24"/>
        </w:rPr>
        <w:t>A partir da constitucionalização das relações administrativas, surge o d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>ever d</w:t>
      </w:r>
      <w:r w:rsidR="00F36E82" w:rsidRPr="00F00C3D">
        <w:rPr>
          <w:rFonts w:ascii="Times New Roman" w:hAnsi="Times New Roman" w:cs="Times New Roman"/>
          <w:color w:val="auto"/>
          <w:sz w:val="24"/>
          <w:szCs w:val="24"/>
        </w:rPr>
        <w:t>e atenção à sustentabilidade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como limitação constitucional à atividade econômica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>. Uma g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>estao pública sustentável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precis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>rá rever princí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pios administrativos em cotejo com </w:t>
      </w:r>
      <w:r w:rsidR="005D094B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princípio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nstitucional da sustentabilidade de modo que possa atingir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>relações administrativas mais eficientes</w:t>
      </w:r>
      <w:r w:rsidR="008619A5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com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>fundamenta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ção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consistente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suas 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>decisões</w:t>
      </w:r>
      <w:r w:rsidR="008619A5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aperfeiçoamento de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>té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>cnicas negociais/consensuais (TAC,</w:t>
      </w:r>
      <w:r w:rsidR="00DE0766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negociação,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mediação e conciliação)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e desenvolvimento de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>senso de urgência na entrega da atividade administrativa.</w:t>
      </w:r>
    </w:p>
    <w:p w14:paraId="0B727387" w14:textId="77777777" w:rsidR="007C7A42" w:rsidRPr="00F00C3D" w:rsidRDefault="004E496C" w:rsidP="007C7A42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A gestão 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pública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deverá ser dirigida ao 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>bem-estar duradouro, individual e coletivo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C042E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sem o qual incidirá em </w:t>
      </w:r>
      <w:r w:rsidR="006D59B9" w:rsidRPr="00F00C3D">
        <w:rPr>
          <w:rFonts w:ascii="Times New Roman" w:hAnsi="Times New Roman" w:cs="Times New Roman"/>
          <w:color w:val="auto"/>
          <w:sz w:val="24"/>
          <w:szCs w:val="24"/>
        </w:rPr>
        <w:t>desvio de finalidade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>. O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bem-estar direto e indireto deverá ser o crité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rio de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>aferição da qualidade da gestã</w:t>
      </w:r>
      <w:r w:rsidR="0090151B" w:rsidRPr="00F00C3D">
        <w:rPr>
          <w:rFonts w:ascii="Times New Roman" w:hAnsi="Times New Roman" w:cs="Times New Roman"/>
          <w:color w:val="auto"/>
          <w:sz w:val="24"/>
          <w:szCs w:val="24"/>
        </w:rPr>
        <w:t>o pública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Nao há mais espaço para </w:t>
      </w:r>
      <w:r w:rsidR="007C7A4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políticas públicas 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que não sejam submetidas à </w:t>
      </w:r>
      <w:r w:rsidR="007C7A42" w:rsidRPr="00F00C3D">
        <w:rPr>
          <w:rFonts w:ascii="Times New Roman" w:hAnsi="Times New Roman" w:cs="Times New Roman"/>
          <w:color w:val="auto"/>
          <w:sz w:val="24"/>
          <w:szCs w:val="24"/>
        </w:rPr>
        <w:t>avaliação sist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emática dos custos e benefícios, </w:t>
      </w:r>
      <w:r w:rsidR="007C7A42" w:rsidRPr="00F00C3D">
        <w:rPr>
          <w:rFonts w:ascii="Times New Roman" w:hAnsi="Times New Roman" w:cs="Times New Roman"/>
          <w:color w:val="auto"/>
          <w:sz w:val="24"/>
          <w:szCs w:val="24"/>
        </w:rPr>
        <w:t>assim como do custo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7C7A42" w:rsidRPr="00F00C3D">
        <w:rPr>
          <w:rFonts w:ascii="Times New Roman" w:hAnsi="Times New Roman" w:cs="Times New Roman"/>
          <w:color w:val="auto"/>
          <w:sz w:val="24"/>
          <w:szCs w:val="24"/>
        </w:rPr>
        <w:t>efetividade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C7A4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C6B1EC" w14:textId="77777777" w:rsidR="004E496C" w:rsidRPr="00F00C3D" w:rsidRDefault="00FC042E" w:rsidP="004E496C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Assim, os </w:t>
      </w:r>
      <w:r w:rsidR="007C7A42" w:rsidRPr="00F00C3D">
        <w:rPr>
          <w:rFonts w:ascii="Times New Roman" w:hAnsi="Times New Roman" w:cs="Times New Roman"/>
          <w:color w:val="auto"/>
          <w:sz w:val="24"/>
          <w:szCs w:val="24"/>
        </w:rPr>
        <w:t>procedimentos estatais sustentáveis</w:t>
      </w:r>
      <w:r w:rsidR="00E94512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devem passar a ser a regra, funcionando num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novo modelo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eficácia sistêmica com reconhecimento da titularidade dos direitos fundamentais de gerações presentes e futuras. 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 xml:space="preserve">Estes devem ser or norteadores da reorientação do Direito Administrativo diante de um </w:t>
      </w:r>
      <w:r w:rsidR="004E496C" w:rsidRPr="00F00C3D">
        <w:rPr>
          <w:rFonts w:ascii="Times New Roman" w:hAnsi="Times New Roman" w:cs="Times New Roman"/>
          <w:color w:val="auto"/>
          <w:sz w:val="24"/>
          <w:szCs w:val="24"/>
        </w:rPr>
        <w:t>futuro ameaçado</w:t>
      </w:r>
      <w:r w:rsidRPr="00F00C3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A48733" w14:textId="30FDE7DC" w:rsidR="00507C0C" w:rsidRPr="00F00C3D" w:rsidRDefault="00FC042E" w:rsidP="00507C0C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Nesta conjuntura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, </w:t>
      </w:r>
      <w:r w:rsidR="00507C0C" w:rsidRPr="00F00C3D">
        <w:rPr>
          <w:rFonts w:ascii="Times New Roman" w:hAnsi="Times New Roman" w:cs="Times New Roman"/>
          <w:sz w:val="24"/>
          <w:szCs w:val="24"/>
        </w:rPr>
        <w:t>a Procuradoria Geral do Estado do Amazonas criou a</w:t>
      </w:r>
      <w:r w:rsidR="00251B1A" w:rsidRPr="00F00C3D">
        <w:rPr>
          <w:rFonts w:ascii="Times New Roman" w:hAnsi="Times New Roman" w:cs="Times New Roman"/>
          <w:sz w:val="24"/>
          <w:szCs w:val="24"/>
        </w:rPr>
        <w:t>s</w:t>
      </w:r>
      <w:r w:rsidR="00507C0C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5D48C7" w:rsidRPr="00F00C3D">
        <w:rPr>
          <w:rFonts w:ascii="Times New Roman" w:hAnsi="Times New Roman" w:cs="Times New Roman"/>
          <w:sz w:val="24"/>
          <w:szCs w:val="24"/>
        </w:rPr>
        <w:t>Câmara</w:t>
      </w:r>
      <w:r w:rsidR="00251B1A" w:rsidRPr="00F00C3D">
        <w:rPr>
          <w:rFonts w:ascii="Times New Roman" w:hAnsi="Times New Roman" w:cs="Times New Roman"/>
          <w:sz w:val="24"/>
          <w:szCs w:val="24"/>
        </w:rPr>
        <w:t>s</w:t>
      </w:r>
      <w:r w:rsidR="005D48C7" w:rsidRPr="00F00C3D">
        <w:rPr>
          <w:rFonts w:ascii="Times New Roman" w:hAnsi="Times New Roman" w:cs="Times New Roman"/>
          <w:sz w:val="24"/>
          <w:szCs w:val="24"/>
        </w:rPr>
        <w:t xml:space="preserve"> de Prevenção e Resoluç</w:t>
      </w:r>
      <w:r w:rsidR="005D48C7" w:rsidRPr="005D094B">
        <w:rPr>
          <w:rFonts w:ascii="Times New Roman" w:hAnsi="Times New Roman" w:cs="Times New Roman"/>
          <w:sz w:val="24"/>
          <w:szCs w:val="24"/>
        </w:rPr>
        <w:t>ão Administrativa de Conflitos – CPRAC</w:t>
      </w:r>
      <w:r w:rsidR="00251B1A" w:rsidRPr="005D094B">
        <w:rPr>
          <w:rFonts w:ascii="Times New Roman" w:hAnsi="Times New Roman" w:cs="Times New Roman"/>
          <w:sz w:val="24"/>
          <w:szCs w:val="24"/>
        </w:rPr>
        <w:t>s –</w:t>
      </w:r>
      <w:r w:rsidR="00507C0C" w:rsidRPr="005D094B">
        <w:rPr>
          <w:rFonts w:ascii="Times New Roman" w:hAnsi="Times New Roman" w:cs="Times New Roman"/>
          <w:sz w:val="24"/>
          <w:szCs w:val="24"/>
        </w:rPr>
        <w:t xml:space="preserve"> por meio do </w:t>
      </w:r>
      <w:r w:rsidR="005D48C7" w:rsidRPr="005D094B">
        <w:rPr>
          <w:rFonts w:ascii="Times New Roman" w:hAnsi="Times New Roman" w:cs="Times New Roman"/>
          <w:sz w:val="24"/>
          <w:szCs w:val="24"/>
        </w:rPr>
        <w:t xml:space="preserve">Decreto n. 44.796/2021, publicado no Diário Oficial do Estado do Amazonas em </w:t>
      </w:r>
      <w:r w:rsidR="005D094B" w:rsidRPr="005D094B">
        <w:rPr>
          <w:rFonts w:ascii="Times New Roman" w:hAnsi="Times New Roman" w:cs="Times New Roman"/>
          <w:sz w:val="24"/>
          <w:szCs w:val="24"/>
        </w:rPr>
        <w:t>8 de novembro de 2021</w:t>
      </w:r>
      <w:r w:rsidR="005D48C7" w:rsidRPr="005D094B">
        <w:rPr>
          <w:rFonts w:ascii="Times New Roman" w:hAnsi="Times New Roman" w:cs="Times New Roman"/>
          <w:sz w:val="24"/>
          <w:szCs w:val="24"/>
        </w:rPr>
        <w:t>,</w:t>
      </w:r>
      <w:r w:rsidR="00507C0C" w:rsidRPr="005D094B">
        <w:rPr>
          <w:rFonts w:ascii="Times New Roman" w:hAnsi="Times New Roman" w:cs="Times New Roman"/>
          <w:sz w:val="24"/>
          <w:szCs w:val="24"/>
        </w:rPr>
        <w:t xml:space="preserve"> com o objetivo </w:t>
      </w:r>
      <w:r w:rsidR="00507C0C" w:rsidRPr="005D094B">
        <w:rPr>
          <w:rFonts w:ascii="Times New Roman" w:hAnsi="Times New Roman" w:cs="Times New Roman"/>
          <w:bCs/>
          <w:sz w:val="24"/>
          <w:szCs w:val="24"/>
        </w:rPr>
        <w:t>de favorece</w:t>
      </w:r>
      <w:r w:rsidR="00507C0C" w:rsidRPr="00F00C3D">
        <w:rPr>
          <w:rFonts w:ascii="Times New Roman" w:hAnsi="Times New Roman" w:cs="Times New Roman"/>
          <w:bCs/>
          <w:sz w:val="24"/>
          <w:szCs w:val="24"/>
        </w:rPr>
        <w:t>r a</w:t>
      </w:r>
      <w:r w:rsidR="00507C0C" w:rsidRPr="00F00C3D">
        <w:rPr>
          <w:rFonts w:ascii="Times New Roman" w:hAnsi="Times New Roman" w:cs="Times New Roman"/>
          <w:sz w:val="24"/>
          <w:szCs w:val="24"/>
        </w:rPr>
        <w:t xml:space="preserve"> celebração de </w:t>
      </w:r>
      <w:r w:rsidR="009F6133" w:rsidRPr="00F00C3D">
        <w:rPr>
          <w:rFonts w:ascii="Times New Roman" w:hAnsi="Times New Roman" w:cs="Times New Roman"/>
          <w:sz w:val="24"/>
          <w:szCs w:val="24"/>
        </w:rPr>
        <w:t>acordos</w:t>
      </w:r>
      <w:r w:rsidR="00507C0C" w:rsidRPr="00F00C3D">
        <w:rPr>
          <w:rFonts w:ascii="Times New Roman" w:hAnsi="Times New Roman" w:cs="Times New Roman"/>
          <w:sz w:val="24"/>
          <w:szCs w:val="24"/>
        </w:rPr>
        <w:t xml:space="preserve"> para conferir maior efetividade ao serviço público e gerar economia ao erário. </w:t>
      </w:r>
    </w:p>
    <w:p w14:paraId="3FE3688C" w14:textId="7B629F87" w:rsidR="00532FB0" w:rsidRPr="00F00C3D" w:rsidRDefault="00532FB0" w:rsidP="00532FB0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A iniciativa visou promover a </w:t>
      </w:r>
      <w:r w:rsidR="00507C0C" w:rsidRPr="00F00C3D">
        <w:rPr>
          <w:rFonts w:ascii="Times New Roman" w:hAnsi="Times New Roman" w:cs="Times New Roman"/>
          <w:sz w:val="24"/>
          <w:szCs w:val="24"/>
        </w:rPr>
        <w:t>justiça multiportas, com utilização de meios integrados de resolução de conflitos</w:t>
      </w:r>
      <w:r w:rsidR="005D094B">
        <w:rPr>
          <w:rFonts w:ascii="Times New Roman" w:hAnsi="Times New Roman" w:cs="Times New Roman"/>
          <w:sz w:val="24"/>
          <w:szCs w:val="24"/>
        </w:rPr>
        <w:t>,</w:t>
      </w:r>
      <w:r w:rsidRPr="00F00C3D">
        <w:rPr>
          <w:rFonts w:ascii="Times New Roman" w:hAnsi="Times New Roman" w:cs="Times New Roman"/>
          <w:sz w:val="24"/>
          <w:szCs w:val="24"/>
        </w:rPr>
        <w:t xml:space="preserve"> buscando resultados mais céleres </w:t>
      </w:r>
      <w:r w:rsidR="00507C0C" w:rsidRPr="00F00C3D">
        <w:rPr>
          <w:rFonts w:ascii="Times New Roman" w:hAnsi="Times New Roman" w:cs="Times New Roman"/>
          <w:sz w:val="24"/>
          <w:szCs w:val="24"/>
        </w:rPr>
        <w:t xml:space="preserve">e redução da sobrecarga do Judiciário, </w:t>
      </w:r>
      <w:r w:rsidRPr="00F00C3D">
        <w:rPr>
          <w:rFonts w:ascii="Times New Roman" w:hAnsi="Times New Roman" w:cs="Times New Roman"/>
          <w:sz w:val="24"/>
          <w:szCs w:val="24"/>
        </w:rPr>
        <w:t>em atendimento a</w:t>
      </w:r>
      <w:r w:rsidR="00507C0C" w:rsidRPr="00F00C3D">
        <w:rPr>
          <w:rFonts w:ascii="Times New Roman" w:hAnsi="Times New Roman" w:cs="Times New Roman"/>
          <w:sz w:val="24"/>
          <w:szCs w:val="24"/>
        </w:rPr>
        <w:t>o princípio constitucional da efetividade da Administração</w:t>
      </w:r>
      <w:r w:rsidRPr="00F00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EA578" w14:textId="19943CB7" w:rsidR="005D48C7" w:rsidRPr="00F00C3D" w:rsidRDefault="00532FB0" w:rsidP="00532FB0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O presente trabalho pretende abordar os esforços realizados pela </w:t>
      </w:r>
      <w:r w:rsidR="005D094B">
        <w:rPr>
          <w:rFonts w:ascii="Times New Roman" w:hAnsi="Times New Roman" w:cs="Times New Roman"/>
          <w:sz w:val="24"/>
          <w:szCs w:val="24"/>
        </w:rPr>
        <w:t>Primeira</w:t>
      </w:r>
      <w:r w:rsidR="003521E4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 xml:space="preserve">CPRAC, delimitando a análise ao período de março de 2022 a </w:t>
      </w:r>
      <w:r w:rsidR="00A21BFA" w:rsidRPr="00F00C3D">
        <w:rPr>
          <w:rFonts w:ascii="Times New Roman" w:hAnsi="Times New Roman" w:cs="Times New Roman"/>
          <w:sz w:val="24"/>
          <w:szCs w:val="24"/>
        </w:rPr>
        <w:t>abril</w:t>
      </w:r>
      <w:r w:rsidRPr="00F00C3D">
        <w:rPr>
          <w:rFonts w:ascii="Times New Roman" w:hAnsi="Times New Roman" w:cs="Times New Roman"/>
          <w:sz w:val="24"/>
          <w:szCs w:val="24"/>
        </w:rPr>
        <w:t xml:space="preserve"> de 2023, apresentando </w:t>
      </w:r>
      <w:r w:rsidR="00507C0C" w:rsidRPr="00F00C3D">
        <w:rPr>
          <w:rFonts w:ascii="Times New Roman" w:hAnsi="Times New Roman" w:cs="Times New Roman"/>
          <w:sz w:val="24"/>
          <w:szCs w:val="24"/>
        </w:rPr>
        <w:t xml:space="preserve">os modelos de </w:t>
      </w:r>
      <w:r w:rsidR="00D42AE1" w:rsidRPr="00F00C3D">
        <w:rPr>
          <w:rFonts w:ascii="Times New Roman" w:hAnsi="Times New Roman" w:cs="Times New Roman"/>
          <w:sz w:val="24"/>
          <w:szCs w:val="24"/>
        </w:rPr>
        <w:t>resolução de conflitos</w:t>
      </w:r>
      <w:r w:rsidR="00507C0C" w:rsidRPr="00F00C3D">
        <w:rPr>
          <w:rFonts w:ascii="Times New Roman" w:hAnsi="Times New Roman" w:cs="Times New Roman"/>
          <w:sz w:val="24"/>
          <w:szCs w:val="24"/>
        </w:rPr>
        <w:t xml:space="preserve"> adotados, demonstrando os resultados obtidos </w:t>
      </w:r>
      <w:r w:rsidRPr="00F00C3D">
        <w:rPr>
          <w:rFonts w:ascii="Times New Roman" w:hAnsi="Times New Roman" w:cs="Times New Roman"/>
          <w:sz w:val="24"/>
          <w:szCs w:val="24"/>
        </w:rPr>
        <w:t xml:space="preserve">visando a </w:t>
      </w:r>
      <w:r w:rsidR="00507C0C" w:rsidRPr="00F00C3D">
        <w:rPr>
          <w:rFonts w:ascii="Times New Roman" w:hAnsi="Times New Roman" w:cs="Times New Roman"/>
          <w:sz w:val="24"/>
          <w:szCs w:val="24"/>
        </w:rPr>
        <w:t>sua adequação aos fundamentos de atuação do Estado na atividade econômica.</w:t>
      </w:r>
      <w:r w:rsidRPr="00F00C3D">
        <w:rPr>
          <w:rFonts w:ascii="Times New Roman" w:hAnsi="Times New Roman" w:cs="Times New Roman"/>
          <w:sz w:val="24"/>
          <w:szCs w:val="24"/>
        </w:rPr>
        <w:t xml:space="preserve"> A </w:t>
      </w:r>
      <w:r w:rsidR="007E770E">
        <w:rPr>
          <w:rFonts w:ascii="Times New Roman" w:hAnsi="Times New Roman" w:cs="Times New Roman"/>
          <w:sz w:val="24"/>
          <w:szCs w:val="24"/>
        </w:rPr>
        <w:t>Primeira</w:t>
      </w:r>
      <w:r w:rsidR="003521E4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 xml:space="preserve">Câmara também pretendeu 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empreender </w:t>
      </w:r>
      <w:r w:rsidRPr="00F00C3D">
        <w:rPr>
          <w:rFonts w:ascii="Times New Roman" w:hAnsi="Times New Roman" w:cs="Times New Roman"/>
          <w:sz w:val="24"/>
          <w:szCs w:val="24"/>
        </w:rPr>
        <w:t xml:space="preserve">esforços para 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consolidar uma cultura de </w:t>
      </w:r>
      <w:r w:rsidR="003521E4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 capaz de atender ao princípio da boa administração pública e assegurar a sustentabilidade na gestão dos processos judiciais</w:t>
      </w:r>
      <w:r w:rsidR="004F6845" w:rsidRPr="00F00C3D">
        <w:rPr>
          <w:rFonts w:ascii="Times New Roman" w:hAnsi="Times New Roman" w:cs="Times New Roman"/>
          <w:sz w:val="24"/>
          <w:szCs w:val="24"/>
        </w:rPr>
        <w:t xml:space="preserve"> envolvendo servidores públicos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 no âmbito da </w:t>
      </w:r>
      <w:r w:rsidRPr="00F00C3D">
        <w:rPr>
          <w:rFonts w:ascii="Times New Roman" w:hAnsi="Times New Roman" w:cs="Times New Roman"/>
          <w:sz w:val="24"/>
          <w:szCs w:val="24"/>
        </w:rPr>
        <w:t>P</w:t>
      </w:r>
      <w:r w:rsidR="004F6845" w:rsidRPr="00F00C3D">
        <w:rPr>
          <w:rFonts w:ascii="Times New Roman" w:hAnsi="Times New Roman" w:cs="Times New Roman"/>
          <w:sz w:val="24"/>
          <w:szCs w:val="24"/>
        </w:rPr>
        <w:t>ro</w:t>
      </w:r>
      <w:r w:rsidRPr="00F00C3D">
        <w:rPr>
          <w:rFonts w:ascii="Times New Roman" w:hAnsi="Times New Roman" w:cs="Times New Roman"/>
          <w:sz w:val="24"/>
          <w:szCs w:val="24"/>
        </w:rPr>
        <w:t>curadoria Geral do Estado do Amazonas</w:t>
      </w:r>
      <w:r w:rsidR="00F7665D" w:rsidRPr="00F00C3D">
        <w:rPr>
          <w:rFonts w:ascii="Times New Roman" w:hAnsi="Times New Roman" w:cs="Times New Roman"/>
          <w:sz w:val="24"/>
          <w:szCs w:val="24"/>
        </w:rPr>
        <w:t>.</w:t>
      </w:r>
    </w:p>
    <w:p w14:paraId="228EA192" w14:textId="77777777" w:rsidR="00F7665D" w:rsidRPr="00F00C3D" w:rsidRDefault="00F7665D" w:rsidP="00F7665D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Como método para a demonstração do êxito da política de conciliação da C</w:t>
      </w:r>
      <w:r w:rsidR="00532FB0" w:rsidRPr="00F00C3D">
        <w:rPr>
          <w:rFonts w:ascii="Times New Roman" w:hAnsi="Times New Roman" w:cs="Times New Roman"/>
          <w:sz w:val="24"/>
          <w:szCs w:val="24"/>
        </w:rPr>
        <w:t xml:space="preserve">âmara </w:t>
      </w:r>
      <w:r w:rsidRPr="00F00C3D">
        <w:rPr>
          <w:rFonts w:ascii="Times New Roman" w:hAnsi="Times New Roman" w:cs="Times New Roman"/>
          <w:sz w:val="24"/>
          <w:szCs w:val="24"/>
        </w:rPr>
        <w:t xml:space="preserve">será </w:t>
      </w:r>
      <w:r w:rsidRPr="00F00C3D">
        <w:rPr>
          <w:rFonts w:ascii="Times New Roman" w:hAnsi="Times New Roman" w:cs="Times New Roman"/>
          <w:sz w:val="24"/>
          <w:szCs w:val="24"/>
        </w:rPr>
        <w:lastRenderedPageBreak/>
        <w:t>utilizado o modelo observacional, com método de procedimento por técnica de pesquisa de documentação direta e indireta e revisão de bibliografia nacional.</w:t>
      </w:r>
    </w:p>
    <w:p w14:paraId="12386487" w14:textId="77777777" w:rsidR="004F6845" w:rsidRPr="00F00C3D" w:rsidRDefault="004F6845" w:rsidP="00F7665D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921A0" w14:textId="38E7085B" w:rsidR="008619A5" w:rsidRPr="00F00C3D" w:rsidRDefault="00D06214" w:rsidP="00F7665D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C3D">
        <w:rPr>
          <w:rFonts w:ascii="Times New Roman" w:hAnsi="Times New Roman" w:cs="Times New Roman"/>
          <w:b/>
          <w:sz w:val="24"/>
          <w:szCs w:val="24"/>
        </w:rPr>
        <w:t>2 A PREMÊ</w:t>
      </w:r>
      <w:r w:rsidR="00F7665D" w:rsidRPr="00F00C3D">
        <w:rPr>
          <w:rFonts w:ascii="Times New Roman" w:hAnsi="Times New Roman" w:cs="Times New Roman"/>
          <w:b/>
          <w:sz w:val="24"/>
          <w:szCs w:val="24"/>
        </w:rPr>
        <w:t>NCIA DA RESOLUÇÃO ADMINISTRATIVA DE CONFLITOS</w:t>
      </w:r>
    </w:p>
    <w:p w14:paraId="28EBCAD2" w14:textId="4C78F666" w:rsidR="00790F49" w:rsidRPr="00F00C3D" w:rsidRDefault="00E94512" w:rsidP="00F7665D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Nesse cenário de uma Administração voltada para a sustentabilidade e para a consecu</w:t>
      </w:r>
      <w:r w:rsidR="00BA1686">
        <w:rPr>
          <w:rFonts w:ascii="Times New Roman" w:hAnsi="Times New Roman" w:cs="Times New Roman"/>
          <w:sz w:val="24"/>
          <w:szCs w:val="24"/>
        </w:rPr>
        <w:t>ç</w:t>
      </w:r>
      <w:r w:rsidRPr="00F00C3D">
        <w:rPr>
          <w:rFonts w:ascii="Times New Roman" w:hAnsi="Times New Roman" w:cs="Times New Roman"/>
          <w:sz w:val="24"/>
          <w:szCs w:val="24"/>
        </w:rPr>
        <w:t>ão dos direitos fundamentais ligados à manutenção da vida em todas as suas formas</w:t>
      </w:r>
      <w:r w:rsidR="00790F49" w:rsidRPr="00F00C3D">
        <w:rPr>
          <w:rFonts w:ascii="Times New Roman" w:hAnsi="Times New Roman" w:cs="Times New Roman"/>
          <w:sz w:val="24"/>
          <w:szCs w:val="24"/>
        </w:rPr>
        <w:t xml:space="preserve">, 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se destaca </w:t>
      </w:r>
      <w:r w:rsidR="00790F49" w:rsidRPr="00F00C3D">
        <w:rPr>
          <w:rFonts w:ascii="Times New Roman" w:hAnsi="Times New Roman" w:cs="Times New Roman"/>
          <w:sz w:val="24"/>
          <w:szCs w:val="24"/>
        </w:rPr>
        <w:t xml:space="preserve">a necessária primazia da resolução administrativa de conflitos, com realce para </w:t>
      </w:r>
      <w:r w:rsidR="000B2536" w:rsidRPr="00F00C3D">
        <w:rPr>
          <w:rFonts w:ascii="Times New Roman" w:hAnsi="Times New Roman" w:cs="Times New Roman"/>
          <w:sz w:val="24"/>
          <w:szCs w:val="24"/>
        </w:rPr>
        <w:t xml:space="preserve">a negociação e a </w:t>
      </w:r>
      <w:r w:rsidR="00790F49" w:rsidRPr="00F00C3D">
        <w:rPr>
          <w:rFonts w:ascii="Times New Roman" w:hAnsi="Times New Roman" w:cs="Times New Roman"/>
          <w:sz w:val="24"/>
          <w:szCs w:val="24"/>
        </w:rPr>
        <w:t>conciliação po</w:t>
      </w:r>
      <w:r w:rsidR="00AA34C1" w:rsidRPr="00F00C3D">
        <w:rPr>
          <w:rFonts w:ascii="Times New Roman" w:hAnsi="Times New Roman" w:cs="Times New Roman"/>
          <w:sz w:val="24"/>
          <w:szCs w:val="24"/>
        </w:rPr>
        <w:t xml:space="preserve">r meio da criação de </w:t>
      </w:r>
      <w:r w:rsidR="0064308C">
        <w:rPr>
          <w:rFonts w:ascii="Times New Roman" w:hAnsi="Times New Roman" w:cs="Times New Roman"/>
          <w:sz w:val="24"/>
          <w:szCs w:val="24"/>
        </w:rPr>
        <w:t>C</w:t>
      </w:r>
      <w:r w:rsidR="00AA34C1" w:rsidRPr="00F00C3D">
        <w:rPr>
          <w:rFonts w:ascii="Times New Roman" w:hAnsi="Times New Roman" w:cs="Times New Roman"/>
          <w:sz w:val="24"/>
          <w:szCs w:val="24"/>
        </w:rPr>
        <w:t>â</w:t>
      </w:r>
      <w:r w:rsidR="00790F49" w:rsidRPr="00F00C3D">
        <w:rPr>
          <w:rFonts w:ascii="Times New Roman" w:hAnsi="Times New Roman" w:cs="Times New Roman"/>
          <w:sz w:val="24"/>
          <w:szCs w:val="24"/>
        </w:rPr>
        <w:t xml:space="preserve">maras de </w:t>
      </w:r>
      <w:r w:rsidR="0064308C">
        <w:rPr>
          <w:rFonts w:ascii="Times New Roman" w:hAnsi="Times New Roman" w:cs="Times New Roman"/>
          <w:sz w:val="24"/>
          <w:szCs w:val="24"/>
        </w:rPr>
        <w:t>R</w:t>
      </w:r>
      <w:r w:rsidR="00790F49" w:rsidRPr="00F00C3D">
        <w:rPr>
          <w:rFonts w:ascii="Times New Roman" w:hAnsi="Times New Roman" w:cs="Times New Roman"/>
          <w:sz w:val="24"/>
          <w:szCs w:val="24"/>
        </w:rPr>
        <w:t xml:space="preserve">esolução </w:t>
      </w:r>
      <w:r w:rsidR="0064308C">
        <w:rPr>
          <w:rFonts w:ascii="Times New Roman" w:hAnsi="Times New Roman" w:cs="Times New Roman"/>
          <w:sz w:val="24"/>
          <w:szCs w:val="24"/>
        </w:rPr>
        <w:t>A</w:t>
      </w:r>
      <w:r w:rsidR="00790F49" w:rsidRPr="00F00C3D">
        <w:rPr>
          <w:rFonts w:ascii="Times New Roman" w:hAnsi="Times New Roman" w:cs="Times New Roman"/>
          <w:sz w:val="24"/>
          <w:szCs w:val="24"/>
        </w:rPr>
        <w:t xml:space="preserve">dministrativa. </w:t>
      </w:r>
    </w:p>
    <w:p w14:paraId="78D0B001" w14:textId="040AA2DE" w:rsidR="00E33F53" w:rsidRPr="00F00C3D" w:rsidRDefault="2F1E90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São conhecidos os efeitos deletérios da excessiva carga de processos, que onera o sistema jurídico brasileiro, oriundo de uma cultura litigiosa alimentada por profissionais que tiveram sua formação jurídica marcada pelo contencioso, levando a um padrão de atuação que gera ineficiência. Esse ideia de que os conflitos apenas podem ser solucionados pelo processo judiciário é ineficaz e inadequada, além de n</w:t>
      </w:r>
      <w:r w:rsidR="0064308C">
        <w:rPr>
          <w:rFonts w:ascii="Times New Roman" w:hAnsi="Times New Roman" w:cs="Times New Roman"/>
          <w:sz w:val="24"/>
          <w:szCs w:val="24"/>
        </w:rPr>
        <w:t>ã</w:t>
      </w:r>
      <w:r w:rsidRPr="00F00C3D">
        <w:rPr>
          <w:rFonts w:ascii="Times New Roman" w:hAnsi="Times New Roman" w:cs="Times New Roman"/>
          <w:sz w:val="24"/>
          <w:szCs w:val="24"/>
        </w:rPr>
        <w:t>o atender aos fundamentos da boa administração pública.</w:t>
      </w:r>
    </w:p>
    <w:p w14:paraId="78FD0EC5" w14:textId="0A53CD2E" w:rsidR="00E33F53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A cultura da litigiosidade e a formação </w:t>
      </w:r>
      <w:r w:rsidR="00286C6D" w:rsidRPr="00F00C3D">
        <w:rPr>
          <w:rFonts w:ascii="Times New Roman" w:hAnsi="Times New Roman" w:cs="Times New Roman"/>
          <w:sz w:val="24"/>
          <w:szCs w:val="24"/>
        </w:rPr>
        <w:t>superior</w:t>
      </w:r>
      <w:r w:rsidRPr="00F00C3D">
        <w:rPr>
          <w:rFonts w:ascii="Times New Roman" w:hAnsi="Times New Roman" w:cs="Times New Roman"/>
          <w:sz w:val="24"/>
          <w:szCs w:val="24"/>
        </w:rPr>
        <w:t xml:space="preserve"> voltada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 xml:space="preserve">para 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o </w:t>
      </w:r>
      <w:r w:rsidRPr="00F00C3D">
        <w:rPr>
          <w:rFonts w:ascii="Times New Roman" w:hAnsi="Times New Roman" w:cs="Times New Roman"/>
          <w:sz w:val="24"/>
          <w:szCs w:val="24"/>
        </w:rPr>
        <w:t xml:space="preserve">contencioso jurídico são dois fatos notórios na </w:t>
      </w:r>
      <w:r w:rsidR="00F7665D" w:rsidRPr="00F00C3D">
        <w:rPr>
          <w:rFonts w:ascii="Times New Roman" w:hAnsi="Times New Roman" w:cs="Times New Roman"/>
          <w:sz w:val="24"/>
          <w:szCs w:val="24"/>
        </w:rPr>
        <w:t>comunidade jur</w:t>
      </w:r>
      <w:r w:rsidR="00286C6D" w:rsidRPr="00F00C3D">
        <w:rPr>
          <w:rFonts w:ascii="Times New Roman" w:hAnsi="Times New Roman" w:cs="Times New Roman"/>
          <w:sz w:val="24"/>
          <w:szCs w:val="24"/>
        </w:rPr>
        <w:t>isconsulta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 brasileira, fruto de uma esperança depositada</w:t>
      </w:r>
      <w:r w:rsidR="00AA34C1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>nas instituições jurídicas como mecanismos de resolução de conflitos sociais.</w:t>
      </w:r>
    </w:p>
    <w:p w14:paraId="1F2C97E0" w14:textId="64BBAE9B" w:rsidR="00E33F53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Dessa cultura 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surgiu </w:t>
      </w:r>
      <w:r w:rsidRPr="00F00C3D">
        <w:rPr>
          <w:rFonts w:ascii="Times New Roman" w:hAnsi="Times New Roman" w:cs="Times New Roman"/>
          <w:sz w:val="24"/>
          <w:szCs w:val="24"/>
        </w:rPr>
        <w:t xml:space="preserve">a valorização do conflito judicial e o despreparo para a resolução consensual dos conflitos (mediação, conciliação, negociação etc.). 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Todos projetam a imagem de </w:t>
      </w:r>
      <w:r w:rsidRPr="00F00C3D">
        <w:rPr>
          <w:rFonts w:ascii="Times New Roman" w:hAnsi="Times New Roman" w:cs="Times New Roman"/>
          <w:sz w:val="24"/>
          <w:szCs w:val="24"/>
        </w:rPr>
        <w:t xml:space="preserve">um profissional combativo, formado para o </w:t>
      </w:r>
      <w:r w:rsidR="00F7665D" w:rsidRPr="00F00C3D">
        <w:rPr>
          <w:rFonts w:ascii="Times New Roman" w:hAnsi="Times New Roman" w:cs="Times New Roman"/>
          <w:sz w:val="24"/>
          <w:szCs w:val="24"/>
        </w:rPr>
        <w:t>enfrentamento com o adversário</w:t>
      </w:r>
      <w:r w:rsidR="008C6956" w:rsidRPr="00F00C3D">
        <w:rPr>
          <w:rFonts w:ascii="Times New Roman" w:hAnsi="Times New Roman" w:cs="Times New Roman"/>
          <w:sz w:val="24"/>
          <w:szCs w:val="24"/>
        </w:rPr>
        <w:t xml:space="preserve">, ideia que enaltece </w:t>
      </w:r>
      <w:r w:rsidRPr="00F00C3D">
        <w:rPr>
          <w:rFonts w:ascii="Times New Roman" w:hAnsi="Times New Roman" w:cs="Times New Roman"/>
          <w:sz w:val="24"/>
          <w:szCs w:val="24"/>
        </w:rPr>
        <w:t>a l</w:t>
      </w:r>
      <w:r w:rsidR="008C6956" w:rsidRPr="00F00C3D">
        <w:rPr>
          <w:rFonts w:ascii="Times New Roman" w:hAnsi="Times New Roman" w:cs="Times New Roman"/>
          <w:sz w:val="24"/>
          <w:szCs w:val="24"/>
        </w:rPr>
        <w:t>ide em detrimento da composição,</w:t>
      </w:r>
      <w:r w:rsidR="00C97DEC" w:rsidRPr="00F00C3D">
        <w:rPr>
          <w:rFonts w:ascii="Times New Roman" w:hAnsi="Times New Roman" w:cs="Times New Roman"/>
          <w:sz w:val="24"/>
          <w:szCs w:val="24"/>
        </w:rPr>
        <w:t xml:space="preserve"> o prolongamento do litígio em detrimento da resolução do conflito,</w:t>
      </w:r>
      <w:r w:rsidR="008C6956" w:rsidRPr="00F00C3D">
        <w:rPr>
          <w:rFonts w:ascii="Times New Roman" w:hAnsi="Times New Roman" w:cs="Times New Roman"/>
          <w:sz w:val="24"/>
          <w:szCs w:val="24"/>
        </w:rPr>
        <w:t xml:space="preserve"> forjando </w:t>
      </w:r>
      <w:r w:rsidRPr="00F00C3D">
        <w:rPr>
          <w:rFonts w:ascii="Times New Roman" w:hAnsi="Times New Roman" w:cs="Times New Roman"/>
          <w:sz w:val="24"/>
          <w:szCs w:val="24"/>
        </w:rPr>
        <w:t>profissionais do direito</w:t>
      </w:r>
      <w:r w:rsidR="00F7665D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 xml:space="preserve">sem as habilidades necessárias para o exercício </w:t>
      </w:r>
      <w:r w:rsidR="008C6956" w:rsidRPr="00F00C3D">
        <w:rPr>
          <w:rFonts w:ascii="Times New Roman" w:hAnsi="Times New Roman" w:cs="Times New Roman"/>
          <w:sz w:val="24"/>
          <w:szCs w:val="24"/>
        </w:rPr>
        <w:t>d</w:t>
      </w:r>
      <w:r w:rsidRPr="00F00C3D">
        <w:rPr>
          <w:rFonts w:ascii="Times New Roman" w:hAnsi="Times New Roman" w:cs="Times New Roman"/>
          <w:sz w:val="24"/>
          <w:szCs w:val="24"/>
        </w:rPr>
        <w:t xml:space="preserve">a </w:t>
      </w:r>
      <w:r w:rsidR="00C97DEC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="008C6956" w:rsidRPr="00F00C3D">
        <w:rPr>
          <w:rFonts w:ascii="Times New Roman" w:hAnsi="Times New Roman" w:cs="Times New Roman"/>
          <w:sz w:val="24"/>
          <w:szCs w:val="24"/>
        </w:rPr>
        <w:t>, muito mais condizente com o ide</w:t>
      </w:r>
      <w:r w:rsidR="0064308C">
        <w:rPr>
          <w:rFonts w:ascii="Times New Roman" w:hAnsi="Times New Roman" w:cs="Times New Roman"/>
          <w:sz w:val="24"/>
          <w:szCs w:val="24"/>
        </w:rPr>
        <w:t>al</w:t>
      </w:r>
      <w:r w:rsidR="008C6956" w:rsidRPr="00F00C3D">
        <w:rPr>
          <w:rFonts w:ascii="Times New Roman" w:hAnsi="Times New Roman" w:cs="Times New Roman"/>
          <w:sz w:val="24"/>
          <w:szCs w:val="24"/>
        </w:rPr>
        <w:t xml:space="preserve"> de paz social preconizad</w:t>
      </w:r>
      <w:r w:rsidR="0064308C">
        <w:rPr>
          <w:rFonts w:ascii="Times New Roman" w:hAnsi="Times New Roman" w:cs="Times New Roman"/>
          <w:sz w:val="24"/>
          <w:szCs w:val="24"/>
        </w:rPr>
        <w:t>o</w:t>
      </w:r>
      <w:r w:rsidR="008C6956" w:rsidRPr="00F00C3D">
        <w:rPr>
          <w:rFonts w:ascii="Times New Roman" w:hAnsi="Times New Roman" w:cs="Times New Roman"/>
          <w:sz w:val="24"/>
          <w:szCs w:val="24"/>
        </w:rPr>
        <w:t xml:space="preserve"> na Constituição.</w:t>
      </w:r>
    </w:p>
    <w:p w14:paraId="0CCB2D0B" w14:textId="77777777" w:rsidR="008C6956" w:rsidRPr="00F00C3D" w:rsidRDefault="00E33F53" w:rsidP="0054149B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Essa dinâmica fragiliza a gestão estratégica e o planejamento</w:t>
      </w:r>
      <w:r w:rsidR="00C702AC" w:rsidRPr="00F00C3D">
        <w:rPr>
          <w:rFonts w:ascii="Times New Roman" w:hAnsi="Times New Roman" w:cs="Times New Roman"/>
          <w:sz w:val="24"/>
          <w:szCs w:val="24"/>
        </w:rPr>
        <w:t xml:space="preserve"> da Administração</w:t>
      </w:r>
      <w:r w:rsidRPr="00F00C3D">
        <w:rPr>
          <w:rFonts w:ascii="Times New Roman" w:hAnsi="Times New Roman" w:cs="Times New Roman"/>
          <w:sz w:val="24"/>
          <w:szCs w:val="24"/>
        </w:rPr>
        <w:t xml:space="preserve">, </w:t>
      </w:r>
      <w:r w:rsidR="008C6956" w:rsidRPr="00F00C3D">
        <w:rPr>
          <w:rFonts w:ascii="Times New Roman" w:hAnsi="Times New Roman" w:cs="Times New Roman"/>
          <w:sz w:val="24"/>
          <w:szCs w:val="24"/>
        </w:rPr>
        <w:t xml:space="preserve">comprometendo </w:t>
      </w:r>
      <w:r w:rsidRPr="00F00C3D">
        <w:rPr>
          <w:rFonts w:ascii="Times New Roman" w:hAnsi="Times New Roman" w:cs="Times New Roman"/>
          <w:sz w:val="24"/>
          <w:szCs w:val="24"/>
        </w:rPr>
        <w:t xml:space="preserve">a sustentabilidade e </w:t>
      </w:r>
      <w:r w:rsidR="008C6956" w:rsidRPr="00F00C3D">
        <w:rPr>
          <w:rFonts w:ascii="Times New Roman" w:hAnsi="Times New Roman" w:cs="Times New Roman"/>
          <w:sz w:val="24"/>
          <w:szCs w:val="24"/>
        </w:rPr>
        <w:t xml:space="preserve">os </w:t>
      </w:r>
      <w:r w:rsidRPr="00F00C3D">
        <w:rPr>
          <w:rFonts w:ascii="Times New Roman" w:hAnsi="Times New Roman" w:cs="Times New Roman"/>
          <w:sz w:val="24"/>
          <w:szCs w:val="24"/>
        </w:rPr>
        <w:t xml:space="preserve">objetivos de longo prazo, uma vez que foca </w:t>
      </w:r>
      <w:r w:rsidR="00C702AC" w:rsidRPr="00F00C3D">
        <w:rPr>
          <w:rFonts w:ascii="Times New Roman" w:hAnsi="Times New Roman" w:cs="Times New Roman"/>
          <w:sz w:val="24"/>
          <w:szCs w:val="24"/>
        </w:rPr>
        <w:t>n</w:t>
      </w:r>
      <w:r w:rsidRPr="00F00C3D">
        <w:rPr>
          <w:rFonts w:ascii="Times New Roman" w:hAnsi="Times New Roman" w:cs="Times New Roman"/>
          <w:sz w:val="24"/>
          <w:szCs w:val="24"/>
        </w:rPr>
        <w:t>o resultado financeiro de curto prazo</w:t>
      </w:r>
      <w:r w:rsidR="008C6956" w:rsidRPr="00F00C3D">
        <w:rPr>
          <w:rFonts w:ascii="Times New Roman" w:hAnsi="Times New Roman" w:cs="Times New Roman"/>
          <w:sz w:val="24"/>
          <w:szCs w:val="24"/>
        </w:rPr>
        <w:t>, porque a</w:t>
      </w:r>
      <w:r w:rsidRPr="00F00C3D">
        <w:rPr>
          <w:rFonts w:ascii="Times New Roman" w:hAnsi="Times New Roman" w:cs="Times New Roman"/>
          <w:sz w:val="24"/>
          <w:szCs w:val="24"/>
        </w:rPr>
        <w:t xml:space="preserve"> possibilidade de transferir aos tribunais a resolução dos conflitos </w:t>
      </w:r>
      <w:r w:rsidR="008C6956" w:rsidRPr="00F00C3D">
        <w:rPr>
          <w:rFonts w:ascii="Times New Roman" w:hAnsi="Times New Roman" w:cs="Times New Roman"/>
          <w:sz w:val="24"/>
          <w:szCs w:val="24"/>
        </w:rPr>
        <w:t xml:space="preserve">posterga o impacto financeiro, gerando </w:t>
      </w:r>
      <w:r w:rsidRPr="00F00C3D">
        <w:rPr>
          <w:rFonts w:ascii="Times New Roman" w:hAnsi="Times New Roman" w:cs="Times New Roman"/>
          <w:sz w:val="24"/>
          <w:szCs w:val="24"/>
        </w:rPr>
        <w:t xml:space="preserve">melhores resultados contábeis </w:t>
      </w:r>
      <w:r w:rsidR="008C6956" w:rsidRPr="00F00C3D">
        <w:rPr>
          <w:rFonts w:ascii="Times New Roman" w:hAnsi="Times New Roman" w:cs="Times New Roman"/>
          <w:sz w:val="24"/>
          <w:szCs w:val="24"/>
        </w:rPr>
        <w:t>no aqui e agora.</w:t>
      </w:r>
    </w:p>
    <w:p w14:paraId="698BA91B" w14:textId="463FC3ED" w:rsidR="00E33F53" w:rsidRPr="00F00C3D" w:rsidRDefault="008C6956" w:rsidP="0054149B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Porém, esse funcionamento acoberta </w:t>
      </w:r>
      <w:r w:rsidR="00E33F53" w:rsidRPr="00F00C3D">
        <w:rPr>
          <w:rFonts w:ascii="Times New Roman" w:hAnsi="Times New Roman" w:cs="Times New Roman"/>
          <w:sz w:val="24"/>
          <w:szCs w:val="24"/>
        </w:rPr>
        <w:t>ineficiências</w:t>
      </w:r>
      <w:r w:rsidRPr="00F00C3D">
        <w:rPr>
          <w:rFonts w:ascii="Times New Roman" w:hAnsi="Times New Roman" w:cs="Times New Roman"/>
          <w:sz w:val="24"/>
          <w:szCs w:val="24"/>
        </w:rPr>
        <w:t xml:space="preserve"> e prolemas </w:t>
      </w:r>
      <w:r w:rsidR="00E33F53" w:rsidRPr="00F00C3D">
        <w:rPr>
          <w:rFonts w:ascii="Times New Roman" w:hAnsi="Times New Roman" w:cs="Times New Roman"/>
          <w:sz w:val="24"/>
          <w:szCs w:val="24"/>
        </w:rPr>
        <w:t>de gestão que tendem a ser corrigid</w:t>
      </w:r>
      <w:r w:rsidRPr="00F00C3D">
        <w:rPr>
          <w:rFonts w:ascii="Times New Roman" w:hAnsi="Times New Roman" w:cs="Times New Roman"/>
          <w:sz w:val="24"/>
          <w:szCs w:val="24"/>
        </w:rPr>
        <w:t>o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s somente depois de mensurado o prejuízo causado, </w:t>
      </w:r>
      <w:r w:rsidRPr="00F00C3D">
        <w:rPr>
          <w:rFonts w:ascii="Times New Roman" w:hAnsi="Times New Roman" w:cs="Times New Roman"/>
          <w:sz w:val="24"/>
          <w:szCs w:val="24"/>
        </w:rPr>
        <w:t xml:space="preserve">porque as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ações judiciais </w:t>
      </w:r>
      <w:r w:rsidRPr="00F00C3D">
        <w:rPr>
          <w:rFonts w:ascii="Times New Roman" w:hAnsi="Times New Roman" w:cs="Times New Roman"/>
          <w:sz w:val="24"/>
          <w:szCs w:val="24"/>
        </w:rPr>
        <w:t xml:space="preserve">apenas revelam seu verdadeiro impacto financeiro </w:t>
      </w:r>
      <w:r w:rsidR="00E33F53" w:rsidRPr="00F00C3D">
        <w:rPr>
          <w:rFonts w:ascii="Times New Roman" w:hAnsi="Times New Roman" w:cs="Times New Roman"/>
          <w:sz w:val="24"/>
          <w:szCs w:val="24"/>
        </w:rPr>
        <w:t>ao final dos processos</w:t>
      </w:r>
      <w:r w:rsidRPr="00F00C3D">
        <w:rPr>
          <w:rFonts w:ascii="Times New Roman" w:hAnsi="Times New Roman" w:cs="Times New Roman"/>
          <w:sz w:val="24"/>
          <w:szCs w:val="24"/>
        </w:rPr>
        <w:t>. Para além deste as</w:t>
      </w:r>
      <w:r w:rsidR="007E770E">
        <w:rPr>
          <w:rFonts w:ascii="Times New Roman" w:hAnsi="Times New Roman" w:cs="Times New Roman"/>
          <w:sz w:val="24"/>
          <w:szCs w:val="24"/>
        </w:rPr>
        <w:t>p</w:t>
      </w:r>
      <w:r w:rsidR="0064308C">
        <w:rPr>
          <w:rFonts w:ascii="Times New Roman" w:hAnsi="Times New Roman" w:cs="Times New Roman"/>
          <w:sz w:val="24"/>
          <w:szCs w:val="24"/>
        </w:rPr>
        <w:t>e</w:t>
      </w:r>
      <w:r w:rsidRPr="00F00C3D">
        <w:rPr>
          <w:rFonts w:ascii="Times New Roman" w:hAnsi="Times New Roman" w:cs="Times New Roman"/>
          <w:sz w:val="24"/>
          <w:szCs w:val="24"/>
        </w:rPr>
        <w:t xml:space="preserve">cto, deve-se considerar que </w:t>
      </w:r>
      <w:r w:rsidR="00E33F53" w:rsidRPr="00F00C3D">
        <w:rPr>
          <w:rFonts w:ascii="Times New Roman" w:hAnsi="Times New Roman" w:cs="Times New Roman"/>
          <w:sz w:val="24"/>
          <w:szCs w:val="24"/>
        </w:rPr>
        <w:t>ações judiciais</w:t>
      </w:r>
      <w:r w:rsidR="0054149B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 xml:space="preserve">reiteradas </w:t>
      </w:r>
      <w:r w:rsidR="00E33F53" w:rsidRPr="00F00C3D">
        <w:rPr>
          <w:rFonts w:ascii="Times New Roman" w:hAnsi="Times New Roman" w:cs="Times New Roman"/>
          <w:sz w:val="24"/>
          <w:szCs w:val="24"/>
        </w:rPr>
        <w:t>reforça</w:t>
      </w:r>
      <w:r w:rsidRPr="00F00C3D">
        <w:rPr>
          <w:rFonts w:ascii="Times New Roman" w:hAnsi="Times New Roman" w:cs="Times New Roman"/>
          <w:sz w:val="24"/>
          <w:szCs w:val="24"/>
        </w:rPr>
        <w:t>m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a aplicação de multas, encargos legais e condenações em indenizações de valor </w:t>
      </w:r>
      <w:r w:rsidRPr="00F00C3D">
        <w:rPr>
          <w:rFonts w:ascii="Times New Roman" w:hAnsi="Times New Roman" w:cs="Times New Roman"/>
          <w:sz w:val="24"/>
          <w:szCs w:val="24"/>
        </w:rPr>
        <w:t xml:space="preserve">sempre </w:t>
      </w:r>
      <w:r w:rsidR="00E33F53" w:rsidRPr="00F00C3D">
        <w:rPr>
          <w:rFonts w:ascii="Times New Roman" w:hAnsi="Times New Roman" w:cs="Times New Roman"/>
          <w:sz w:val="24"/>
          <w:szCs w:val="24"/>
        </w:rPr>
        <w:t>crescente.</w:t>
      </w:r>
    </w:p>
    <w:p w14:paraId="2DE34DCC" w14:textId="41EB11B0" w:rsidR="00D06214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Do mesmo modo, a jurisdicionalização fortalece</w:t>
      </w:r>
      <w:r w:rsidR="0054149B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>um</w:t>
      </w:r>
      <w:r w:rsidR="0064308C">
        <w:rPr>
          <w:rFonts w:ascii="Times New Roman" w:hAnsi="Times New Roman" w:cs="Times New Roman"/>
          <w:sz w:val="24"/>
          <w:szCs w:val="24"/>
        </w:rPr>
        <w:t>a ideia</w:t>
      </w:r>
      <w:r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4F6A91" w:rsidRPr="00F00C3D">
        <w:rPr>
          <w:rFonts w:ascii="Times New Roman" w:hAnsi="Times New Roman" w:cs="Times New Roman"/>
          <w:sz w:val="24"/>
          <w:szCs w:val="24"/>
        </w:rPr>
        <w:t xml:space="preserve">de que não há como solucionar </w:t>
      </w:r>
      <w:r w:rsidRPr="00F00C3D">
        <w:rPr>
          <w:rFonts w:ascii="Times New Roman" w:hAnsi="Times New Roman" w:cs="Times New Roman"/>
          <w:sz w:val="24"/>
          <w:szCs w:val="24"/>
        </w:rPr>
        <w:t xml:space="preserve">conflitos sociais </w:t>
      </w:r>
      <w:r w:rsidR="0054149B" w:rsidRPr="00F00C3D">
        <w:rPr>
          <w:rFonts w:ascii="Times New Roman" w:hAnsi="Times New Roman" w:cs="Times New Roman"/>
          <w:sz w:val="24"/>
          <w:szCs w:val="24"/>
        </w:rPr>
        <w:t xml:space="preserve">sem o </w:t>
      </w:r>
      <w:r w:rsidR="004F6A91" w:rsidRPr="00F00C3D">
        <w:rPr>
          <w:rFonts w:ascii="Times New Roman" w:hAnsi="Times New Roman" w:cs="Times New Roman"/>
          <w:sz w:val="24"/>
          <w:szCs w:val="24"/>
        </w:rPr>
        <w:t>Poder Judiciário, o que, obviamente, levou ao a</w:t>
      </w:r>
      <w:r w:rsidRPr="00F00C3D">
        <w:rPr>
          <w:rFonts w:ascii="Times New Roman" w:hAnsi="Times New Roman" w:cs="Times New Roman"/>
          <w:sz w:val="24"/>
          <w:szCs w:val="24"/>
        </w:rPr>
        <w:t xml:space="preserve">cúmulo de processos, </w:t>
      </w:r>
      <w:r w:rsidR="004F6A91" w:rsidRPr="00F00C3D">
        <w:rPr>
          <w:rFonts w:ascii="Times New Roman" w:hAnsi="Times New Roman" w:cs="Times New Roman"/>
          <w:sz w:val="24"/>
          <w:szCs w:val="24"/>
        </w:rPr>
        <w:lastRenderedPageBreak/>
        <w:t xml:space="preserve">aumentando </w:t>
      </w:r>
      <w:r w:rsidRPr="00F00C3D">
        <w:rPr>
          <w:rFonts w:ascii="Times New Roman" w:hAnsi="Times New Roman" w:cs="Times New Roman"/>
          <w:sz w:val="24"/>
          <w:szCs w:val="24"/>
        </w:rPr>
        <w:t xml:space="preserve">o tempo de </w:t>
      </w:r>
      <w:r w:rsidR="004F6A91" w:rsidRPr="00F00C3D">
        <w:rPr>
          <w:rFonts w:ascii="Times New Roman" w:hAnsi="Times New Roman" w:cs="Times New Roman"/>
          <w:sz w:val="24"/>
          <w:szCs w:val="24"/>
        </w:rPr>
        <w:t xml:space="preserve">sua tramitação. Some-se </w:t>
      </w:r>
      <w:r w:rsidR="00C85D58" w:rsidRPr="00F00C3D">
        <w:rPr>
          <w:rFonts w:ascii="Times New Roman" w:hAnsi="Times New Roman" w:cs="Times New Roman"/>
          <w:sz w:val="24"/>
          <w:szCs w:val="24"/>
        </w:rPr>
        <w:t>a</w:t>
      </w:r>
      <w:r w:rsidR="004F6A91" w:rsidRPr="00F00C3D">
        <w:rPr>
          <w:rFonts w:ascii="Times New Roman" w:hAnsi="Times New Roman" w:cs="Times New Roman"/>
          <w:sz w:val="24"/>
          <w:szCs w:val="24"/>
        </w:rPr>
        <w:t xml:space="preserve"> isso a </w:t>
      </w:r>
      <w:r w:rsidRPr="00F00C3D">
        <w:rPr>
          <w:rFonts w:ascii="Times New Roman" w:hAnsi="Times New Roman" w:cs="Times New Roman"/>
          <w:sz w:val="24"/>
          <w:szCs w:val="24"/>
        </w:rPr>
        <w:t>própr</w:t>
      </w:r>
      <w:r w:rsidR="004F6A91" w:rsidRPr="00F00C3D">
        <w:rPr>
          <w:rFonts w:ascii="Times New Roman" w:hAnsi="Times New Roman" w:cs="Times New Roman"/>
          <w:sz w:val="24"/>
          <w:szCs w:val="24"/>
        </w:rPr>
        <w:t xml:space="preserve">ia natureza contenciosa da lide e chegamos às causas da </w:t>
      </w:r>
      <w:r w:rsidRPr="00F00C3D">
        <w:rPr>
          <w:rFonts w:ascii="Times New Roman" w:hAnsi="Times New Roman" w:cs="Times New Roman"/>
          <w:sz w:val="24"/>
          <w:szCs w:val="24"/>
        </w:rPr>
        <w:t>perda de legitimidade social</w:t>
      </w:r>
      <w:r w:rsidR="004F6A91" w:rsidRPr="00F00C3D">
        <w:rPr>
          <w:rFonts w:ascii="Times New Roman" w:hAnsi="Times New Roman" w:cs="Times New Roman"/>
          <w:sz w:val="24"/>
          <w:szCs w:val="24"/>
        </w:rPr>
        <w:t xml:space="preserve"> da Justiça</w:t>
      </w:r>
      <w:r w:rsidRPr="00F00C3D">
        <w:rPr>
          <w:rFonts w:ascii="Times New Roman" w:hAnsi="Times New Roman" w:cs="Times New Roman"/>
          <w:sz w:val="24"/>
          <w:szCs w:val="24"/>
        </w:rPr>
        <w:t xml:space="preserve">. </w:t>
      </w:r>
      <w:r w:rsidR="004F6A91" w:rsidRPr="00F00C3D">
        <w:rPr>
          <w:rFonts w:ascii="Times New Roman" w:hAnsi="Times New Roman" w:cs="Times New Roman"/>
          <w:sz w:val="24"/>
          <w:szCs w:val="24"/>
        </w:rPr>
        <w:t>Ao fim e ao cabo, o Judiciário</w:t>
      </w:r>
      <w:r w:rsidR="0064308C">
        <w:rPr>
          <w:rFonts w:ascii="Times New Roman" w:hAnsi="Times New Roman" w:cs="Times New Roman"/>
          <w:sz w:val="24"/>
          <w:szCs w:val="24"/>
        </w:rPr>
        <w:t xml:space="preserve"> finda por</w:t>
      </w:r>
      <w:r w:rsidR="004F6A91" w:rsidRPr="00F00C3D">
        <w:rPr>
          <w:rFonts w:ascii="Times New Roman" w:hAnsi="Times New Roman" w:cs="Times New Roman"/>
          <w:sz w:val="24"/>
          <w:szCs w:val="24"/>
        </w:rPr>
        <w:t xml:space="preserve"> não se mostr</w:t>
      </w:r>
      <w:r w:rsidR="0064308C">
        <w:rPr>
          <w:rFonts w:ascii="Times New Roman" w:hAnsi="Times New Roman" w:cs="Times New Roman"/>
          <w:sz w:val="24"/>
          <w:szCs w:val="24"/>
        </w:rPr>
        <w:t>ar</w:t>
      </w:r>
      <w:r w:rsidR="004F6A91" w:rsidRPr="00F00C3D">
        <w:rPr>
          <w:rFonts w:ascii="Times New Roman" w:hAnsi="Times New Roman" w:cs="Times New Roman"/>
          <w:sz w:val="24"/>
          <w:szCs w:val="24"/>
        </w:rPr>
        <w:t xml:space="preserve"> capaz de solucionar conflitos sociais a contento.  </w:t>
      </w:r>
    </w:p>
    <w:p w14:paraId="042C4E8C" w14:textId="3CC827EF" w:rsidR="00E33F53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Segundo o Conselho Nacional de Justiça, o número de processos em tramitação chegou, ao final do ano de 2017, com um acervo de 80,1 milhões de processos que aguardam solução definitiva, sendo que o crescimento médio, entre 2009 e 2017, foi de 4% ao ano, ou seja, houve uma variação acumulada de 31,9% no estoque de processos neste período</w:t>
      </w:r>
      <w:r w:rsidR="004F6A91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C36E29" w:rsidRPr="00F00C3D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D3957" w:rsidRPr="00F00C3D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{"citationItems":[{"id":"ITEM-1","itemData":{"author":[{"dropping-particle":"de","family":"Justiça","given":"Conselho Nacional","non-dropping-particle":"","parse-names":false,"suffix":""}],"id":"ITEM-1","issued":{"date-parts":[["2017"]]},"publisher-place":"Brasília","title":"Justiça em números","type":"report"},"uris":["http://www.mendeley.com/documents/?uuid=5d65c9f6-ffd0-4640-8132-18ff1a09dba2"]}],"mendeley":{"formattedCitation":"(JUSTIÇA, 2017)","plainTextFormattedCitation":"(JUSTIÇA, 2017)","previouslyFormattedCitation":"(JUSTIÇA, 2017)"},"properties":{"noteIndex":0},"schema":"https://github.com/citation-style-language/schema/raw/master/csl-citation.json"}</w:instrText>
      </w:r>
      <w:r w:rsidR="00C36E29" w:rsidRPr="00F00C3D">
        <w:rPr>
          <w:rFonts w:ascii="Times New Roman" w:hAnsi="Times New Roman" w:cs="Times New Roman"/>
          <w:sz w:val="24"/>
          <w:szCs w:val="24"/>
        </w:rPr>
        <w:fldChar w:fldCharType="separate"/>
      </w:r>
      <w:r w:rsidR="00BD3957" w:rsidRPr="00F00C3D">
        <w:rPr>
          <w:rFonts w:ascii="Times New Roman" w:hAnsi="Times New Roman" w:cs="Times New Roman"/>
          <w:noProof/>
          <w:sz w:val="24"/>
          <w:szCs w:val="24"/>
        </w:rPr>
        <w:t>(JUSTIÇA, 2017)</w:t>
      </w:r>
      <w:r w:rsidR="00C36E29" w:rsidRPr="00F00C3D">
        <w:rPr>
          <w:rFonts w:ascii="Times New Roman" w:hAnsi="Times New Roman" w:cs="Times New Roman"/>
          <w:sz w:val="24"/>
          <w:szCs w:val="24"/>
        </w:rPr>
        <w:fldChar w:fldCharType="end"/>
      </w:r>
      <w:r w:rsidR="00BD3957" w:rsidRPr="00F00C3D">
        <w:rPr>
          <w:rFonts w:ascii="Times New Roman" w:hAnsi="Times New Roman" w:cs="Times New Roman"/>
          <w:sz w:val="24"/>
          <w:szCs w:val="24"/>
        </w:rPr>
        <w:t>.</w:t>
      </w:r>
      <w:r w:rsidR="00A36F9A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8D2491" w:rsidRPr="00F00C3D">
        <w:rPr>
          <w:rFonts w:ascii="Times New Roman" w:hAnsi="Times New Roman" w:cs="Times New Roman"/>
          <w:sz w:val="24"/>
          <w:szCs w:val="24"/>
        </w:rPr>
        <w:t>Por sua vez, o relatório</w:t>
      </w:r>
      <w:r w:rsidR="003B5CF0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CC18F6" w:rsidRPr="00F00C3D">
        <w:rPr>
          <w:rFonts w:ascii="Times New Roman" w:hAnsi="Times New Roman" w:cs="Times New Roman"/>
          <w:sz w:val="24"/>
          <w:szCs w:val="24"/>
        </w:rPr>
        <w:t>Justiça em Números</w:t>
      </w:r>
      <w:r w:rsidR="008D2491" w:rsidRPr="00F00C3D">
        <w:rPr>
          <w:rFonts w:ascii="Times New Roman" w:hAnsi="Times New Roman" w:cs="Times New Roman"/>
          <w:sz w:val="24"/>
          <w:szCs w:val="24"/>
        </w:rPr>
        <w:t xml:space="preserve"> 2022</w:t>
      </w:r>
      <w:r w:rsidR="00CC18F6" w:rsidRPr="00F00C3D">
        <w:rPr>
          <w:rFonts w:ascii="Times New Roman" w:hAnsi="Times New Roman" w:cs="Times New Roman"/>
          <w:sz w:val="24"/>
          <w:szCs w:val="24"/>
        </w:rPr>
        <w:t xml:space="preserve"> aponta que “</w:t>
      </w:r>
      <w:r w:rsidR="008D2491" w:rsidRPr="00F00C3D">
        <w:rPr>
          <w:rFonts w:ascii="Times New Roman" w:hAnsi="Times New Roman" w:cs="Times New Roman"/>
          <w:i/>
          <w:iCs/>
          <w:sz w:val="24"/>
          <w:szCs w:val="24"/>
        </w:rPr>
        <w:t>com exceção da Justiça Eleitoral, em todos os segmentos houve elevação do acervo processual em 2021 em relação ao ano de 2020. Na Justiça Estadual, o crescimento foi de 1 milhão de processos (1,7%) e, na Justiça Federal, 881,7 mil processos (9,5%)</w:t>
      </w:r>
      <w:r w:rsidR="008D2491" w:rsidRPr="00F00C3D">
        <w:rPr>
          <w:rFonts w:ascii="Times New Roman" w:hAnsi="Times New Roman" w:cs="Times New Roman"/>
          <w:sz w:val="24"/>
          <w:szCs w:val="24"/>
        </w:rPr>
        <w:t>”.</w:t>
      </w:r>
      <w:r w:rsidR="003B5CF0" w:rsidRPr="00F00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E169E" w14:textId="52E3D68E" w:rsidR="00E33F53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Esse cenário tem levado </w:t>
      </w:r>
      <w:r w:rsidR="00FB37EB" w:rsidRPr="00F00C3D">
        <w:rPr>
          <w:rFonts w:ascii="Times New Roman" w:hAnsi="Times New Roman" w:cs="Times New Roman"/>
          <w:sz w:val="24"/>
          <w:szCs w:val="24"/>
        </w:rPr>
        <w:t xml:space="preserve">a Administração </w:t>
      </w:r>
      <w:r w:rsidRPr="00F00C3D">
        <w:rPr>
          <w:rFonts w:ascii="Times New Roman" w:hAnsi="Times New Roman" w:cs="Times New Roman"/>
          <w:sz w:val="24"/>
          <w:szCs w:val="24"/>
        </w:rPr>
        <w:t xml:space="preserve">a </w:t>
      </w:r>
      <w:r w:rsidR="00FB37EB" w:rsidRPr="00F00C3D">
        <w:rPr>
          <w:rFonts w:ascii="Times New Roman" w:hAnsi="Times New Roman" w:cs="Times New Roman"/>
          <w:sz w:val="24"/>
          <w:szCs w:val="24"/>
        </w:rPr>
        <w:t xml:space="preserve">arcar </w:t>
      </w:r>
      <w:r w:rsidRPr="00F00C3D">
        <w:rPr>
          <w:rFonts w:ascii="Times New Roman" w:hAnsi="Times New Roman" w:cs="Times New Roman"/>
          <w:sz w:val="24"/>
          <w:szCs w:val="24"/>
        </w:rPr>
        <w:t>com um custo crescente no que se refere à gestão das demandas jurídicas</w:t>
      </w:r>
      <w:r w:rsidR="00FB37EB" w:rsidRPr="00F00C3D">
        <w:rPr>
          <w:rFonts w:ascii="Times New Roman" w:hAnsi="Times New Roman" w:cs="Times New Roman"/>
          <w:sz w:val="24"/>
          <w:szCs w:val="24"/>
        </w:rPr>
        <w:t xml:space="preserve">, gerando impacto negativos para muito além da significativa onerosidade. </w:t>
      </w:r>
      <w:r w:rsidRPr="00F00C3D">
        <w:rPr>
          <w:rFonts w:ascii="Times New Roman" w:hAnsi="Times New Roman" w:cs="Times New Roman"/>
          <w:sz w:val="24"/>
          <w:szCs w:val="24"/>
        </w:rPr>
        <w:t xml:space="preserve">A simples disposição para a </w:t>
      </w:r>
      <w:r w:rsidR="00B53D5D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Pr="00F00C3D">
        <w:rPr>
          <w:rFonts w:ascii="Times New Roman" w:hAnsi="Times New Roman" w:cs="Times New Roman"/>
          <w:sz w:val="24"/>
          <w:szCs w:val="24"/>
        </w:rPr>
        <w:t xml:space="preserve"> valoriza a imagem </w:t>
      </w:r>
      <w:r w:rsidR="00FB37EB" w:rsidRPr="00F00C3D">
        <w:rPr>
          <w:rFonts w:ascii="Times New Roman" w:hAnsi="Times New Roman" w:cs="Times New Roman"/>
          <w:sz w:val="24"/>
          <w:szCs w:val="24"/>
        </w:rPr>
        <w:t xml:space="preserve">da Administração </w:t>
      </w:r>
      <w:r w:rsidRPr="00F00C3D">
        <w:rPr>
          <w:rFonts w:ascii="Times New Roman" w:hAnsi="Times New Roman" w:cs="Times New Roman"/>
          <w:sz w:val="24"/>
          <w:szCs w:val="24"/>
        </w:rPr>
        <w:t xml:space="preserve">perante a sociedade, </w:t>
      </w:r>
      <w:r w:rsidR="00FB37EB" w:rsidRPr="00F00C3D">
        <w:rPr>
          <w:rFonts w:ascii="Times New Roman" w:hAnsi="Times New Roman" w:cs="Times New Roman"/>
          <w:sz w:val="24"/>
          <w:szCs w:val="24"/>
        </w:rPr>
        <w:t xml:space="preserve">possibilitando </w:t>
      </w:r>
      <w:r w:rsidRPr="00F00C3D">
        <w:rPr>
          <w:rFonts w:ascii="Times New Roman" w:hAnsi="Times New Roman" w:cs="Times New Roman"/>
          <w:sz w:val="24"/>
          <w:szCs w:val="24"/>
        </w:rPr>
        <w:t xml:space="preserve">acordos </w:t>
      </w:r>
      <w:r w:rsidR="00FB37EB" w:rsidRPr="00F00C3D">
        <w:rPr>
          <w:rFonts w:ascii="Times New Roman" w:hAnsi="Times New Roman" w:cs="Times New Roman"/>
          <w:sz w:val="24"/>
          <w:szCs w:val="24"/>
        </w:rPr>
        <w:t>que resgatem a paz social</w:t>
      </w:r>
      <w:r w:rsidRPr="00F00C3D">
        <w:rPr>
          <w:rFonts w:ascii="Times New Roman" w:hAnsi="Times New Roman" w:cs="Times New Roman"/>
          <w:sz w:val="24"/>
          <w:szCs w:val="24"/>
        </w:rPr>
        <w:t>.</w:t>
      </w:r>
    </w:p>
    <w:p w14:paraId="2746895C" w14:textId="77777777" w:rsidR="00D06214" w:rsidRPr="00F00C3D" w:rsidRDefault="00FB37EB" w:rsidP="00B05F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As vantagens da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utilização dos meios consensuais </w:t>
      </w:r>
      <w:r w:rsidRPr="00F00C3D">
        <w:rPr>
          <w:rFonts w:ascii="Times New Roman" w:hAnsi="Times New Roman" w:cs="Times New Roman"/>
          <w:sz w:val="24"/>
          <w:szCs w:val="24"/>
        </w:rPr>
        <w:t xml:space="preserve">de resolução de conflitos não estão apenas na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redução </w:t>
      </w:r>
      <w:r w:rsidRPr="00F00C3D">
        <w:rPr>
          <w:rFonts w:ascii="Times New Roman" w:hAnsi="Times New Roman" w:cs="Times New Roman"/>
          <w:sz w:val="24"/>
          <w:szCs w:val="24"/>
        </w:rPr>
        <w:t xml:space="preserve">no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prazo para solução da controvérsia, </w:t>
      </w:r>
      <w:r w:rsidRPr="00F00C3D">
        <w:rPr>
          <w:rFonts w:ascii="Times New Roman" w:hAnsi="Times New Roman" w:cs="Times New Roman"/>
          <w:sz w:val="24"/>
          <w:szCs w:val="24"/>
        </w:rPr>
        <w:t xml:space="preserve">mas </w:t>
      </w:r>
      <w:r w:rsidR="00490DE8" w:rsidRPr="00F00C3D">
        <w:rPr>
          <w:rFonts w:ascii="Times New Roman" w:hAnsi="Times New Roman" w:cs="Times New Roman"/>
          <w:sz w:val="24"/>
          <w:szCs w:val="24"/>
        </w:rPr>
        <w:t xml:space="preserve">na construção de uma solução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efetivamente compatível com </w:t>
      </w:r>
      <w:r w:rsidR="00490DE8" w:rsidRPr="00F00C3D">
        <w:rPr>
          <w:rFonts w:ascii="Times New Roman" w:hAnsi="Times New Roman" w:cs="Times New Roman"/>
          <w:sz w:val="24"/>
          <w:szCs w:val="24"/>
        </w:rPr>
        <w:t xml:space="preserve">os </w:t>
      </w:r>
      <w:r w:rsidR="00E33F53" w:rsidRPr="00F00C3D">
        <w:rPr>
          <w:rFonts w:ascii="Times New Roman" w:hAnsi="Times New Roman" w:cs="Times New Roman"/>
          <w:sz w:val="24"/>
          <w:szCs w:val="24"/>
        </w:rPr>
        <w:t>legí</w:t>
      </w:r>
      <w:r w:rsidR="00D06214" w:rsidRPr="00F00C3D">
        <w:rPr>
          <w:rFonts w:ascii="Times New Roman" w:hAnsi="Times New Roman" w:cs="Times New Roman"/>
          <w:sz w:val="24"/>
          <w:szCs w:val="24"/>
        </w:rPr>
        <w:t>timos interesses e necessidades</w:t>
      </w:r>
      <w:r w:rsidR="00490DE8" w:rsidRPr="00F00C3D">
        <w:rPr>
          <w:rFonts w:ascii="Times New Roman" w:hAnsi="Times New Roman" w:cs="Times New Roman"/>
          <w:sz w:val="24"/>
          <w:szCs w:val="24"/>
        </w:rPr>
        <w:t xml:space="preserve"> das partes envolvidas. Uma solução construída é sempre melhor que uma solução imposta.</w:t>
      </w:r>
    </w:p>
    <w:p w14:paraId="58105FB8" w14:textId="367AC92E" w:rsidR="00E33F53" w:rsidRPr="00F00C3D" w:rsidRDefault="00490DE8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Assim, a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criação de uma política de </w:t>
      </w:r>
      <w:r w:rsidR="00C57ECD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 xml:space="preserve">sobressai como melhor caminho para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identificar </w:t>
      </w:r>
      <w:r w:rsidRPr="00F00C3D">
        <w:rPr>
          <w:rFonts w:ascii="Times New Roman" w:hAnsi="Times New Roman" w:cs="Times New Roman"/>
          <w:sz w:val="24"/>
          <w:szCs w:val="24"/>
        </w:rPr>
        <w:t xml:space="preserve">as </w:t>
      </w:r>
      <w:r w:rsidR="00E33F53" w:rsidRPr="00F00C3D">
        <w:rPr>
          <w:rFonts w:ascii="Times New Roman" w:hAnsi="Times New Roman" w:cs="Times New Roman"/>
          <w:sz w:val="24"/>
          <w:szCs w:val="24"/>
        </w:rPr>
        <w:t>causas dos conflitos</w:t>
      </w:r>
      <w:r w:rsidRPr="00F00C3D">
        <w:rPr>
          <w:rFonts w:ascii="Times New Roman" w:hAnsi="Times New Roman" w:cs="Times New Roman"/>
          <w:sz w:val="24"/>
          <w:szCs w:val="24"/>
        </w:rPr>
        <w:t xml:space="preserve"> e de pronto encontrar possíveis formas de solução, sem transferir aos tribunais contendas que podem ser dirimidas dentro da Administração, sem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encobrir ineficiências </w:t>
      </w:r>
      <w:r w:rsidRPr="00F00C3D">
        <w:rPr>
          <w:rFonts w:ascii="Times New Roman" w:hAnsi="Times New Roman" w:cs="Times New Roman"/>
          <w:sz w:val="24"/>
          <w:szCs w:val="24"/>
        </w:rPr>
        <w:t xml:space="preserve">e nem aumentar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o impacto financeiro </w:t>
      </w:r>
      <w:r w:rsidRPr="00F00C3D">
        <w:rPr>
          <w:rFonts w:ascii="Times New Roman" w:hAnsi="Times New Roman" w:cs="Times New Roman"/>
          <w:sz w:val="24"/>
          <w:szCs w:val="24"/>
        </w:rPr>
        <w:t>destas demandas que apenas ser</w:t>
      </w:r>
      <w:r w:rsidR="009706BC" w:rsidRPr="00F00C3D">
        <w:rPr>
          <w:rFonts w:ascii="Times New Roman" w:hAnsi="Times New Roman" w:cs="Times New Roman"/>
          <w:sz w:val="24"/>
          <w:szCs w:val="24"/>
        </w:rPr>
        <w:t>ã</w:t>
      </w:r>
      <w:r w:rsidRPr="00F00C3D">
        <w:rPr>
          <w:rFonts w:ascii="Times New Roman" w:hAnsi="Times New Roman" w:cs="Times New Roman"/>
          <w:sz w:val="24"/>
          <w:szCs w:val="24"/>
        </w:rPr>
        <w:t xml:space="preserve">o mensuraveis anos depois.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A política de </w:t>
      </w:r>
      <w:r w:rsidR="009706BC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="00E33F53" w:rsidRPr="00F00C3D">
        <w:rPr>
          <w:rFonts w:ascii="Times New Roman" w:hAnsi="Times New Roman" w:cs="Times New Roman"/>
          <w:sz w:val="24"/>
          <w:szCs w:val="24"/>
        </w:rPr>
        <w:t>, portanto, representa</w:t>
      </w:r>
      <w:r w:rsidR="00D06214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E33F53" w:rsidRPr="00F00C3D">
        <w:rPr>
          <w:rFonts w:ascii="Times New Roman" w:hAnsi="Times New Roman" w:cs="Times New Roman"/>
          <w:sz w:val="24"/>
          <w:szCs w:val="24"/>
        </w:rPr>
        <w:t>um expressivo ganho de eficiência e de aprimoramento da gestão, contribuindo para a redução de custos futuros</w:t>
      </w:r>
      <w:r w:rsidRPr="00F00C3D">
        <w:rPr>
          <w:rFonts w:ascii="Times New Roman" w:hAnsi="Times New Roman" w:cs="Times New Roman"/>
          <w:sz w:val="24"/>
          <w:szCs w:val="24"/>
        </w:rPr>
        <w:t xml:space="preserve"> e de melhoramento no planejamento estratégico da Administração</w:t>
      </w:r>
      <w:r w:rsidR="009706BC" w:rsidRPr="00F00C3D">
        <w:rPr>
          <w:rFonts w:ascii="Times New Roman" w:hAnsi="Times New Roman" w:cs="Times New Roman"/>
          <w:sz w:val="24"/>
          <w:szCs w:val="24"/>
        </w:rPr>
        <w:t xml:space="preserve">, alinhada, dessa forma, à premente e inafastável ideia de sustentabilidade </w:t>
      </w:r>
      <w:r w:rsidR="0048758C" w:rsidRPr="00F00C3D">
        <w:rPr>
          <w:rFonts w:ascii="Times New Roman" w:hAnsi="Times New Roman" w:cs="Times New Roman"/>
          <w:sz w:val="24"/>
          <w:szCs w:val="24"/>
        </w:rPr>
        <w:t>administrativa</w:t>
      </w:r>
      <w:r w:rsidR="00E33F53" w:rsidRPr="00F00C3D">
        <w:rPr>
          <w:rFonts w:ascii="Times New Roman" w:hAnsi="Times New Roman" w:cs="Times New Roman"/>
          <w:sz w:val="24"/>
          <w:szCs w:val="24"/>
        </w:rPr>
        <w:t>.</w:t>
      </w:r>
    </w:p>
    <w:p w14:paraId="116601F0" w14:textId="77777777" w:rsidR="002F2F92" w:rsidRPr="00F00C3D" w:rsidRDefault="002F2F92" w:rsidP="00D06214">
      <w:pPr>
        <w:pStyle w:val="Ttulo21"/>
        <w:tabs>
          <w:tab w:val="left" w:pos="304"/>
        </w:tabs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/>
          <w:caps/>
        </w:rPr>
      </w:pPr>
    </w:p>
    <w:p w14:paraId="0734F2C2" w14:textId="0D62F337" w:rsidR="00E33F53" w:rsidRPr="00F00C3D" w:rsidRDefault="00D06214" w:rsidP="00D06214">
      <w:pPr>
        <w:pStyle w:val="Ttulo21"/>
        <w:tabs>
          <w:tab w:val="left" w:pos="304"/>
        </w:tabs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/>
          <w:caps/>
        </w:rPr>
      </w:pPr>
      <w:r w:rsidRPr="00F00C3D">
        <w:rPr>
          <w:rFonts w:ascii="Times New Roman" w:hAnsi="Times New Roman" w:cs="Times New Roman"/>
          <w:b/>
          <w:caps/>
        </w:rPr>
        <w:t>3 A Construção de uma política de resolução dos conflitos: A EXPERIÊNCIA DA</w:t>
      </w:r>
      <w:r w:rsidR="002D62F8" w:rsidRPr="00F00C3D">
        <w:rPr>
          <w:rFonts w:ascii="Times New Roman" w:hAnsi="Times New Roman" w:cs="Times New Roman"/>
          <w:b/>
          <w:caps/>
        </w:rPr>
        <w:t xml:space="preserve"> PRIMEIRA</w:t>
      </w:r>
      <w:r w:rsidRPr="00F00C3D">
        <w:rPr>
          <w:rFonts w:ascii="Times New Roman" w:hAnsi="Times New Roman" w:cs="Times New Roman"/>
          <w:b/>
          <w:caps/>
        </w:rPr>
        <w:t xml:space="preserve"> CPRAC</w:t>
      </w:r>
    </w:p>
    <w:p w14:paraId="1551B8F2" w14:textId="0A3F5054" w:rsidR="008F095C" w:rsidRPr="00F00C3D" w:rsidRDefault="009D2636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Conforme se discutirá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no decorrer </w:t>
      </w:r>
      <w:r w:rsidRPr="00F00C3D">
        <w:rPr>
          <w:rFonts w:ascii="Times New Roman" w:hAnsi="Times New Roman" w:cs="Times New Roman"/>
          <w:sz w:val="24"/>
          <w:szCs w:val="24"/>
        </w:rPr>
        <w:t>desta pesquisa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, a estratégia de jurisdicionalização não se coaduna com a sustentabilidade </w:t>
      </w:r>
      <w:r w:rsidR="008F095C" w:rsidRPr="00F00C3D">
        <w:rPr>
          <w:rFonts w:ascii="Times New Roman" w:hAnsi="Times New Roman" w:cs="Times New Roman"/>
          <w:sz w:val="24"/>
          <w:szCs w:val="24"/>
        </w:rPr>
        <w:t xml:space="preserve">na Administração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e </w:t>
      </w:r>
      <w:r w:rsidR="008F095C" w:rsidRPr="00F00C3D">
        <w:rPr>
          <w:rFonts w:ascii="Times New Roman" w:hAnsi="Times New Roman" w:cs="Times New Roman"/>
          <w:sz w:val="24"/>
          <w:szCs w:val="24"/>
        </w:rPr>
        <w:t xml:space="preserve">nem com o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princípio da “boa administração pública”. Em razão disso, a </w:t>
      </w:r>
      <w:r w:rsidR="008F095C" w:rsidRPr="00F00C3D">
        <w:rPr>
          <w:rFonts w:ascii="Times New Roman" w:hAnsi="Times New Roman" w:cs="Times New Roman"/>
          <w:sz w:val="24"/>
          <w:szCs w:val="24"/>
        </w:rPr>
        <w:t xml:space="preserve">Procuradoria Geral do Estado do Amazonas </w:t>
      </w:r>
      <w:r w:rsidR="00E33F53" w:rsidRPr="00F00C3D">
        <w:rPr>
          <w:rFonts w:ascii="Times New Roman" w:hAnsi="Times New Roman" w:cs="Times New Roman"/>
          <w:sz w:val="24"/>
          <w:szCs w:val="24"/>
        </w:rPr>
        <w:t>passou a adotar um conjunto de iniciativas com o objetivo de reduzir a jurisdicionalização</w:t>
      </w:r>
      <w:r w:rsidR="002430C5">
        <w:rPr>
          <w:rFonts w:ascii="Times New Roman" w:hAnsi="Times New Roman" w:cs="Times New Roman"/>
          <w:sz w:val="24"/>
          <w:szCs w:val="24"/>
        </w:rPr>
        <w:t xml:space="preserve"> excessiva e incapacitante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, inclusive </w:t>
      </w:r>
      <w:r w:rsidR="00E33F53" w:rsidRPr="00F00C3D">
        <w:rPr>
          <w:rFonts w:ascii="Times New Roman" w:hAnsi="Times New Roman" w:cs="Times New Roman"/>
          <w:sz w:val="24"/>
          <w:szCs w:val="24"/>
        </w:rPr>
        <w:lastRenderedPageBreak/>
        <w:t xml:space="preserve">construindo caminhos </w:t>
      </w:r>
      <w:r w:rsidR="00623E4D" w:rsidRPr="00F00C3D">
        <w:rPr>
          <w:rFonts w:ascii="Times New Roman" w:hAnsi="Times New Roman" w:cs="Times New Roman"/>
          <w:sz w:val="24"/>
          <w:szCs w:val="24"/>
        </w:rPr>
        <w:t>integrados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de solução de conflitos. </w:t>
      </w:r>
    </w:p>
    <w:p w14:paraId="54B5DE0E" w14:textId="77777777" w:rsidR="00572A83" w:rsidRPr="00F00C3D" w:rsidRDefault="008F095C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A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elaboração e a implantação de uma política de </w:t>
      </w:r>
      <w:r w:rsidR="00623E4D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judicial e extrajudicial não se apresenta como uma tarefa fácil, pois implica em mudanças na estrutura e na própria cultura de gestão </w:t>
      </w:r>
      <w:r w:rsidRPr="00F00C3D">
        <w:rPr>
          <w:rFonts w:ascii="Times New Roman" w:hAnsi="Times New Roman" w:cs="Times New Roman"/>
          <w:sz w:val="24"/>
          <w:szCs w:val="24"/>
        </w:rPr>
        <w:t>administrativa</w:t>
      </w:r>
      <w:r w:rsidR="00E33F53" w:rsidRPr="00F00C3D">
        <w:rPr>
          <w:rFonts w:ascii="Times New Roman" w:hAnsi="Times New Roman" w:cs="Times New Roman"/>
          <w:sz w:val="24"/>
          <w:szCs w:val="24"/>
        </w:rPr>
        <w:t>.</w:t>
      </w:r>
    </w:p>
    <w:p w14:paraId="7B30E5CA" w14:textId="0E6EC292" w:rsidR="008F095C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Nesta perspectiva, as iniciativas</w:t>
      </w:r>
      <w:r w:rsidR="0060092E" w:rsidRPr="00F00C3D">
        <w:rPr>
          <w:rFonts w:ascii="Times New Roman" w:hAnsi="Times New Roman" w:cs="Times New Roman"/>
          <w:sz w:val="24"/>
          <w:szCs w:val="24"/>
        </w:rPr>
        <w:t xml:space="preserve">, </w:t>
      </w:r>
      <w:r w:rsidR="007E770E">
        <w:rPr>
          <w:rFonts w:ascii="Times New Roman" w:hAnsi="Times New Roman" w:cs="Times New Roman"/>
          <w:sz w:val="24"/>
          <w:szCs w:val="24"/>
        </w:rPr>
        <w:t>num primeiro momento</w:t>
      </w:r>
      <w:r w:rsidR="0060092E" w:rsidRPr="00F00C3D">
        <w:rPr>
          <w:rFonts w:ascii="Times New Roman" w:hAnsi="Times New Roman" w:cs="Times New Roman"/>
          <w:sz w:val="24"/>
          <w:szCs w:val="24"/>
        </w:rPr>
        <w:t>,</w:t>
      </w:r>
      <w:r w:rsidRPr="00F00C3D">
        <w:rPr>
          <w:rFonts w:ascii="Times New Roman" w:hAnsi="Times New Roman" w:cs="Times New Roman"/>
          <w:sz w:val="24"/>
          <w:szCs w:val="24"/>
        </w:rPr>
        <w:t xml:space="preserve"> focaram em políticas de dispensa recursal e de conciliação judicial para a recuperação de crédito</w:t>
      </w:r>
      <w:r w:rsidR="00B915B0" w:rsidRPr="00F00C3D">
        <w:rPr>
          <w:rFonts w:ascii="Times New Roman" w:hAnsi="Times New Roman" w:cs="Times New Roman"/>
          <w:sz w:val="24"/>
          <w:szCs w:val="24"/>
        </w:rPr>
        <w:t>s</w:t>
      </w:r>
      <w:r w:rsidRPr="00F00C3D">
        <w:rPr>
          <w:rFonts w:ascii="Times New Roman" w:hAnsi="Times New Roman" w:cs="Times New Roman"/>
          <w:sz w:val="24"/>
          <w:szCs w:val="24"/>
        </w:rPr>
        <w:t xml:space="preserve"> e </w:t>
      </w:r>
      <w:r w:rsidR="00B6610F" w:rsidRPr="00F00C3D">
        <w:rPr>
          <w:rFonts w:ascii="Times New Roman" w:hAnsi="Times New Roman" w:cs="Times New Roman"/>
          <w:sz w:val="24"/>
          <w:szCs w:val="24"/>
        </w:rPr>
        <w:t>em</w:t>
      </w:r>
      <w:r w:rsidRPr="00F00C3D">
        <w:rPr>
          <w:rFonts w:ascii="Times New Roman" w:hAnsi="Times New Roman" w:cs="Times New Roman"/>
          <w:sz w:val="24"/>
          <w:szCs w:val="24"/>
        </w:rPr>
        <w:t xml:space="preserve"> demandas de massa. </w:t>
      </w:r>
      <w:r w:rsidR="0060092E" w:rsidRPr="00F00C3D">
        <w:rPr>
          <w:rFonts w:ascii="Times New Roman" w:hAnsi="Times New Roman" w:cs="Times New Roman"/>
          <w:sz w:val="24"/>
          <w:szCs w:val="24"/>
        </w:rPr>
        <w:t xml:space="preserve">Num segundo momento, investiu-se em </w:t>
      </w:r>
      <w:r w:rsidR="000253D5" w:rsidRPr="00F00C3D">
        <w:rPr>
          <w:rFonts w:ascii="Times New Roman" w:hAnsi="Times New Roman" w:cs="Times New Roman"/>
          <w:sz w:val="24"/>
          <w:szCs w:val="24"/>
        </w:rPr>
        <w:t>acordos pré-processuais por adesão em matérias repetitivas</w:t>
      </w:r>
      <w:r w:rsidR="00FB36B9" w:rsidRPr="00F00C3D">
        <w:rPr>
          <w:rFonts w:ascii="Times New Roman" w:hAnsi="Times New Roman" w:cs="Times New Roman"/>
          <w:sz w:val="24"/>
          <w:szCs w:val="24"/>
        </w:rPr>
        <w:t xml:space="preserve"> alinhado</w:t>
      </w:r>
      <w:r w:rsidR="008576F8" w:rsidRPr="00F00C3D">
        <w:rPr>
          <w:rFonts w:ascii="Times New Roman" w:hAnsi="Times New Roman" w:cs="Times New Roman"/>
          <w:sz w:val="24"/>
          <w:szCs w:val="24"/>
        </w:rPr>
        <w:t>s</w:t>
      </w:r>
      <w:r w:rsidR="00FB36B9" w:rsidRPr="00F00C3D">
        <w:rPr>
          <w:rFonts w:ascii="Times New Roman" w:hAnsi="Times New Roman" w:cs="Times New Roman"/>
          <w:sz w:val="24"/>
          <w:szCs w:val="24"/>
        </w:rPr>
        <w:t xml:space="preserve"> a mutirões </w:t>
      </w:r>
      <w:r w:rsidR="008576F8" w:rsidRPr="00F00C3D">
        <w:rPr>
          <w:rFonts w:ascii="Times New Roman" w:hAnsi="Times New Roman" w:cs="Times New Roman"/>
          <w:sz w:val="24"/>
          <w:szCs w:val="24"/>
        </w:rPr>
        <w:t xml:space="preserve">de conciliação nas demandas correspondentes já </w:t>
      </w:r>
      <w:r w:rsidR="00341F54" w:rsidRPr="00F00C3D">
        <w:rPr>
          <w:rFonts w:ascii="Times New Roman" w:hAnsi="Times New Roman" w:cs="Times New Roman"/>
          <w:sz w:val="24"/>
          <w:szCs w:val="24"/>
        </w:rPr>
        <w:t>judicializadas</w:t>
      </w:r>
      <w:r w:rsidR="00F25EBA" w:rsidRPr="00F00C3D">
        <w:rPr>
          <w:rFonts w:ascii="Times New Roman" w:hAnsi="Times New Roman" w:cs="Times New Roman"/>
          <w:sz w:val="24"/>
          <w:szCs w:val="24"/>
        </w:rPr>
        <w:t xml:space="preserve">, especialmente em matérias relacionadas a militares estaduais (que, no momento, correspondem a </w:t>
      </w:r>
      <w:r w:rsidR="00470810" w:rsidRPr="00F00C3D">
        <w:rPr>
          <w:rFonts w:ascii="Times New Roman" w:hAnsi="Times New Roman" w:cs="Times New Roman"/>
          <w:sz w:val="24"/>
          <w:szCs w:val="24"/>
        </w:rPr>
        <w:t>mais de 40% de toda a demanda da Procuradoria Geral do Estado do Amazonas).</w:t>
      </w:r>
    </w:p>
    <w:p w14:paraId="496CF640" w14:textId="300D8029" w:rsidR="00791CC3" w:rsidRPr="00F00C3D" w:rsidRDefault="00791CC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A adoção de políticas de solução consensual de conflitos mostrou-se </w:t>
      </w:r>
      <w:r w:rsidR="00A273E3" w:rsidRPr="00F00C3D">
        <w:rPr>
          <w:rFonts w:ascii="Times New Roman" w:hAnsi="Times New Roman" w:cs="Times New Roman"/>
          <w:sz w:val="24"/>
          <w:szCs w:val="24"/>
        </w:rPr>
        <w:t>exitosa</w:t>
      </w:r>
      <w:r w:rsidRPr="00F00C3D">
        <w:rPr>
          <w:rFonts w:ascii="Times New Roman" w:hAnsi="Times New Roman" w:cs="Times New Roman"/>
          <w:sz w:val="24"/>
          <w:szCs w:val="24"/>
        </w:rPr>
        <w:t xml:space="preserve">, </w:t>
      </w:r>
      <w:r w:rsidR="00671C9F" w:rsidRPr="00F00C3D">
        <w:rPr>
          <w:rFonts w:ascii="Times New Roman" w:hAnsi="Times New Roman" w:cs="Times New Roman"/>
          <w:sz w:val="24"/>
          <w:szCs w:val="24"/>
        </w:rPr>
        <w:t>com celebração, no ano de 2020</w:t>
      </w:r>
      <w:r w:rsidR="00656489" w:rsidRPr="00F00C3D">
        <w:rPr>
          <w:rFonts w:ascii="Times New Roman" w:hAnsi="Times New Roman" w:cs="Times New Roman"/>
          <w:sz w:val="24"/>
          <w:szCs w:val="24"/>
        </w:rPr>
        <w:t xml:space="preserve"> – apesar dos sombrios tempos de pandemia</w:t>
      </w:r>
      <w:r w:rsidR="00671C9F" w:rsidRPr="00F00C3D">
        <w:rPr>
          <w:rFonts w:ascii="Times New Roman" w:hAnsi="Times New Roman" w:cs="Times New Roman"/>
          <w:sz w:val="24"/>
          <w:szCs w:val="24"/>
        </w:rPr>
        <w:t xml:space="preserve"> e apenas nas demandas repetitivas atinentes aos militares estaduais</w:t>
      </w:r>
      <w:r w:rsidR="00656489" w:rsidRPr="00F00C3D">
        <w:rPr>
          <w:rFonts w:ascii="Times New Roman" w:hAnsi="Times New Roman" w:cs="Times New Roman"/>
          <w:sz w:val="24"/>
          <w:szCs w:val="24"/>
        </w:rPr>
        <w:t xml:space="preserve"> -, de </w:t>
      </w:r>
      <w:r w:rsidR="00A21E97" w:rsidRPr="00F00C3D">
        <w:rPr>
          <w:rFonts w:ascii="Times New Roman" w:hAnsi="Times New Roman" w:cs="Times New Roman"/>
          <w:sz w:val="24"/>
          <w:szCs w:val="24"/>
        </w:rPr>
        <w:t>626</w:t>
      </w:r>
      <w:r w:rsidR="0068221D" w:rsidRPr="00F00C3D">
        <w:rPr>
          <w:rFonts w:ascii="Times New Roman" w:hAnsi="Times New Roman" w:cs="Times New Roman"/>
          <w:sz w:val="24"/>
          <w:szCs w:val="24"/>
        </w:rPr>
        <w:t xml:space="preserve"> acordos que preveniram ou extinguiram ações judiciais, gerando uma economia </w:t>
      </w:r>
      <w:r w:rsidR="005D52BD" w:rsidRPr="00F00C3D">
        <w:rPr>
          <w:rFonts w:ascii="Times New Roman" w:hAnsi="Times New Roman" w:cs="Times New Roman"/>
          <w:sz w:val="24"/>
          <w:szCs w:val="24"/>
        </w:rPr>
        <w:t xml:space="preserve">direta aos cofres públicos superior a </w:t>
      </w:r>
      <w:r w:rsidR="003F1F65" w:rsidRPr="00F00C3D">
        <w:rPr>
          <w:rFonts w:ascii="Times New Roman" w:hAnsi="Times New Roman" w:cs="Times New Roman"/>
          <w:sz w:val="24"/>
          <w:szCs w:val="24"/>
        </w:rPr>
        <w:t>R$ 3</w:t>
      </w:r>
      <w:r w:rsidR="00263025" w:rsidRPr="00F00C3D">
        <w:rPr>
          <w:rFonts w:ascii="Times New Roman" w:hAnsi="Times New Roman" w:cs="Times New Roman"/>
          <w:sz w:val="24"/>
          <w:szCs w:val="24"/>
        </w:rPr>
        <w:t xml:space="preserve">.356.424,99, em valores históricos, isto é, </w:t>
      </w:r>
      <w:r w:rsidR="00CE6FBD" w:rsidRPr="00F00C3D">
        <w:rPr>
          <w:rFonts w:ascii="Times New Roman" w:hAnsi="Times New Roman" w:cs="Times New Roman"/>
          <w:sz w:val="24"/>
          <w:szCs w:val="24"/>
        </w:rPr>
        <w:t>desprezada a economia obtida com juros, correções monetárias e demais verbas sucumbenciais</w:t>
      </w:r>
      <w:r w:rsidR="00B627CB" w:rsidRPr="00F00C3D">
        <w:rPr>
          <w:rFonts w:ascii="Times New Roman" w:hAnsi="Times New Roman" w:cs="Times New Roman"/>
          <w:sz w:val="24"/>
          <w:szCs w:val="24"/>
        </w:rPr>
        <w:t xml:space="preserve"> (CORRÊA, 2021)</w:t>
      </w:r>
      <w:r w:rsidR="00CE6FBD" w:rsidRPr="00F00C3D">
        <w:rPr>
          <w:rFonts w:ascii="Times New Roman" w:hAnsi="Times New Roman" w:cs="Times New Roman"/>
          <w:sz w:val="24"/>
          <w:szCs w:val="24"/>
        </w:rPr>
        <w:t>.</w:t>
      </w:r>
    </w:p>
    <w:p w14:paraId="4EF0B513" w14:textId="0BD10480" w:rsidR="008A78AE" w:rsidRPr="00F00C3D" w:rsidRDefault="008A78AE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Isso motivou a </w:t>
      </w:r>
      <w:r w:rsidR="002F00EB" w:rsidRPr="00F00C3D">
        <w:rPr>
          <w:rFonts w:ascii="Times New Roman" w:hAnsi="Times New Roman" w:cs="Times New Roman"/>
          <w:sz w:val="24"/>
          <w:szCs w:val="24"/>
        </w:rPr>
        <w:t xml:space="preserve">adoção consciente e intencional de novos rumos na atuação conciliatória da </w:t>
      </w:r>
      <w:r w:rsidR="0004048B" w:rsidRPr="00F00C3D">
        <w:rPr>
          <w:rFonts w:ascii="Times New Roman" w:hAnsi="Times New Roman" w:cs="Times New Roman"/>
          <w:sz w:val="24"/>
          <w:szCs w:val="24"/>
        </w:rPr>
        <w:t xml:space="preserve">Fazenda Pública amazonense, sendo o florão dessa nova política a criação das Câmaras de Prevenção e Resolução Administrativa de Conflitos </w:t>
      </w:r>
      <w:r w:rsidR="0052552C" w:rsidRPr="00F00C3D">
        <w:rPr>
          <w:rFonts w:ascii="Times New Roman" w:hAnsi="Times New Roman" w:cs="Times New Roman"/>
          <w:sz w:val="24"/>
          <w:szCs w:val="24"/>
        </w:rPr>
        <w:t>–</w:t>
      </w:r>
      <w:r w:rsidR="0004048B" w:rsidRPr="00F00C3D">
        <w:rPr>
          <w:rFonts w:ascii="Times New Roman" w:hAnsi="Times New Roman" w:cs="Times New Roman"/>
          <w:sz w:val="24"/>
          <w:szCs w:val="24"/>
        </w:rPr>
        <w:t xml:space="preserve"> CPRAC</w:t>
      </w:r>
      <w:r w:rsidR="007D1744" w:rsidRPr="00F00C3D">
        <w:rPr>
          <w:rFonts w:ascii="Times New Roman" w:hAnsi="Times New Roman" w:cs="Times New Roman"/>
          <w:sz w:val="24"/>
          <w:szCs w:val="24"/>
        </w:rPr>
        <w:t>s -</w:t>
      </w:r>
      <w:r w:rsidR="0052552C" w:rsidRPr="00F00C3D">
        <w:rPr>
          <w:rFonts w:ascii="Times New Roman" w:hAnsi="Times New Roman" w:cs="Times New Roman"/>
          <w:sz w:val="24"/>
          <w:szCs w:val="24"/>
        </w:rPr>
        <w:t xml:space="preserve">, efetivada pelo Decreto Estadual n. </w:t>
      </w:r>
      <w:r w:rsidR="00393224" w:rsidRPr="00F00C3D">
        <w:rPr>
          <w:rFonts w:ascii="Times New Roman" w:hAnsi="Times New Roman" w:cs="Times New Roman"/>
          <w:sz w:val="24"/>
          <w:szCs w:val="24"/>
        </w:rPr>
        <w:t>44.796, de 8 de novembro de 2021</w:t>
      </w:r>
      <w:r w:rsidR="00EB7751" w:rsidRPr="00F00C3D">
        <w:rPr>
          <w:rFonts w:ascii="Times New Roman" w:hAnsi="Times New Roman" w:cs="Times New Roman"/>
          <w:sz w:val="24"/>
          <w:szCs w:val="24"/>
        </w:rPr>
        <w:t xml:space="preserve">, data que coincidiu com </w:t>
      </w:r>
      <w:r w:rsidR="00ED2DE2" w:rsidRPr="00F00C3D">
        <w:rPr>
          <w:rFonts w:ascii="Times New Roman" w:hAnsi="Times New Roman" w:cs="Times New Roman"/>
          <w:sz w:val="24"/>
          <w:szCs w:val="24"/>
        </w:rPr>
        <w:t>o início da</w:t>
      </w:r>
      <w:r w:rsidR="00EB7751" w:rsidRPr="00F00C3D">
        <w:rPr>
          <w:rFonts w:ascii="Times New Roman" w:hAnsi="Times New Roman" w:cs="Times New Roman"/>
          <w:sz w:val="24"/>
          <w:szCs w:val="24"/>
        </w:rPr>
        <w:t xml:space="preserve"> Semana Nacional de Conciliação daquele ano</w:t>
      </w:r>
      <w:r w:rsidR="007D1744" w:rsidRPr="00F00C3D">
        <w:rPr>
          <w:rFonts w:ascii="Times New Roman" w:hAnsi="Times New Roman" w:cs="Times New Roman"/>
          <w:sz w:val="24"/>
          <w:szCs w:val="24"/>
        </w:rPr>
        <w:t>. Citado Decreto</w:t>
      </w:r>
      <w:r w:rsidR="00704BA2" w:rsidRPr="00F00C3D">
        <w:rPr>
          <w:rFonts w:ascii="Times New Roman" w:hAnsi="Times New Roman" w:cs="Times New Roman"/>
          <w:sz w:val="24"/>
          <w:szCs w:val="24"/>
        </w:rPr>
        <w:t xml:space="preserve">, em obediência aos arts. </w:t>
      </w:r>
      <w:r w:rsidR="00E0024E" w:rsidRPr="00F00C3D">
        <w:rPr>
          <w:rFonts w:ascii="Times New Roman" w:hAnsi="Times New Roman" w:cs="Times New Roman"/>
          <w:sz w:val="24"/>
          <w:szCs w:val="24"/>
        </w:rPr>
        <w:t xml:space="preserve">5º, LXXVIII, da Constituição Federal, 3º, § 2º, e 174 da Lei n. 13.105/2015 e 32 e seguintes da Lei n. </w:t>
      </w:r>
      <w:r w:rsidR="003B06E3" w:rsidRPr="00F00C3D">
        <w:rPr>
          <w:rFonts w:ascii="Times New Roman" w:hAnsi="Times New Roman" w:cs="Times New Roman"/>
          <w:sz w:val="24"/>
          <w:szCs w:val="24"/>
        </w:rPr>
        <w:t>13.140/2015</w:t>
      </w:r>
      <w:r w:rsidR="000F18CF" w:rsidRPr="00F00C3D">
        <w:rPr>
          <w:rFonts w:ascii="Times New Roman" w:hAnsi="Times New Roman" w:cs="Times New Roman"/>
          <w:sz w:val="24"/>
          <w:szCs w:val="24"/>
        </w:rPr>
        <w:t>, bem como à Lei Estadual n. 4.738/2018</w:t>
      </w:r>
      <w:r w:rsidR="006616E8" w:rsidRPr="00F00C3D">
        <w:rPr>
          <w:rFonts w:ascii="Times New Roman" w:hAnsi="Times New Roman" w:cs="Times New Roman"/>
          <w:sz w:val="24"/>
          <w:szCs w:val="24"/>
        </w:rPr>
        <w:t>,</w:t>
      </w:r>
      <w:r w:rsidR="007D1744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72F1B966" w:rsidRPr="00F00C3D">
        <w:rPr>
          <w:rFonts w:ascii="Times New Roman" w:hAnsi="Times New Roman" w:cs="Times New Roman"/>
          <w:sz w:val="24"/>
          <w:szCs w:val="24"/>
        </w:rPr>
        <w:t>criou</w:t>
      </w:r>
      <w:r w:rsidR="00704BA2" w:rsidRPr="00F00C3D">
        <w:rPr>
          <w:rFonts w:ascii="Times New Roman" w:hAnsi="Times New Roman" w:cs="Times New Roman"/>
          <w:sz w:val="24"/>
          <w:szCs w:val="24"/>
        </w:rPr>
        <w:t xml:space="preserve"> as C</w:t>
      </w:r>
      <w:r w:rsidR="006616E8" w:rsidRPr="00F00C3D">
        <w:rPr>
          <w:rFonts w:ascii="Times New Roman" w:hAnsi="Times New Roman" w:cs="Times New Roman"/>
          <w:sz w:val="24"/>
          <w:szCs w:val="24"/>
        </w:rPr>
        <w:t xml:space="preserve">âmaras de Prevenção e Resolução Administrativa de Conflitos </w:t>
      </w:r>
      <w:r w:rsidR="00C302FC" w:rsidRPr="00F00C3D">
        <w:rPr>
          <w:rFonts w:ascii="Times New Roman" w:hAnsi="Times New Roman" w:cs="Times New Roman"/>
          <w:sz w:val="24"/>
          <w:szCs w:val="24"/>
        </w:rPr>
        <w:t xml:space="preserve">no âmbito da Procuradoria Geral do Estado do Amazonas, com o objetivo de promover a autocomposição </w:t>
      </w:r>
      <w:r w:rsidR="00930C4C" w:rsidRPr="00F00C3D">
        <w:rPr>
          <w:rFonts w:ascii="Times New Roman" w:hAnsi="Times New Roman" w:cs="Times New Roman"/>
          <w:sz w:val="24"/>
          <w:szCs w:val="24"/>
        </w:rPr>
        <w:t>de controvérsias administrativas ou judiciais que envolvam a Administração Pública Estadual Direta e Indireta.</w:t>
      </w:r>
    </w:p>
    <w:p w14:paraId="67D3D0F7" w14:textId="01530212" w:rsidR="00E67989" w:rsidRPr="00F9628C" w:rsidRDefault="00E67989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No Amazonas, </w:t>
      </w:r>
      <w:r w:rsidR="72F1B966" w:rsidRPr="00F00C3D">
        <w:rPr>
          <w:rFonts w:ascii="Times New Roman" w:hAnsi="Times New Roman" w:cs="Times New Roman"/>
          <w:sz w:val="24"/>
          <w:szCs w:val="24"/>
        </w:rPr>
        <w:t>estabeleceram</w:t>
      </w:r>
      <w:r w:rsidRPr="00F00C3D">
        <w:rPr>
          <w:rFonts w:ascii="Times New Roman" w:hAnsi="Times New Roman" w:cs="Times New Roman"/>
          <w:sz w:val="24"/>
          <w:szCs w:val="24"/>
        </w:rPr>
        <w:t xml:space="preserve">-se duas Câmaras, que funcionam em razão da matéria, dividindo-se em </w:t>
      </w:r>
      <w:r w:rsidR="00CC1EED" w:rsidRPr="00F00C3D">
        <w:rPr>
          <w:rFonts w:ascii="Times New Roman" w:hAnsi="Times New Roman" w:cs="Times New Roman"/>
          <w:sz w:val="24"/>
          <w:szCs w:val="24"/>
        </w:rPr>
        <w:t>Primeira</w:t>
      </w:r>
      <w:r w:rsidRPr="00F00C3D">
        <w:rPr>
          <w:rFonts w:ascii="Times New Roman" w:hAnsi="Times New Roman" w:cs="Times New Roman"/>
          <w:sz w:val="24"/>
          <w:szCs w:val="24"/>
        </w:rPr>
        <w:t xml:space="preserve"> CPRAC (com atuação nas questões envolvendo servidores públicos</w:t>
      </w:r>
      <w:r w:rsidR="00753971" w:rsidRPr="00F00C3D">
        <w:rPr>
          <w:rFonts w:ascii="Times New Roman" w:hAnsi="Times New Roman" w:cs="Times New Roman"/>
          <w:sz w:val="24"/>
          <w:szCs w:val="24"/>
        </w:rPr>
        <w:t>, civis ou militares, ativos ou inativos e seus dependentes, da Administração Pública Direta e Indireta)</w:t>
      </w:r>
      <w:r w:rsidR="00CC1EED" w:rsidRPr="00F00C3D">
        <w:rPr>
          <w:rFonts w:ascii="Times New Roman" w:hAnsi="Times New Roman" w:cs="Times New Roman"/>
          <w:sz w:val="24"/>
          <w:szCs w:val="24"/>
        </w:rPr>
        <w:t>, e Segunda CPRAC</w:t>
      </w:r>
      <w:r w:rsidR="0068111A" w:rsidRPr="00F00C3D">
        <w:rPr>
          <w:rFonts w:ascii="Times New Roman" w:hAnsi="Times New Roman" w:cs="Times New Roman"/>
          <w:sz w:val="24"/>
          <w:szCs w:val="24"/>
        </w:rPr>
        <w:t xml:space="preserve"> (com atuação nas questões residuais). A pesquisa acompanhará a atuação da Primeira CPRAC</w:t>
      </w:r>
      <w:r w:rsidR="001C2C53" w:rsidRPr="00F00C3D">
        <w:rPr>
          <w:rFonts w:ascii="Times New Roman" w:hAnsi="Times New Roman" w:cs="Times New Roman"/>
          <w:sz w:val="24"/>
          <w:szCs w:val="24"/>
        </w:rPr>
        <w:t>, vez que</w:t>
      </w:r>
      <w:r w:rsidR="008337E2" w:rsidRPr="00F00C3D">
        <w:rPr>
          <w:rFonts w:ascii="Times New Roman" w:hAnsi="Times New Roman" w:cs="Times New Roman"/>
          <w:sz w:val="24"/>
          <w:szCs w:val="24"/>
        </w:rPr>
        <w:t xml:space="preserve"> se</w:t>
      </w:r>
      <w:r w:rsidR="001C2C53" w:rsidRPr="00F00C3D">
        <w:rPr>
          <w:rFonts w:ascii="Times New Roman" w:hAnsi="Times New Roman" w:cs="Times New Roman"/>
          <w:sz w:val="24"/>
          <w:szCs w:val="24"/>
        </w:rPr>
        <w:t xml:space="preserve"> optou pela implementação sistemática e gradual, em regime de ondas, </w:t>
      </w:r>
      <w:r w:rsidR="001B5BBF" w:rsidRPr="00F00C3D">
        <w:rPr>
          <w:rFonts w:ascii="Times New Roman" w:hAnsi="Times New Roman" w:cs="Times New Roman"/>
          <w:sz w:val="24"/>
          <w:szCs w:val="24"/>
        </w:rPr>
        <w:t xml:space="preserve">iniciando-se </w:t>
      </w:r>
      <w:r w:rsidR="008B7CD6" w:rsidRPr="00F00C3D">
        <w:rPr>
          <w:rFonts w:ascii="Times New Roman" w:hAnsi="Times New Roman" w:cs="Times New Roman"/>
          <w:sz w:val="24"/>
          <w:szCs w:val="24"/>
        </w:rPr>
        <w:t>pela implantação da Primeira Câ</w:t>
      </w:r>
      <w:r w:rsidR="008B7CD6" w:rsidRPr="00F9628C">
        <w:rPr>
          <w:rFonts w:ascii="Times New Roman" w:hAnsi="Times New Roman" w:cs="Times New Roman"/>
          <w:sz w:val="24"/>
          <w:szCs w:val="24"/>
        </w:rPr>
        <w:t xml:space="preserve">mara (v. Portaria n. </w:t>
      </w:r>
      <w:r w:rsidR="00CB5E5F" w:rsidRPr="00F9628C">
        <w:rPr>
          <w:rFonts w:ascii="Times New Roman" w:hAnsi="Times New Roman" w:cs="Times New Roman"/>
          <w:sz w:val="24"/>
          <w:szCs w:val="24"/>
        </w:rPr>
        <w:t xml:space="preserve">072/2022-GPGE, </w:t>
      </w:r>
      <w:r w:rsidR="000378EC" w:rsidRPr="00F9628C">
        <w:rPr>
          <w:rFonts w:ascii="Times New Roman" w:hAnsi="Times New Roman" w:cs="Times New Roman"/>
          <w:sz w:val="24"/>
          <w:szCs w:val="24"/>
        </w:rPr>
        <w:t>publicada no DOE</w:t>
      </w:r>
      <w:r w:rsidR="72F1B966" w:rsidRPr="00F9628C">
        <w:rPr>
          <w:rFonts w:ascii="Times New Roman" w:hAnsi="Times New Roman" w:cs="Times New Roman"/>
          <w:sz w:val="24"/>
          <w:szCs w:val="24"/>
        </w:rPr>
        <w:t>-AM</w:t>
      </w:r>
      <w:r w:rsidR="000378EC" w:rsidRPr="00F9628C">
        <w:rPr>
          <w:rFonts w:ascii="Times New Roman" w:hAnsi="Times New Roman" w:cs="Times New Roman"/>
          <w:sz w:val="24"/>
          <w:szCs w:val="24"/>
        </w:rPr>
        <w:t xml:space="preserve"> de </w:t>
      </w:r>
      <w:r w:rsidR="00231697" w:rsidRPr="00F9628C">
        <w:rPr>
          <w:rFonts w:ascii="Times New Roman" w:hAnsi="Times New Roman" w:cs="Times New Roman"/>
          <w:sz w:val="24"/>
          <w:szCs w:val="24"/>
        </w:rPr>
        <w:t xml:space="preserve">9/5/2022, </w:t>
      </w:r>
      <w:r w:rsidR="00CB5E5F" w:rsidRPr="00F9628C">
        <w:rPr>
          <w:rFonts w:ascii="Times New Roman" w:hAnsi="Times New Roman" w:cs="Times New Roman"/>
          <w:sz w:val="24"/>
          <w:szCs w:val="24"/>
        </w:rPr>
        <w:t>que “</w:t>
      </w:r>
      <w:r w:rsidR="00CB5E5F" w:rsidRPr="00F9628C">
        <w:rPr>
          <w:rFonts w:ascii="Times New Roman" w:hAnsi="Times New Roman" w:cs="Times New Roman"/>
          <w:i/>
          <w:iCs/>
          <w:sz w:val="24"/>
          <w:szCs w:val="24"/>
        </w:rPr>
        <w:t xml:space="preserve">Estabelece o Plano de Ação das Câmaras de Prevenção e Resolução Administrativa de Conflitos – CPRAC </w:t>
      </w:r>
      <w:r w:rsidR="000378EC" w:rsidRPr="00F9628C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CB5E5F" w:rsidRPr="00F962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78EC" w:rsidRPr="00F9628C">
        <w:rPr>
          <w:rFonts w:ascii="Times New Roman" w:hAnsi="Times New Roman" w:cs="Times New Roman"/>
          <w:i/>
          <w:iCs/>
          <w:sz w:val="24"/>
          <w:szCs w:val="24"/>
        </w:rPr>
        <w:t xml:space="preserve">do Poder Executivo para o ano de 2022 e dá outras </w:t>
      </w:r>
      <w:r w:rsidR="000378EC" w:rsidRPr="00F9628C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providências</w:t>
      </w:r>
      <w:r w:rsidR="00D449CF" w:rsidRPr="00F9628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378EC" w:rsidRPr="00F9628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9071A" w:rsidRPr="00F962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227D17" w14:textId="168280A7" w:rsidR="00583F7B" w:rsidRPr="00F00C3D" w:rsidRDefault="00426C8D" w:rsidP="00E2337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28C">
        <w:rPr>
          <w:rFonts w:ascii="Times New Roman" w:hAnsi="Times New Roman" w:cs="Times New Roman"/>
          <w:sz w:val="24"/>
          <w:szCs w:val="24"/>
        </w:rPr>
        <w:t xml:space="preserve">Em fevereiro de 2022 </w:t>
      </w:r>
      <w:r w:rsidR="00EE1F54" w:rsidRPr="00F9628C">
        <w:rPr>
          <w:rFonts w:ascii="Times New Roman" w:hAnsi="Times New Roman" w:cs="Times New Roman"/>
          <w:sz w:val="24"/>
          <w:szCs w:val="24"/>
        </w:rPr>
        <w:t>o funcionamento das</w:t>
      </w:r>
      <w:r w:rsidRPr="00F9628C">
        <w:rPr>
          <w:rFonts w:ascii="Times New Roman" w:hAnsi="Times New Roman" w:cs="Times New Roman"/>
          <w:sz w:val="24"/>
          <w:szCs w:val="24"/>
        </w:rPr>
        <w:t xml:space="preserve"> CPRACs amazonenses fo</w:t>
      </w:r>
      <w:r w:rsidR="00EE1F54" w:rsidRPr="00F9628C">
        <w:rPr>
          <w:rFonts w:ascii="Times New Roman" w:hAnsi="Times New Roman" w:cs="Times New Roman"/>
          <w:sz w:val="24"/>
          <w:szCs w:val="24"/>
        </w:rPr>
        <w:t>i regulamentado pela Portaria</w:t>
      </w:r>
      <w:r w:rsidR="00E2337A" w:rsidRPr="00F9628C">
        <w:rPr>
          <w:rFonts w:ascii="Times New Roman" w:hAnsi="Times New Roman" w:cs="Times New Roman"/>
          <w:sz w:val="24"/>
          <w:szCs w:val="24"/>
        </w:rPr>
        <w:t xml:space="preserve"> n. 019/2022</w:t>
      </w:r>
      <w:r w:rsidR="0039697E" w:rsidRPr="00F9628C">
        <w:rPr>
          <w:rFonts w:ascii="Times New Roman" w:hAnsi="Times New Roman" w:cs="Times New Roman"/>
          <w:sz w:val="24"/>
          <w:szCs w:val="24"/>
        </w:rPr>
        <w:t xml:space="preserve">-GPGE, </w:t>
      </w:r>
      <w:r w:rsidR="00BD7939" w:rsidRPr="00F9628C">
        <w:rPr>
          <w:rFonts w:ascii="Times New Roman" w:hAnsi="Times New Roman" w:cs="Times New Roman"/>
          <w:sz w:val="24"/>
          <w:szCs w:val="24"/>
        </w:rPr>
        <w:t xml:space="preserve">publicada no DOE de 9 de fevereiro de 2022. </w:t>
      </w:r>
      <w:r w:rsidR="007E3154" w:rsidRPr="00F9628C">
        <w:rPr>
          <w:rFonts w:ascii="Times New Roman" w:hAnsi="Times New Roman" w:cs="Times New Roman"/>
          <w:sz w:val="24"/>
          <w:szCs w:val="24"/>
        </w:rPr>
        <w:t xml:space="preserve">A Portaria disciplinou a </w:t>
      </w:r>
      <w:r w:rsidR="007E3154" w:rsidRPr="00F00C3D">
        <w:rPr>
          <w:rFonts w:ascii="Times New Roman" w:hAnsi="Times New Roman" w:cs="Times New Roman"/>
          <w:sz w:val="24"/>
          <w:szCs w:val="24"/>
        </w:rPr>
        <w:t xml:space="preserve">instauração dos procedimentos (que pode se dar por </w:t>
      </w:r>
      <w:r w:rsidR="72F1B966" w:rsidRPr="00F00C3D">
        <w:rPr>
          <w:rFonts w:ascii="Times New Roman" w:hAnsi="Times New Roman" w:cs="Times New Roman"/>
          <w:sz w:val="24"/>
          <w:szCs w:val="24"/>
        </w:rPr>
        <w:t>cinco</w:t>
      </w:r>
      <w:r w:rsidR="007E3154" w:rsidRPr="00F00C3D">
        <w:rPr>
          <w:rFonts w:ascii="Times New Roman" w:hAnsi="Times New Roman" w:cs="Times New Roman"/>
          <w:sz w:val="24"/>
          <w:szCs w:val="24"/>
        </w:rPr>
        <w:t xml:space="preserve"> vias: de ofício pela Coordenação das CPRACs; por determinação do Procurador-Geral, mediante provocação das Especializadas; a requerimento dos interessados</w:t>
      </w:r>
      <w:r w:rsidR="00855D78" w:rsidRPr="00F00C3D">
        <w:rPr>
          <w:rFonts w:ascii="Times New Roman" w:hAnsi="Times New Roman" w:cs="Times New Roman"/>
          <w:sz w:val="24"/>
          <w:szCs w:val="24"/>
        </w:rPr>
        <w:t xml:space="preserve">; por solicitação de órgãos e entidades da Administração Direta ou Indireta; e por solicitação externa, </w:t>
      </w:r>
      <w:r w:rsidR="00C26AA2" w:rsidRPr="00F00C3D">
        <w:rPr>
          <w:rFonts w:ascii="Times New Roman" w:hAnsi="Times New Roman" w:cs="Times New Roman"/>
          <w:sz w:val="24"/>
          <w:szCs w:val="24"/>
        </w:rPr>
        <w:t>de Magistrados, Defensoria Pública, Ministério Público, Tribunal de Contas, Assembleia Legislativa ou Ordem dos Ad</w:t>
      </w:r>
      <w:r w:rsidR="000E1A5B" w:rsidRPr="00F00C3D">
        <w:rPr>
          <w:rFonts w:ascii="Times New Roman" w:hAnsi="Times New Roman" w:cs="Times New Roman"/>
          <w:sz w:val="24"/>
          <w:szCs w:val="24"/>
        </w:rPr>
        <w:t>vogados do Brasil – Seccional Amazonas) e a ordem e o fluxo dos procedimentos,</w:t>
      </w:r>
      <w:r w:rsidR="00BE659E" w:rsidRPr="00F00C3D">
        <w:rPr>
          <w:rFonts w:ascii="Times New Roman" w:hAnsi="Times New Roman" w:cs="Times New Roman"/>
          <w:sz w:val="24"/>
          <w:szCs w:val="24"/>
        </w:rPr>
        <w:t xml:space="preserve"> além de dispor acerca da composição e do funcionamento das CPRACs.</w:t>
      </w:r>
    </w:p>
    <w:p w14:paraId="2A96A3AD" w14:textId="6BF96C55" w:rsidR="004E7313" w:rsidRPr="00F00C3D" w:rsidRDefault="00FE1B79" w:rsidP="00E2337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Em março de 2022, a implementação </w:t>
      </w:r>
      <w:r w:rsidR="004070E4" w:rsidRPr="00F00C3D">
        <w:rPr>
          <w:rFonts w:ascii="Times New Roman" w:hAnsi="Times New Roman" w:cs="Times New Roman"/>
          <w:sz w:val="24"/>
          <w:szCs w:val="24"/>
        </w:rPr>
        <w:t>das CPRACs foi escolhida como projeto prioritário para o planejamento estratégico da Procuradoria Geral do Estado do Amazonas para o biênio 2022/2024, garantindo a</w:t>
      </w:r>
      <w:r w:rsidR="00FC596A" w:rsidRPr="00F00C3D">
        <w:rPr>
          <w:rFonts w:ascii="Times New Roman" w:hAnsi="Times New Roman" w:cs="Times New Roman"/>
          <w:sz w:val="24"/>
          <w:szCs w:val="24"/>
        </w:rPr>
        <w:t xml:space="preserve"> atenção e </w:t>
      </w:r>
      <w:r w:rsidR="00F9628C">
        <w:rPr>
          <w:rFonts w:ascii="Times New Roman" w:hAnsi="Times New Roman" w:cs="Times New Roman"/>
          <w:sz w:val="24"/>
          <w:szCs w:val="24"/>
        </w:rPr>
        <w:t xml:space="preserve">o </w:t>
      </w:r>
      <w:r w:rsidR="00FC596A" w:rsidRPr="00F00C3D">
        <w:rPr>
          <w:rFonts w:ascii="Times New Roman" w:hAnsi="Times New Roman" w:cs="Times New Roman"/>
          <w:sz w:val="24"/>
          <w:szCs w:val="24"/>
        </w:rPr>
        <w:t>apoio necessário</w:t>
      </w:r>
      <w:r w:rsidR="00F9628C">
        <w:rPr>
          <w:rFonts w:ascii="Times New Roman" w:hAnsi="Times New Roman" w:cs="Times New Roman"/>
          <w:sz w:val="24"/>
          <w:szCs w:val="24"/>
        </w:rPr>
        <w:t>s</w:t>
      </w:r>
      <w:r w:rsidR="00FC596A" w:rsidRPr="00F00C3D">
        <w:rPr>
          <w:rFonts w:ascii="Times New Roman" w:hAnsi="Times New Roman" w:cs="Times New Roman"/>
          <w:sz w:val="24"/>
          <w:szCs w:val="24"/>
        </w:rPr>
        <w:t xml:space="preserve"> para que </w:t>
      </w:r>
      <w:r w:rsidR="00810CF3" w:rsidRPr="00F00C3D">
        <w:rPr>
          <w:rFonts w:ascii="Times New Roman" w:hAnsi="Times New Roman" w:cs="Times New Roman"/>
          <w:sz w:val="24"/>
          <w:szCs w:val="24"/>
        </w:rPr>
        <w:t>a concretização das políticas públicas de autocomposição se fizesse de forma sustentável.</w:t>
      </w:r>
    </w:p>
    <w:p w14:paraId="5914F933" w14:textId="321A9142" w:rsidR="00BE659E" w:rsidRPr="00F00C3D" w:rsidRDefault="00BE659E" w:rsidP="00E2337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É mister apontar que</w:t>
      </w:r>
      <w:r w:rsidR="0013199C" w:rsidRPr="00F00C3D">
        <w:rPr>
          <w:rFonts w:ascii="Times New Roman" w:hAnsi="Times New Roman" w:cs="Times New Roman"/>
          <w:sz w:val="24"/>
          <w:szCs w:val="24"/>
        </w:rPr>
        <w:t xml:space="preserve"> se</w:t>
      </w:r>
      <w:r w:rsidRPr="00F00C3D">
        <w:rPr>
          <w:rFonts w:ascii="Times New Roman" w:hAnsi="Times New Roman" w:cs="Times New Roman"/>
          <w:sz w:val="24"/>
          <w:szCs w:val="24"/>
        </w:rPr>
        <w:t xml:space="preserve"> privilegia</w:t>
      </w:r>
      <w:r w:rsidR="007A13EA" w:rsidRPr="00F00C3D">
        <w:rPr>
          <w:rFonts w:ascii="Times New Roman" w:hAnsi="Times New Roman" w:cs="Times New Roman"/>
          <w:sz w:val="24"/>
          <w:szCs w:val="24"/>
        </w:rPr>
        <w:t xml:space="preserve">, em especial na Primeira Câmara, a adoção de procedimentos </w:t>
      </w:r>
      <w:r w:rsidR="00B80389" w:rsidRPr="00F00C3D">
        <w:rPr>
          <w:rFonts w:ascii="Times New Roman" w:hAnsi="Times New Roman" w:cs="Times New Roman"/>
          <w:sz w:val="24"/>
          <w:szCs w:val="24"/>
        </w:rPr>
        <w:t xml:space="preserve">que desemboquem em transações por adesão, tal como previstos </w:t>
      </w:r>
      <w:r w:rsidR="00242601" w:rsidRPr="00F00C3D">
        <w:rPr>
          <w:rFonts w:ascii="Times New Roman" w:hAnsi="Times New Roman" w:cs="Times New Roman"/>
          <w:sz w:val="24"/>
          <w:szCs w:val="24"/>
        </w:rPr>
        <w:t>no art. 35 da Lei n. 13.140/2015</w:t>
      </w:r>
      <w:r w:rsidR="005E1A2E" w:rsidRPr="00F00C3D">
        <w:rPr>
          <w:rFonts w:ascii="Times New Roman" w:hAnsi="Times New Roman" w:cs="Times New Roman"/>
          <w:sz w:val="24"/>
          <w:szCs w:val="24"/>
        </w:rPr>
        <w:t xml:space="preserve">. Dessa forma, inaugurado um procedimento em matéria ainda não submetida à cognição da CPRAC, caso, após </w:t>
      </w:r>
      <w:r w:rsidR="00350A17" w:rsidRPr="00F00C3D">
        <w:rPr>
          <w:rFonts w:ascii="Times New Roman" w:hAnsi="Times New Roman" w:cs="Times New Roman"/>
          <w:sz w:val="24"/>
          <w:szCs w:val="24"/>
        </w:rPr>
        <w:t>toda a análise feita pela Coordenação da Câmara, pela Especializada competente para a</w:t>
      </w:r>
      <w:r w:rsidR="00177557" w:rsidRPr="00F00C3D">
        <w:rPr>
          <w:rFonts w:ascii="Times New Roman" w:hAnsi="Times New Roman" w:cs="Times New Roman"/>
          <w:sz w:val="24"/>
          <w:szCs w:val="24"/>
        </w:rPr>
        <w:t>tuação e pelo Procurador-Geral do Estado, chegue-se ao entendimento que</w:t>
      </w:r>
      <w:r w:rsidR="00870219" w:rsidRPr="00F00C3D">
        <w:rPr>
          <w:rFonts w:ascii="Times New Roman" w:hAnsi="Times New Roman" w:cs="Times New Roman"/>
          <w:sz w:val="24"/>
          <w:szCs w:val="24"/>
        </w:rPr>
        <w:t xml:space="preserve"> na hipótese em exame</w:t>
      </w:r>
      <w:r w:rsidR="00177557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C27630" w:rsidRPr="00F00C3D">
        <w:rPr>
          <w:rFonts w:ascii="Times New Roman" w:hAnsi="Times New Roman" w:cs="Times New Roman"/>
          <w:sz w:val="24"/>
          <w:szCs w:val="24"/>
        </w:rPr>
        <w:t>é</w:t>
      </w:r>
      <w:r w:rsidR="00405590" w:rsidRPr="00F00C3D">
        <w:rPr>
          <w:rFonts w:ascii="Times New Roman" w:hAnsi="Times New Roman" w:cs="Times New Roman"/>
          <w:sz w:val="24"/>
          <w:szCs w:val="24"/>
        </w:rPr>
        <w:t xml:space="preserve"> mais</w:t>
      </w:r>
      <w:r w:rsidR="00C27630" w:rsidRPr="00F00C3D">
        <w:rPr>
          <w:rFonts w:ascii="Times New Roman" w:hAnsi="Times New Roman" w:cs="Times New Roman"/>
          <w:sz w:val="24"/>
          <w:szCs w:val="24"/>
        </w:rPr>
        <w:t xml:space="preserve"> favorável ao Estado e condizente com a sustentabilidade das políticas públicas a realização de acordos</w:t>
      </w:r>
      <w:r w:rsidR="00870219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C27630" w:rsidRPr="00F00C3D">
        <w:rPr>
          <w:rFonts w:ascii="Times New Roman" w:hAnsi="Times New Roman" w:cs="Times New Roman"/>
          <w:sz w:val="24"/>
          <w:szCs w:val="24"/>
        </w:rPr>
        <w:t xml:space="preserve">que a </w:t>
      </w:r>
      <w:r w:rsidR="00405590" w:rsidRPr="00F00C3D">
        <w:rPr>
          <w:rFonts w:ascii="Times New Roman" w:hAnsi="Times New Roman" w:cs="Times New Roman"/>
          <w:sz w:val="24"/>
          <w:szCs w:val="24"/>
        </w:rPr>
        <w:t>insistência na litigância a qualquer custo, será expedida Portaria</w:t>
      </w:r>
      <w:r w:rsidR="0079066C" w:rsidRPr="00F00C3D">
        <w:rPr>
          <w:rFonts w:ascii="Times New Roman" w:hAnsi="Times New Roman" w:cs="Times New Roman"/>
          <w:sz w:val="24"/>
          <w:szCs w:val="24"/>
        </w:rPr>
        <w:t xml:space="preserve"> com autorização geral para a celebração de acordos na CPRAC relativa àquela matéria, na qual já estarão delimitad</w:t>
      </w:r>
      <w:r w:rsidR="00B0590A" w:rsidRPr="00F00C3D">
        <w:rPr>
          <w:rFonts w:ascii="Times New Roman" w:hAnsi="Times New Roman" w:cs="Times New Roman"/>
          <w:sz w:val="24"/>
          <w:szCs w:val="24"/>
        </w:rPr>
        <w:t>os os critérios identificadores dos beneficiários e os limites para a oferta dos acordos</w:t>
      </w:r>
      <w:r w:rsidR="000D38B0" w:rsidRPr="00F00C3D">
        <w:rPr>
          <w:rFonts w:ascii="Times New Roman" w:hAnsi="Times New Roman" w:cs="Times New Roman"/>
          <w:sz w:val="24"/>
          <w:szCs w:val="24"/>
        </w:rPr>
        <w:t xml:space="preserve"> judiciais e extrajudiciais</w:t>
      </w:r>
      <w:r w:rsidR="00B0590A" w:rsidRPr="00F00C3D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0D38B0" w:rsidRPr="00F00C3D">
        <w:rPr>
          <w:rFonts w:ascii="Times New Roman" w:hAnsi="Times New Roman" w:cs="Times New Roman"/>
          <w:sz w:val="24"/>
          <w:szCs w:val="24"/>
        </w:rPr>
        <w:t>desde logo e no mesmo procedimento</w:t>
      </w:r>
      <w:r w:rsidR="00B0590A" w:rsidRPr="00F00C3D">
        <w:rPr>
          <w:rFonts w:ascii="Times New Roman" w:hAnsi="Times New Roman" w:cs="Times New Roman"/>
          <w:sz w:val="24"/>
          <w:szCs w:val="24"/>
        </w:rPr>
        <w:t xml:space="preserve"> serão </w:t>
      </w:r>
      <w:r w:rsidR="00682698" w:rsidRPr="00F00C3D">
        <w:rPr>
          <w:rFonts w:ascii="Times New Roman" w:hAnsi="Times New Roman" w:cs="Times New Roman"/>
          <w:sz w:val="24"/>
          <w:szCs w:val="24"/>
        </w:rPr>
        <w:t xml:space="preserve">elaborados </w:t>
      </w:r>
      <w:r w:rsidR="00B757A1" w:rsidRPr="00F00C3D">
        <w:rPr>
          <w:rFonts w:ascii="Times New Roman" w:hAnsi="Times New Roman" w:cs="Times New Roman"/>
          <w:sz w:val="24"/>
          <w:szCs w:val="24"/>
        </w:rPr>
        <w:t xml:space="preserve">e aprovados </w:t>
      </w:r>
      <w:r w:rsidR="00682698" w:rsidRPr="00F00C3D">
        <w:rPr>
          <w:rFonts w:ascii="Times New Roman" w:hAnsi="Times New Roman" w:cs="Times New Roman"/>
          <w:sz w:val="24"/>
          <w:szCs w:val="24"/>
        </w:rPr>
        <w:t>os formulários</w:t>
      </w:r>
      <w:r w:rsidR="00B757A1" w:rsidRPr="00F00C3D">
        <w:rPr>
          <w:rFonts w:ascii="Times New Roman" w:hAnsi="Times New Roman" w:cs="Times New Roman"/>
          <w:sz w:val="24"/>
          <w:szCs w:val="24"/>
        </w:rPr>
        <w:t xml:space="preserve"> e as minutas</w:t>
      </w:r>
      <w:r w:rsidR="00C326D8" w:rsidRPr="00F00C3D">
        <w:rPr>
          <w:rFonts w:ascii="Times New Roman" w:hAnsi="Times New Roman" w:cs="Times New Roman"/>
          <w:sz w:val="24"/>
          <w:szCs w:val="24"/>
        </w:rPr>
        <w:t xml:space="preserve"> dos termos de acordo, de forma que, instaurado novo procedimento a respeito da mesma matéria, </w:t>
      </w:r>
      <w:r w:rsidR="00A82B82" w:rsidRPr="00F00C3D">
        <w:rPr>
          <w:rFonts w:ascii="Times New Roman" w:hAnsi="Times New Roman" w:cs="Times New Roman"/>
          <w:sz w:val="24"/>
          <w:szCs w:val="24"/>
        </w:rPr>
        <w:t xml:space="preserve">o caminho estará traçado, célere e desburocratizado, </w:t>
      </w:r>
      <w:r w:rsidR="003A2448" w:rsidRPr="00F00C3D">
        <w:rPr>
          <w:rFonts w:ascii="Times New Roman" w:hAnsi="Times New Roman" w:cs="Times New Roman"/>
          <w:sz w:val="24"/>
          <w:szCs w:val="24"/>
        </w:rPr>
        <w:t xml:space="preserve">garantindo segurança jurídica a todos os envolvidos e </w:t>
      </w:r>
      <w:r w:rsidR="002A6FC1" w:rsidRPr="00F00C3D">
        <w:rPr>
          <w:rFonts w:ascii="Times New Roman" w:hAnsi="Times New Roman" w:cs="Times New Roman"/>
          <w:sz w:val="24"/>
          <w:szCs w:val="24"/>
        </w:rPr>
        <w:t>possibilitando uma atuação sustentável da própria Advocacia Pública.</w:t>
      </w:r>
    </w:p>
    <w:p w14:paraId="1836C17F" w14:textId="7985CA64" w:rsidR="72F1B966" w:rsidRPr="00F00C3D" w:rsidRDefault="72F1B966" w:rsidP="72F1B966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Da mesma forma, caso, após a análise preconizada </w:t>
      </w:r>
      <w:r w:rsidR="35825B0C" w:rsidRPr="00F00C3D">
        <w:rPr>
          <w:rFonts w:ascii="Times New Roman" w:hAnsi="Times New Roman" w:cs="Times New Roman"/>
          <w:sz w:val="24"/>
          <w:szCs w:val="24"/>
        </w:rPr>
        <w:t>pela</w:t>
      </w:r>
      <w:r w:rsidRPr="00F00C3D">
        <w:rPr>
          <w:rFonts w:ascii="Times New Roman" w:hAnsi="Times New Roman" w:cs="Times New Roman"/>
          <w:sz w:val="24"/>
          <w:szCs w:val="24"/>
        </w:rPr>
        <w:t xml:space="preserve"> Portaria 19/2022-GPGE</w:t>
      </w:r>
      <w:r w:rsidR="32065AD3" w:rsidRPr="00F00C3D">
        <w:rPr>
          <w:rFonts w:ascii="Times New Roman" w:hAnsi="Times New Roman" w:cs="Times New Roman"/>
          <w:sz w:val="24"/>
          <w:szCs w:val="24"/>
        </w:rPr>
        <w:t>,</w:t>
      </w:r>
      <w:r w:rsidRPr="00F00C3D">
        <w:rPr>
          <w:rFonts w:ascii="Times New Roman" w:hAnsi="Times New Roman" w:cs="Times New Roman"/>
          <w:sz w:val="24"/>
          <w:szCs w:val="24"/>
        </w:rPr>
        <w:t xml:space="preserve"> se chegue à conclusão de que, em relação à matéria, há chance considerável de sucesso do Estado em juízo, apresentar-se-á Parecer pela inadmissibilidade dos procedimentos relativos àquela questão, </w:t>
      </w:r>
      <w:r w:rsidR="08082BB5" w:rsidRPr="00F00C3D">
        <w:rPr>
          <w:rFonts w:ascii="Times New Roman" w:hAnsi="Times New Roman" w:cs="Times New Roman"/>
          <w:sz w:val="24"/>
          <w:szCs w:val="24"/>
        </w:rPr>
        <w:t xml:space="preserve">o </w:t>
      </w:r>
      <w:r w:rsidR="7D6CEF03" w:rsidRPr="00F00C3D">
        <w:rPr>
          <w:rFonts w:ascii="Times New Roman" w:hAnsi="Times New Roman" w:cs="Times New Roman"/>
          <w:sz w:val="24"/>
          <w:szCs w:val="24"/>
        </w:rPr>
        <w:t>qual</w:t>
      </w:r>
      <w:r w:rsidRPr="00F00C3D">
        <w:rPr>
          <w:rFonts w:ascii="Times New Roman" w:hAnsi="Times New Roman" w:cs="Times New Roman"/>
          <w:sz w:val="24"/>
          <w:szCs w:val="24"/>
        </w:rPr>
        <w:t xml:space="preserve">, em assim entendendo o Procurador-Geral do Estado, será aprovado com efeitos gerais, permitindo a aplicação a todos os novos pedidos instaurados perante as CPRACs relativos à mesma matéria, </w:t>
      </w:r>
      <w:r w:rsidRPr="00F00C3D">
        <w:rPr>
          <w:rFonts w:ascii="Times New Roman" w:hAnsi="Times New Roman" w:cs="Times New Roman"/>
          <w:sz w:val="24"/>
          <w:szCs w:val="24"/>
        </w:rPr>
        <w:lastRenderedPageBreak/>
        <w:t>garantindo a igualdade de tratamento entre os interessados e racionalizando a atividade administrativa.</w:t>
      </w:r>
    </w:p>
    <w:p w14:paraId="3FC232F0" w14:textId="01B01ABC" w:rsidR="72F1B966" w:rsidRPr="00F00C3D" w:rsidRDefault="72F1B966" w:rsidP="72F1B966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Seguindo a regulamentação e a escolha do projeto como prioritário no Planejamento Estratégico</w:t>
      </w:r>
      <w:r w:rsidR="00F9628C">
        <w:rPr>
          <w:rFonts w:ascii="Times New Roman" w:hAnsi="Times New Roman" w:cs="Times New Roman"/>
          <w:sz w:val="24"/>
          <w:szCs w:val="24"/>
        </w:rPr>
        <w:t xml:space="preserve"> e os passos acima listados</w:t>
      </w:r>
      <w:r w:rsidRPr="00F00C3D">
        <w:rPr>
          <w:rFonts w:ascii="Times New Roman" w:hAnsi="Times New Roman" w:cs="Times New Roman"/>
          <w:sz w:val="24"/>
          <w:szCs w:val="24"/>
        </w:rPr>
        <w:t>, houve, ainda em março de 2022</w:t>
      </w:r>
      <w:r w:rsidR="00F9628C">
        <w:rPr>
          <w:rFonts w:ascii="Times New Roman" w:hAnsi="Times New Roman" w:cs="Times New Roman"/>
          <w:sz w:val="24"/>
          <w:szCs w:val="24"/>
        </w:rPr>
        <w:t>,</w:t>
      </w:r>
      <w:r w:rsidRPr="00F00C3D">
        <w:rPr>
          <w:rFonts w:ascii="Times New Roman" w:hAnsi="Times New Roman" w:cs="Times New Roman"/>
          <w:sz w:val="24"/>
          <w:szCs w:val="24"/>
        </w:rPr>
        <w:t xml:space="preserve"> a edição da primeira Portaria de autorização geral para celebração de acordos po</w:t>
      </w:r>
      <w:r w:rsidRPr="000374C8">
        <w:rPr>
          <w:rFonts w:ascii="Times New Roman" w:hAnsi="Times New Roman" w:cs="Times New Roman"/>
          <w:sz w:val="24"/>
          <w:szCs w:val="24"/>
        </w:rPr>
        <w:t xml:space="preserve">r adesão (Portaria n. 53/2022-GPGE, de 31 de março de 2022), o que possibilitou a celebração e a </w:t>
      </w:r>
      <w:r w:rsidRPr="00F00C3D">
        <w:rPr>
          <w:rFonts w:ascii="Times New Roman" w:hAnsi="Times New Roman" w:cs="Times New Roman"/>
          <w:sz w:val="24"/>
          <w:szCs w:val="24"/>
        </w:rPr>
        <w:t xml:space="preserve">homologação dos primeiros acordos já em abril de 2022. Desde lá, já foram expedidas dez Portarias selecionando temas passíveis de acordos por adesão. </w:t>
      </w:r>
    </w:p>
    <w:p w14:paraId="520D651E" w14:textId="0AD57745" w:rsidR="72F1B966" w:rsidRPr="00F00C3D" w:rsidRDefault="72F1B966" w:rsidP="72F1B966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As minutas dos Pareceres – tanto as de admissibilidade quanto as de inadmissibilidade - são armazenadas em Banco de Teses, em conjunto com a Portaria respectiva e demais documentos necessários à análise dos feitos. O Banco de Teses permanece em constante atualização e facilita o manejo dos autos, apontando para uma atuação organizada e sustentável para os Procuradores do Estado</w:t>
      </w:r>
      <w:r w:rsidR="00324DEA">
        <w:rPr>
          <w:rFonts w:ascii="Times New Roman" w:hAnsi="Times New Roman" w:cs="Times New Roman"/>
          <w:sz w:val="24"/>
          <w:szCs w:val="24"/>
        </w:rPr>
        <w:t xml:space="preserve"> oficiantes</w:t>
      </w:r>
      <w:r w:rsidRPr="00F00C3D">
        <w:rPr>
          <w:rFonts w:ascii="Times New Roman" w:hAnsi="Times New Roman" w:cs="Times New Roman"/>
          <w:sz w:val="24"/>
          <w:szCs w:val="24"/>
        </w:rPr>
        <w:t>.</w:t>
      </w:r>
    </w:p>
    <w:p w14:paraId="0E1BF05E" w14:textId="77777777" w:rsidR="00297026" w:rsidRPr="00F00C3D" w:rsidRDefault="72F1B966" w:rsidP="00297026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Dessa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forma, a adoção de iniciativas para a </w:t>
      </w:r>
      <w:r w:rsidR="006F6AA7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de demandas de massa permit</w:t>
      </w:r>
      <w:r w:rsidR="003726D2" w:rsidRPr="00F00C3D">
        <w:rPr>
          <w:rFonts w:ascii="Times New Roman" w:hAnsi="Times New Roman" w:cs="Times New Roman"/>
          <w:sz w:val="24"/>
          <w:szCs w:val="24"/>
        </w:rPr>
        <w:t>e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a otimização de recursos materiais e humanos, assegurando uma duração mais célere dos processos e a redução do acervo. </w:t>
      </w:r>
    </w:p>
    <w:p w14:paraId="4905F19C" w14:textId="3F46132E" w:rsidR="00E55BCC" w:rsidRPr="00F00C3D" w:rsidRDefault="00297026" w:rsidP="00297026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O perfilhamento dos caminhos </w:t>
      </w:r>
      <w:r w:rsidR="00862A47" w:rsidRPr="00F00C3D">
        <w:rPr>
          <w:rFonts w:ascii="Times New Roman" w:hAnsi="Times New Roman" w:cs="Times New Roman"/>
          <w:sz w:val="24"/>
          <w:szCs w:val="24"/>
        </w:rPr>
        <w:t xml:space="preserve">apontados acima </w:t>
      </w:r>
      <w:r w:rsidR="004840D2" w:rsidRPr="00F00C3D">
        <w:rPr>
          <w:rFonts w:ascii="Times New Roman" w:hAnsi="Times New Roman" w:cs="Times New Roman"/>
          <w:sz w:val="24"/>
          <w:szCs w:val="24"/>
        </w:rPr>
        <w:t xml:space="preserve">resultou </w:t>
      </w:r>
      <w:r w:rsidR="00C43C07" w:rsidRPr="00F00C3D">
        <w:rPr>
          <w:rFonts w:ascii="Times New Roman" w:hAnsi="Times New Roman" w:cs="Times New Roman"/>
          <w:sz w:val="24"/>
          <w:szCs w:val="24"/>
        </w:rPr>
        <w:t xml:space="preserve">na </w:t>
      </w:r>
      <w:r w:rsidR="0071087A" w:rsidRPr="00F00C3D">
        <w:rPr>
          <w:rFonts w:ascii="Times New Roman" w:hAnsi="Times New Roman" w:cs="Times New Roman"/>
          <w:sz w:val="24"/>
          <w:szCs w:val="24"/>
        </w:rPr>
        <w:t xml:space="preserve">celebração, entre o início das atividades da Primeira CPRAC </w:t>
      </w:r>
      <w:r w:rsidR="001C278F" w:rsidRPr="00F00C3D">
        <w:rPr>
          <w:rFonts w:ascii="Times New Roman" w:hAnsi="Times New Roman" w:cs="Times New Roman"/>
          <w:sz w:val="24"/>
          <w:szCs w:val="24"/>
        </w:rPr>
        <w:t>até o final de abril de 2023, de 1.128</w:t>
      </w:r>
      <w:r w:rsidR="00B3082A" w:rsidRPr="00F00C3D">
        <w:rPr>
          <w:rFonts w:ascii="Times New Roman" w:hAnsi="Times New Roman" w:cs="Times New Roman"/>
          <w:sz w:val="24"/>
          <w:szCs w:val="24"/>
        </w:rPr>
        <w:t xml:space="preserve"> acordos, com redução </w:t>
      </w:r>
      <w:r w:rsidR="00B218FC" w:rsidRPr="00F00C3D">
        <w:rPr>
          <w:rFonts w:ascii="Times New Roman" w:hAnsi="Times New Roman" w:cs="Times New Roman"/>
          <w:sz w:val="24"/>
          <w:szCs w:val="24"/>
        </w:rPr>
        <w:t>multimilionária da dívida pública</w:t>
      </w:r>
      <w:r w:rsidR="001D576F" w:rsidRPr="00F00C3D">
        <w:rPr>
          <w:rFonts w:ascii="Times New Roman" w:hAnsi="Times New Roman" w:cs="Times New Roman"/>
          <w:sz w:val="24"/>
          <w:szCs w:val="24"/>
        </w:rPr>
        <w:t>, como será melhor demonstrado no tópico a seguir</w:t>
      </w:r>
      <w:r w:rsidR="00B218FC" w:rsidRPr="00F00C3D">
        <w:rPr>
          <w:rFonts w:ascii="Times New Roman" w:hAnsi="Times New Roman" w:cs="Times New Roman"/>
          <w:sz w:val="24"/>
          <w:szCs w:val="24"/>
        </w:rPr>
        <w:t>.</w:t>
      </w:r>
    </w:p>
    <w:p w14:paraId="3DCBF42B" w14:textId="7D43F010" w:rsidR="008F095C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0C3D">
        <w:rPr>
          <w:rFonts w:ascii="Times New Roman" w:hAnsi="Times New Roman" w:cs="Times New Roman"/>
          <w:sz w:val="24"/>
          <w:szCs w:val="24"/>
        </w:rPr>
        <w:t>Outra importante iniciativa diz respeito à construção de uma política permanente de conciliação, especialmente através de mutirões de conciliação realizados em conjunto com o Poder  Judiciário</w:t>
      </w:r>
      <w:r w:rsidR="001D576F" w:rsidRPr="00F00C3D">
        <w:rPr>
          <w:rFonts w:ascii="Times New Roman" w:hAnsi="Times New Roman" w:cs="Times New Roman"/>
          <w:sz w:val="24"/>
          <w:szCs w:val="24"/>
        </w:rPr>
        <w:t>.</w:t>
      </w:r>
      <w:r w:rsidR="00B806CC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464158" w:rsidRPr="00F00C3D">
        <w:rPr>
          <w:rFonts w:ascii="Times New Roman" w:hAnsi="Times New Roman" w:cs="Times New Roman"/>
          <w:sz w:val="24"/>
          <w:szCs w:val="24"/>
        </w:rPr>
        <w:t>Buscou-se, por intermédio da Primeira CPRAC, dar concretude ao princípio d</w:t>
      </w:r>
      <w:r w:rsidR="00AC31F1" w:rsidRPr="00F00C3D">
        <w:rPr>
          <w:rFonts w:ascii="Times New Roman" w:hAnsi="Times New Roman" w:cs="Times New Roman"/>
          <w:sz w:val="24"/>
          <w:szCs w:val="24"/>
        </w:rPr>
        <w:t xml:space="preserve">a cooperação entre os sujeitos do processo, </w:t>
      </w:r>
      <w:r w:rsidR="00992860" w:rsidRPr="00F00C3D">
        <w:rPr>
          <w:rFonts w:ascii="Times New Roman" w:hAnsi="Times New Roman" w:cs="Times New Roman"/>
          <w:sz w:val="24"/>
          <w:szCs w:val="24"/>
        </w:rPr>
        <w:t>tendo</w:t>
      </w:r>
      <w:r w:rsidR="001D034B" w:rsidRPr="00F00C3D">
        <w:rPr>
          <w:rFonts w:ascii="Times New Roman" w:hAnsi="Times New Roman" w:cs="Times New Roman"/>
          <w:sz w:val="24"/>
          <w:szCs w:val="24"/>
        </w:rPr>
        <w:t xml:space="preserve">-se sempre em mente que </w:t>
      </w:r>
      <w:r w:rsidR="00D04E8E" w:rsidRPr="00F00C3D">
        <w:rPr>
          <w:rFonts w:ascii="Times New Roman" w:hAnsi="Times New Roman" w:cs="Times New Roman"/>
          <w:sz w:val="24"/>
          <w:szCs w:val="24"/>
        </w:rPr>
        <w:t>todos os “</w:t>
      </w:r>
      <w:r w:rsidR="002C0E6F" w:rsidRPr="00F00C3D">
        <w:rPr>
          <w:rFonts w:ascii="Times New Roman" w:hAnsi="Times New Roman" w:cs="Times New Roman"/>
          <w:sz w:val="24"/>
          <w:szCs w:val="24"/>
        </w:rPr>
        <w:t>métodos de solução consensual de conflitos deverão ser estimulados por juízes, advogados, defensores públicos e membros do Ministério Público, inclusive no curso do processo judicial</w:t>
      </w:r>
      <w:r w:rsidR="002C0E6F" w:rsidRPr="00F00C3D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324DEA">
        <w:rPr>
          <w:rFonts w:ascii="Times New Roman" w:hAnsi="Times New Roman" w:cs="Times New Roman"/>
          <w:sz w:val="24"/>
          <w:szCs w:val="24"/>
          <w:lang w:val="pt-BR"/>
        </w:rPr>
        <w:t xml:space="preserve"> (art. 3º, § 3º, CPC)</w:t>
      </w:r>
      <w:r w:rsidR="002C0E6F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. Dessa forma, </w:t>
      </w:r>
      <w:r w:rsidR="00DA6F4E" w:rsidRPr="00F00C3D">
        <w:rPr>
          <w:rFonts w:ascii="Times New Roman" w:hAnsi="Times New Roman" w:cs="Times New Roman"/>
          <w:sz w:val="24"/>
          <w:szCs w:val="24"/>
          <w:lang w:val="pt-BR"/>
        </w:rPr>
        <w:t>a CPRAC</w:t>
      </w:r>
      <w:r w:rsidR="002C0E6F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foi</w:t>
      </w:r>
      <w:r w:rsidR="00DA56F0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apresentad</w:t>
      </w:r>
      <w:r w:rsidR="00DA6F4E" w:rsidRPr="00F00C3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B2554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aos</w:t>
      </w:r>
      <w:r w:rsidR="004217FC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Magistrados</w:t>
      </w:r>
      <w:r w:rsidR="00651893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52F57" w:rsidRPr="00F00C3D">
        <w:rPr>
          <w:rFonts w:ascii="Times New Roman" w:hAnsi="Times New Roman" w:cs="Times New Roman"/>
          <w:sz w:val="24"/>
          <w:szCs w:val="24"/>
          <w:lang w:val="pt-BR"/>
        </w:rPr>
        <w:t>da Fazenda Pública</w:t>
      </w:r>
      <w:r w:rsidR="00983DC5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e aos Desembargadores membros do e. Tribunal de Justiça do Estado do Amazonas, </w:t>
      </w:r>
      <w:r w:rsidR="009A2F14" w:rsidRPr="00F00C3D">
        <w:rPr>
          <w:rFonts w:ascii="Times New Roman" w:hAnsi="Times New Roman" w:cs="Times New Roman"/>
          <w:sz w:val="24"/>
          <w:szCs w:val="24"/>
          <w:lang w:val="pt-BR"/>
        </w:rPr>
        <w:t>tendo</w:t>
      </w:r>
      <w:r w:rsidR="00141882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havido </w:t>
      </w:r>
      <w:r w:rsidR="00DA6F4E" w:rsidRPr="00F00C3D">
        <w:rPr>
          <w:rFonts w:ascii="Times New Roman" w:hAnsi="Times New Roman" w:cs="Times New Roman"/>
          <w:sz w:val="24"/>
          <w:szCs w:val="24"/>
          <w:lang w:val="pt-BR"/>
        </w:rPr>
        <w:t>amplo apoio aos projetos por parte do Poder Judiciário.</w:t>
      </w:r>
      <w:r w:rsidR="00B30C0D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B4EB576" w14:textId="5E75AB54" w:rsidR="00DA6F4E" w:rsidRPr="00F00C3D" w:rsidRDefault="0048484A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0C3D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4C6AA9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a atuação cooperativa </w:t>
      </w:r>
      <w:r w:rsidR="00E22E8C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com o Poder Judiciário visando à </w:t>
      </w:r>
      <w:r w:rsidR="00B2696E" w:rsidRPr="00F00C3D">
        <w:rPr>
          <w:rFonts w:ascii="Times New Roman" w:hAnsi="Times New Roman" w:cs="Times New Roman"/>
          <w:sz w:val="24"/>
          <w:szCs w:val="24"/>
          <w:lang w:val="pt-BR"/>
        </w:rPr>
        <w:t>resolução e prevenção de conflitos por meio d</w:t>
      </w:r>
      <w:r w:rsidR="0015392E" w:rsidRPr="00F00C3D">
        <w:rPr>
          <w:rFonts w:ascii="Times New Roman" w:hAnsi="Times New Roman" w:cs="Times New Roman"/>
          <w:sz w:val="24"/>
          <w:szCs w:val="24"/>
          <w:lang w:val="pt-BR"/>
        </w:rPr>
        <w:t>as políticas públicas de promoção da autocomposição, destacam-se, por sua importância para os trabalhos da Primeira CPRAC, dois instrumentos: a Portaria Conjunta n. 01/2023</w:t>
      </w:r>
      <w:r w:rsidR="001E371E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dos Juízes das Varas da</w:t>
      </w:r>
      <w:r w:rsidR="004355E7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Fazenda Púbica Estadual e Municipal da Comarca de Manaus e </w:t>
      </w:r>
      <w:r w:rsidR="00AC3814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936382" w:rsidRPr="00F00C3D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="00AC3814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de Cooperação Técnica n. </w:t>
      </w:r>
      <w:r w:rsidR="001D16E7">
        <w:rPr>
          <w:rFonts w:ascii="Times New Roman" w:hAnsi="Times New Roman" w:cs="Times New Roman"/>
          <w:sz w:val="24"/>
          <w:szCs w:val="24"/>
          <w:lang w:val="pt-BR"/>
        </w:rPr>
        <w:t>037/2023-TJAM</w:t>
      </w:r>
      <w:r w:rsidR="00AC3814" w:rsidRPr="00F00C3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E2118D3" w14:textId="5F834F13" w:rsidR="00AC3814" w:rsidRPr="00F00C3D" w:rsidRDefault="00CD698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0C3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O primeiro de tais instrumentos </w:t>
      </w:r>
      <w:r w:rsidR="00116956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(Portaria Conjunta n. 01/2023) </w:t>
      </w:r>
      <w:r w:rsidR="00FA52F0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estabeleceu uma política de </w:t>
      </w:r>
      <w:r w:rsidR="00884CD6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mutirões de conciliação mensais, </w:t>
      </w:r>
      <w:r w:rsidR="00C82C64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por intermédio do que se </w:t>
      </w:r>
      <w:r w:rsidR="00B81934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designou de “Semana de Conciliação </w:t>
      </w:r>
      <w:r w:rsidR="00C21C36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dos Juizados </w:t>
      </w:r>
      <w:r w:rsidR="009324D1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da Fazenda Pública Estadual e Municipal”. </w:t>
      </w:r>
      <w:r w:rsidR="000E5F3A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As semanas se dão de forma mista, sendo destinadas </w:t>
      </w:r>
      <w:r w:rsidR="006C18F0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tanto à </w:t>
      </w:r>
      <w:r w:rsidR="000B5D0A" w:rsidRPr="00F00C3D">
        <w:rPr>
          <w:rFonts w:ascii="Times New Roman" w:hAnsi="Times New Roman" w:cs="Times New Roman"/>
          <w:sz w:val="24"/>
          <w:szCs w:val="24"/>
          <w:lang w:val="pt-BR"/>
        </w:rPr>
        <w:t>realização, em regime de mutirão e com todo o apo</w:t>
      </w:r>
      <w:r w:rsidR="00505685" w:rsidRPr="00F00C3D">
        <w:rPr>
          <w:rFonts w:ascii="Times New Roman" w:hAnsi="Times New Roman" w:cs="Times New Roman"/>
          <w:sz w:val="24"/>
          <w:szCs w:val="24"/>
          <w:lang w:val="pt-BR"/>
        </w:rPr>
        <w:t>io do Poder Judiciário</w:t>
      </w:r>
      <w:r w:rsidR="005741B0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(que cede local, servidores, maquinário</w:t>
      </w:r>
      <w:r w:rsidR="00DF5B34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etc.)</w:t>
      </w:r>
      <w:r w:rsidR="00900A96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, das sessões de autocomposição </w:t>
      </w:r>
      <w:proofErr w:type="spellStart"/>
      <w:r w:rsidR="00900A96" w:rsidRPr="00F00C3D">
        <w:rPr>
          <w:rFonts w:ascii="Times New Roman" w:hAnsi="Times New Roman" w:cs="Times New Roman"/>
          <w:sz w:val="24"/>
          <w:szCs w:val="24"/>
          <w:lang w:val="pt-BR"/>
        </w:rPr>
        <w:t>pré</w:t>
      </w:r>
      <w:proofErr w:type="spellEnd"/>
      <w:r w:rsidR="00900A96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-processuais </w:t>
      </w:r>
      <w:r w:rsidR="00AA08C7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dos pedidos administrativos formulados junto à Primeira CPRAC (ocasião em que cabe à CPRAC apresentar e </w:t>
      </w:r>
      <w:r w:rsidR="005D721B" w:rsidRPr="00F00C3D">
        <w:rPr>
          <w:rFonts w:ascii="Times New Roman" w:hAnsi="Times New Roman" w:cs="Times New Roman"/>
          <w:sz w:val="24"/>
          <w:szCs w:val="24"/>
          <w:lang w:val="pt-BR"/>
        </w:rPr>
        <w:t>instruir</w:t>
      </w:r>
      <w:r w:rsidR="00496953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os processos que serão tratados naquela semana)</w:t>
      </w:r>
      <w:r w:rsidR="00AA08C7" w:rsidRPr="00F00C3D">
        <w:rPr>
          <w:rFonts w:ascii="Times New Roman" w:hAnsi="Times New Roman" w:cs="Times New Roman"/>
          <w:sz w:val="24"/>
          <w:szCs w:val="24"/>
          <w:lang w:val="pt-BR"/>
        </w:rPr>
        <w:t>, quanto à realização de audiências de conciliação</w:t>
      </w:r>
      <w:r w:rsidR="00496953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em demandas já judicializadas, em regime de mutirão (</w:t>
      </w:r>
      <w:r w:rsidR="00681AC2" w:rsidRPr="00F00C3D">
        <w:rPr>
          <w:rFonts w:ascii="Times New Roman" w:hAnsi="Times New Roman" w:cs="Times New Roman"/>
          <w:sz w:val="24"/>
          <w:szCs w:val="24"/>
          <w:lang w:val="pt-BR"/>
        </w:rPr>
        <w:t>hipótese em que cabe à</w:t>
      </w:r>
      <w:r w:rsidR="002A1D2B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s Varas dos Juizados da Fazenda </w:t>
      </w:r>
      <w:r w:rsidR="00F57D51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a seleção dos processos e intimação </w:t>
      </w:r>
      <w:r w:rsidR="00BD700A" w:rsidRPr="00F00C3D">
        <w:rPr>
          <w:rFonts w:ascii="Times New Roman" w:hAnsi="Times New Roman" w:cs="Times New Roman"/>
          <w:sz w:val="24"/>
          <w:szCs w:val="24"/>
          <w:lang w:val="pt-BR"/>
        </w:rPr>
        <w:t>das partes</w:t>
      </w:r>
      <w:r w:rsidR="00145DF5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para a realização das audiências).</w:t>
      </w:r>
    </w:p>
    <w:p w14:paraId="4696213A" w14:textId="463DDF43" w:rsidR="006E2290" w:rsidRPr="00F00C3D" w:rsidRDefault="006E2290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O segundo de tais instrumentos </w:t>
      </w:r>
      <w:r w:rsidR="00E8344B" w:rsidRPr="00F00C3D">
        <w:rPr>
          <w:rFonts w:ascii="Times New Roman" w:hAnsi="Times New Roman" w:cs="Times New Roman"/>
          <w:sz w:val="24"/>
          <w:szCs w:val="24"/>
          <w:lang w:val="pt-BR"/>
        </w:rPr>
        <w:t>representa um avanço em relação ao primeiro: devido ao sucesso da</w:t>
      </w:r>
      <w:r w:rsidR="00F87696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s diretrizes </w:t>
      </w:r>
      <w:r w:rsidR="00E8344B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de autocomposição </w:t>
      </w:r>
      <w:r w:rsidR="007113FB" w:rsidRPr="00F00C3D">
        <w:rPr>
          <w:rFonts w:ascii="Times New Roman" w:hAnsi="Times New Roman" w:cs="Times New Roman"/>
          <w:sz w:val="24"/>
          <w:szCs w:val="24"/>
          <w:lang w:val="pt-BR"/>
        </w:rPr>
        <w:t>preconizada</w:t>
      </w:r>
      <w:r w:rsidR="00F87696" w:rsidRPr="00F00C3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113FB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na Portaria Conjunta n. 01/2023</w:t>
      </w:r>
      <w:r w:rsidR="004F13B1" w:rsidRPr="00F00C3D">
        <w:rPr>
          <w:rFonts w:ascii="Times New Roman" w:hAnsi="Times New Roman" w:cs="Times New Roman"/>
          <w:sz w:val="24"/>
          <w:szCs w:val="24"/>
          <w:lang w:val="pt-BR"/>
        </w:rPr>
        <w:t>, firmou-se entre o Tribunal de Justiça do Estado do Amazonas, a Procuradoria Geral do Estado do Amazonas</w:t>
      </w:r>
      <w:r w:rsidR="009F6895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92258" w:rsidRPr="00F00C3D">
        <w:rPr>
          <w:rFonts w:ascii="Times New Roman" w:hAnsi="Times New Roman" w:cs="Times New Roman"/>
          <w:sz w:val="24"/>
          <w:szCs w:val="24"/>
          <w:lang w:val="pt-BR"/>
        </w:rPr>
        <w:t>a Polícia Militar do Estado do Amazonas e o Corpo de Bombeiros Militar do Estado do Amazonas</w:t>
      </w:r>
      <w:r w:rsidR="001877CF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="00936382" w:rsidRPr="00F00C3D">
        <w:rPr>
          <w:rFonts w:ascii="Times New Roman" w:hAnsi="Times New Roman" w:cs="Times New Roman"/>
          <w:sz w:val="24"/>
          <w:szCs w:val="24"/>
          <w:lang w:val="pt-BR"/>
        </w:rPr>
        <w:t>Acordo</w:t>
      </w:r>
      <w:r w:rsidR="001877CF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de Cooperação Técnica n. </w:t>
      </w:r>
      <w:r w:rsidR="001D16E7">
        <w:rPr>
          <w:rFonts w:ascii="Times New Roman" w:hAnsi="Times New Roman" w:cs="Times New Roman"/>
          <w:sz w:val="24"/>
          <w:szCs w:val="24"/>
          <w:lang w:val="pt-BR"/>
        </w:rPr>
        <w:t>037/2023-TJAM</w:t>
      </w:r>
      <w:r w:rsidR="001877CF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91064" w:rsidRPr="00F00C3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D0E9F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Acordo</w:t>
      </w:r>
      <w:r w:rsidR="00991064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tem por objetivo </w:t>
      </w:r>
      <w:r w:rsidR="001F79D3" w:rsidRPr="00F00C3D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1F79D3" w:rsidRPr="00F00C3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concentrar audiências para estimular </w:t>
      </w:r>
      <w:r w:rsidR="006B70D8" w:rsidRPr="00F00C3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a conciliação nos processos </w:t>
      </w:r>
      <w:r w:rsidR="005B24A3" w:rsidRPr="00F00C3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que envolvem ações já propostas perante o Juizado e demandas </w:t>
      </w:r>
      <w:proofErr w:type="spellStart"/>
      <w:r w:rsidR="005B24A3" w:rsidRPr="00F00C3D">
        <w:rPr>
          <w:rFonts w:ascii="Times New Roman" w:hAnsi="Times New Roman" w:cs="Times New Roman"/>
          <w:i/>
          <w:iCs/>
          <w:sz w:val="24"/>
          <w:szCs w:val="24"/>
          <w:lang w:val="pt-BR"/>
        </w:rPr>
        <w:t>pré</w:t>
      </w:r>
      <w:proofErr w:type="spellEnd"/>
      <w:r w:rsidR="005B24A3" w:rsidRPr="00F00C3D">
        <w:rPr>
          <w:rFonts w:ascii="Times New Roman" w:hAnsi="Times New Roman" w:cs="Times New Roman"/>
          <w:i/>
          <w:iCs/>
          <w:sz w:val="24"/>
          <w:szCs w:val="24"/>
          <w:lang w:val="pt-BR"/>
        </w:rPr>
        <w:t>-processuais de assuntos de natureza funcional</w:t>
      </w:r>
      <w:r w:rsidR="00EF7E7B" w:rsidRPr="00F00C3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(...) de </w:t>
      </w:r>
      <w:r w:rsidR="00476EFD" w:rsidRPr="00F00C3D">
        <w:rPr>
          <w:rFonts w:ascii="Times New Roman" w:hAnsi="Times New Roman" w:cs="Times New Roman"/>
          <w:i/>
          <w:iCs/>
          <w:sz w:val="24"/>
          <w:szCs w:val="24"/>
          <w:lang w:val="pt-BR"/>
        </w:rPr>
        <w:t>militares do Estado do Amazonas, visando à diminuição da litigiosidade junto ao Poder Judiciário”</w:t>
      </w:r>
      <w:r w:rsidR="00476EFD" w:rsidRPr="00F00C3D">
        <w:rPr>
          <w:rFonts w:ascii="Times New Roman" w:hAnsi="Times New Roman" w:cs="Times New Roman"/>
          <w:sz w:val="24"/>
          <w:szCs w:val="24"/>
          <w:lang w:val="pt-BR"/>
        </w:rPr>
        <w:t>. Institucionaliza-se, assim, uma política de autocomposição nos conflitos envolvendo militares estaduais, garantindo uma atuação sustentável a todos os sujeitos do processo, com ganhos mútuos e concessões recíprocas a todos os envolvidos.</w:t>
      </w:r>
    </w:p>
    <w:p w14:paraId="7F933258" w14:textId="15344999" w:rsidR="00E33F53" w:rsidRPr="00F00C3D" w:rsidRDefault="00831BC0" w:rsidP="008F095C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  <w:lang w:val="pt-BR"/>
        </w:rPr>
        <w:t>Por intermédio da Primeira CPRAC i</w:t>
      </w:r>
      <w:r w:rsidR="009306A0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nveste-se, também, </w:t>
      </w:r>
      <w:r w:rsidR="00BA5FF9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na construção de um bom relacionamento com os colegas advogados, </w:t>
      </w:r>
      <w:r w:rsidR="002E145F" w:rsidRPr="00F00C3D">
        <w:rPr>
          <w:rFonts w:ascii="Times New Roman" w:hAnsi="Times New Roman" w:cs="Times New Roman"/>
          <w:sz w:val="24"/>
          <w:szCs w:val="24"/>
          <w:lang w:val="pt-BR"/>
        </w:rPr>
        <w:t>favorecido pelas</w:t>
      </w:r>
      <w:r w:rsidR="00507DC8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audiências pautadas pelos juízos</w:t>
      </w:r>
      <w:r w:rsidR="0087006A" w:rsidRPr="00F00C3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C621F" w:rsidRPr="00F00C3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Neste ponto, importa observar que o sucesso de uma política de </w:t>
      </w:r>
      <w:r w:rsidR="00D95ADD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 não é algo simples, pois a sua realização se deve</w:t>
      </w:r>
      <w:r w:rsidR="008F095C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E33F53" w:rsidRPr="00F00C3D">
        <w:rPr>
          <w:rFonts w:ascii="Times New Roman" w:hAnsi="Times New Roman" w:cs="Times New Roman"/>
          <w:sz w:val="24"/>
          <w:szCs w:val="24"/>
        </w:rPr>
        <w:t>a um conjunto de ações capazes de constituir o programa de estrutura e de formação adequada. Primeiramente</w:t>
      </w:r>
      <w:r w:rsidR="008F095C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é fundamental a promoção de uma mudança cultural na forma de atuação profissional dos advogados, capacitando os profissionais com a finalidade de alterar a tradicional postura combativa </w:t>
      </w:r>
      <w:r w:rsidR="008F095C" w:rsidRPr="00F00C3D">
        <w:rPr>
          <w:rFonts w:ascii="Times New Roman" w:hAnsi="Times New Roman" w:cs="Times New Roman"/>
          <w:sz w:val="24"/>
          <w:szCs w:val="24"/>
        </w:rPr>
        <w:t xml:space="preserve">dos </w:t>
      </w:r>
      <w:r w:rsidR="00E33F53" w:rsidRPr="00F00C3D">
        <w:rPr>
          <w:rFonts w:ascii="Times New Roman" w:hAnsi="Times New Roman" w:cs="Times New Roman"/>
          <w:sz w:val="24"/>
          <w:szCs w:val="24"/>
        </w:rPr>
        <w:t xml:space="preserve">ambientes judiciais. O ponto central deverá ser constituído pela qualificação dos profissionais, no intuito de que os mesmos promovam o diálogo com </w:t>
      </w:r>
      <w:r w:rsidR="008F095C" w:rsidRPr="00F00C3D">
        <w:rPr>
          <w:rFonts w:ascii="Times New Roman" w:hAnsi="Times New Roman" w:cs="Times New Roman"/>
          <w:sz w:val="24"/>
          <w:szCs w:val="24"/>
        </w:rPr>
        <w:t>vistas à resolução dos problemas.</w:t>
      </w:r>
      <w:r w:rsidR="002B6DEF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151EBE" w:rsidRPr="00F00C3D">
        <w:rPr>
          <w:rFonts w:ascii="Times New Roman" w:hAnsi="Times New Roman" w:cs="Times New Roman"/>
          <w:sz w:val="24"/>
          <w:szCs w:val="24"/>
        </w:rPr>
        <w:t xml:space="preserve">No que pertine à </w:t>
      </w:r>
      <w:r w:rsidR="00CF0381" w:rsidRPr="00F00C3D">
        <w:rPr>
          <w:rFonts w:ascii="Times New Roman" w:hAnsi="Times New Roman" w:cs="Times New Roman"/>
          <w:sz w:val="24"/>
          <w:szCs w:val="24"/>
        </w:rPr>
        <w:t>mudança imediata, percebe-se que é ponto fulcral que os acordos celebrados</w:t>
      </w:r>
      <w:r w:rsidR="008714F9" w:rsidRPr="00F00C3D">
        <w:rPr>
          <w:rFonts w:ascii="Times New Roman" w:hAnsi="Times New Roman" w:cs="Times New Roman"/>
          <w:sz w:val="24"/>
          <w:szCs w:val="24"/>
        </w:rPr>
        <w:t xml:space="preserve"> sejam cumpridos integral e celeremente – sendo esse o maior interesse dos colegas</w:t>
      </w:r>
      <w:r w:rsidR="00097A14" w:rsidRPr="00F00C3D">
        <w:rPr>
          <w:rFonts w:ascii="Times New Roman" w:hAnsi="Times New Roman" w:cs="Times New Roman"/>
          <w:sz w:val="24"/>
          <w:szCs w:val="24"/>
        </w:rPr>
        <w:t xml:space="preserve"> advogados e o principal chamariz para a celebração de acordos com a Primeira CPRAC.</w:t>
      </w:r>
    </w:p>
    <w:p w14:paraId="4CFF5D2B" w14:textId="31E2D1A2" w:rsidR="00E33F53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O sucesso alcançado pelos mutirões de </w:t>
      </w:r>
      <w:r w:rsidR="002D21D4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Pr="00F00C3D">
        <w:rPr>
          <w:rFonts w:ascii="Times New Roman" w:hAnsi="Times New Roman" w:cs="Times New Roman"/>
          <w:sz w:val="24"/>
          <w:szCs w:val="24"/>
        </w:rPr>
        <w:t xml:space="preserve">, </w:t>
      </w:r>
      <w:r w:rsidR="00CC1CF2" w:rsidRPr="00F00C3D">
        <w:rPr>
          <w:rFonts w:ascii="Times New Roman" w:hAnsi="Times New Roman" w:cs="Times New Roman"/>
          <w:sz w:val="24"/>
          <w:szCs w:val="24"/>
        </w:rPr>
        <w:t>portanto</w:t>
      </w:r>
      <w:r w:rsidRPr="00F00C3D">
        <w:rPr>
          <w:rFonts w:ascii="Times New Roman" w:hAnsi="Times New Roman" w:cs="Times New Roman"/>
          <w:sz w:val="24"/>
          <w:szCs w:val="24"/>
        </w:rPr>
        <w:t>, afet</w:t>
      </w:r>
      <w:r w:rsidR="00CC1CF2" w:rsidRPr="00F00C3D">
        <w:rPr>
          <w:rFonts w:ascii="Times New Roman" w:hAnsi="Times New Roman" w:cs="Times New Roman"/>
          <w:sz w:val="24"/>
          <w:szCs w:val="24"/>
        </w:rPr>
        <w:t>ou</w:t>
      </w:r>
      <w:r w:rsidRPr="00F00C3D">
        <w:rPr>
          <w:rFonts w:ascii="Times New Roman" w:hAnsi="Times New Roman" w:cs="Times New Roman"/>
          <w:sz w:val="24"/>
          <w:szCs w:val="24"/>
        </w:rPr>
        <w:t xml:space="preserve"> positivamente o </w:t>
      </w:r>
      <w:r w:rsidRPr="00F00C3D">
        <w:rPr>
          <w:rFonts w:ascii="Times New Roman" w:hAnsi="Times New Roman" w:cs="Times New Roman"/>
          <w:sz w:val="24"/>
          <w:szCs w:val="24"/>
        </w:rPr>
        <w:lastRenderedPageBreak/>
        <w:t xml:space="preserve">resultado de toda a rede de agências, reforçando o apoio à continuidade e ao aperfeiçoamento da política de conciliação. Além da celeridade na resolução, a política de conciliação também demonstra a possibilidade de uma satisfação plena das partes litigantes, porquanto que o acordo é resultado de uma construção da própria vontade dos envolvidos e não uma imposição. </w:t>
      </w:r>
      <w:r w:rsidR="008F095C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>Dito de outra forma, é justamente esse conjunto de fatores positivos que acabam entusiasmando os participantes e, gradualmente, contagiando a organização de forma a alterar a própria cultura</w:t>
      </w:r>
      <w:r w:rsidR="00065D7A" w:rsidRPr="00F00C3D">
        <w:rPr>
          <w:rFonts w:ascii="Times New Roman" w:hAnsi="Times New Roman" w:cs="Times New Roman"/>
          <w:sz w:val="24"/>
          <w:szCs w:val="24"/>
        </w:rPr>
        <w:t xml:space="preserve"> contenciosa</w:t>
      </w:r>
      <w:r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216F34" w:rsidRPr="00F00C3D">
        <w:rPr>
          <w:rFonts w:ascii="Times New Roman" w:hAnsi="Times New Roman" w:cs="Times New Roman"/>
          <w:sz w:val="24"/>
          <w:szCs w:val="24"/>
        </w:rPr>
        <w:t>há tanto impregnada</w:t>
      </w:r>
      <w:r w:rsidRPr="00F00C3D">
        <w:rPr>
          <w:rFonts w:ascii="Times New Roman" w:hAnsi="Times New Roman" w:cs="Times New Roman"/>
          <w:sz w:val="24"/>
          <w:szCs w:val="24"/>
        </w:rPr>
        <w:t>.</w:t>
      </w:r>
    </w:p>
    <w:p w14:paraId="1D06DBE7" w14:textId="1E218164" w:rsidR="009E663A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Outra observação importante acerca dos ganhos da política de </w:t>
      </w:r>
      <w:r w:rsidR="006D0EC8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Pr="00F00C3D">
        <w:rPr>
          <w:rFonts w:ascii="Times New Roman" w:hAnsi="Times New Roman" w:cs="Times New Roman"/>
          <w:sz w:val="24"/>
          <w:szCs w:val="24"/>
        </w:rPr>
        <w:t xml:space="preserve"> se refere ao envolvimento e </w:t>
      </w:r>
      <w:r w:rsidR="001D16E7">
        <w:rPr>
          <w:rFonts w:ascii="Times New Roman" w:hAnsi="Times New Roman" w:cs="Times New Roman"/>
          <w:sz w:val="24"/>
          <w:szCs w:val="24"/>
        </w:rPr>
        <w:t>à</w:t>
      </w:r>
      <w:r w:rsidRPr="00F00C3D">
        <w:rPr>
          <w:rFonts w:ascii="Times New Roman" w:hAnsi="Times New Roman" w:cs="Times New Roman"/>
          <w:sz w:val="24"/>
          <w:szCs w:val="24"/>
        </w:rPr>
        <w:t xml:space="preserve"> percepção de satisfação dos envolvidos. Enquanto na lide processual tradicional o conflito naturalmente gera desgaste emocional para os participantes, o procedimento de </w:t>
      </w:r>
      <w:r w:rsidR="00D76B52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Pr="00F00C3D">
        <w:rPr>
          <w:rFonts w:ascii="Times New Roman" w:hAnsi="Times New Roman" w:cs="Times New Roman"/>
          <w:sz w:val="24"/>
          <w:szCs w:val="24"/>
        </w:rPr>
        <w:t xml:space="preserve"> pode permitir uma comunicação que considera as partes na sua integralidade, levando em conta os aspectos emocionais que, na maioria das vezes, são desprezados pelo processo.</w:t>
      </w:r>
      <w:r w:rsidR="00FF5590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C34A0C" w:rsidRPr="00F00C3D">
        <w:rPr>
          <w:rFonts w:ascii="Times New Roman" w:hAnsi="Times New Roman" w:cs="Times New Roman"/>
          <w:sz w:val="24"/>
          <w:szCs w:val="24"/>
        </w:rPr>
        <w:t>Por esse motivo, é imperioso que se invista n</w:t>
      </w:r>
      <w:r w:rsidR="00284783" w:rsidRPr="00F00C3D">
        <w:rPr>
          <w:rFonts w:ascii="Times New Roman" w:hAnsi="Times New Roman" w:cs="Times New Roman"/>
          <w:sz w:val="24"/>
          <w:szCs w:val="24"/>
        </w:rPr>
        <w:t>a humanização do atendimento aos interessados</w:t>
      </w:r>
      <w:r w:rsidR="00543C5F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526ABA" w:rsidRPr="00F00C3D">
        <w:rPr>
          <w:rFonts w:ascii="Times New Roman" w:hAnsi="Times New Roman" w:cs="Times New Roman"/>
          <w:sz w:val="24"/>
          <w:szCs w:val="24"/>
        </w:rPr>
        <w:t xml:space="preserve">– sejam partes ou advogados </w:t>
      </w:r>
      <w:r w:rsidR="0052592A" w:rsidRPr="00F00C3D">
        <w:rPr>
          <w:rFonts w:ascii="Times New Roman" w:hAnsi="Times New Roman" w:cs="Times New Roman"/>
          <w:sz w:val="24"/>
          <w:szCs w:val="24"/>
        </w:rPr>
        <w:t>–</w:t>
      </w:r>
      <w:r w:rsidR="00526ABA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52592A" w:rsidRPr="00F00C3D">
        <w:rPr>
          <w:rFonts w:ascii="Times New Roman" w:hAnsi="Times New Roman" w:cs="Times New Roman"/>
          <w:sz w:val="24"/>
          <w:szCs w:val="24"/>
        </w:rPr>
        <w:t>para que</w:t>
      </w:r>
      <w:r w:rsidR="006F6525" w:rsidRPr="00F00C3D">
        <w:rPr>
          <w:rFonts w:ascii="Times New Roman" w:hAnsi="Times New Roman" w:cs="Times New Roman"/>
          <w:sz w:val="24"/>
          <w:szCs w:val="24"/>
        </w:rPr>
        <w:t xml:space="preserve">, pela construção do relacionamento, se cheguem a mais e melhores acordos. </w:t>
      </w:r>
      <w:r w:rsidR="00774D66" w:rsidRPr="00F00C3D">
        <w:rPr>
          <w:rFonts w:ascii="Times New Roman" w:hAnsi="Times New Roman" w:cs="Times New Roman"/>
          <w:sz w:val="24"/>
          <w:szCs w:val="24"/>
        </w:rPr>
        <w:t xml:space="preserve">Também é importantíssimo – e aqui se reforça – que os acordos celebrados sejam cumpridos a tempo e modo, de forma a </w:t>
      </w:r>
      <w:r w:rsidR="00052223" w:rsidRPr="00F00C3D">
        <w:rPr>
          <w:rFonts w:ascii="Times New Roman" w:hAnsi="Times New Roman" w:cs="Times New Roman"/>
          <w:sz w:val="24"/>
          <w:szCs w:val="24"/>
        </w:rPr>
        <w:t xml:space="preserve">garantir a construção de uma relação de confiança entre os envolvidos. </w:t>
      </w:r>
      <w:r w:rsidR="00975559" w:rsidRPr="00F00C3D">
        <w:rPr>
          <w:rFonts w:ascii="Times New Roman" w:hAnsi="Times New Roman" w:cs="Times New Roman"/>
          <w:sz w:val="24"/>
          <w:szCs w:val="24"/>
        </w:rPr>
        <w:t>Na lição</w:t>
      </w:r>
      <w:r w:rsidR="00137BFD" w:rsidRPr="00F00C3D">
        <w:rPr>
          <w:rFonts w:ascii="Times New Roman" w:hAnsi="Times New Roman" w:cs="Times New Roman"/>
          <w:sz w:val="24"/>
          <w:szCs w:val="24"/>
        </w:rPr>
        <w:t xml:space="preserve"> preciosíssima de Fi</w:t>
      </w:r>
      <w:r w:rsidR="009A4254" w:rsidRPr="00F00C3D">
        <w:rPr>
          <w:rFonts w:ascii="Times New Roman" w:hAnsi="Times New Roman" w:cs="Times New Roman"/>
          <w:sz w:val="24"/>
          <w:szCs w:val="24"/>
        </w:rPr>
        <w:t>sher</w:t>
      </w:r>
      <w:r w:rsidR="009E716B" w:rsidRPr="00F00C3D">
        <w:rPr>
          <w:rFonts w:ascii="Times New Roman" w:hAnsi="Times New Roman" w:cs="Times New Roman"/>
          <w:sz w:val="24"/>
          <w:szCs w:val="24"/>
        </w:rPr>
        <w:t>, Ury e Patton (</w:t>
      </w:r>
      <w:r w:rsidR="009E663A" w:rsidRPr="00F00C3D">
        <w:rPr>
          <w:rFonts w:ascii="Times New Roman" w:hAnsi="Times New Roman" w:cs="Times New Roman"/>
          <w:sz w:val="24"/>
          <w:szCs w:val="24"/>
        </w:rPr>
        <w:t>2018, p. 44):</w:t>
      </w:r>
    </w:p>
    <w:p w14:paraId="43433342" w14:textId="77777777" w:rsidR="009E663A" w:rsidRPr="00F00C3D" w:rsidRDefault="009E663A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F5B97B" w14:textId="62A06DE0" w:rsidR="009E663A" w:rsidRPr="00F00C3D" w:rsidRDefault="2F1E9053" w:rsidP="009E663A">
      <w:pPr>
        <w:pStyle w:val="Corpodetexto"/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Lidar com um problema essencial e manter uma boa relação não precisam ser objetivos conflitantes se as partes estiverem comprometidas e psicologicamente preparadas para tratar cada aspecto em separado, de acordo com seus méritos próprios. Baseie o relacionamento em percepções compartilhadas, numa comunicação clara, em emoções apropriadas e numa perspectiva que vise um propósito e se volte para o futuro. Lide com os problemas humanos mudando a forma de tratar as pessoas; não tente resolvê-los fazendo concessõs na essência.</w:t>
      </w:r>
    </w:p>
    <w:p w14:paraId="2A13509D" w14:textId="0621DA85" w:rsidR="008F095C" w:rsidRPr="00F00C3D" w:rsidRDefault="00975559" w:rsidP="00400A4F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5753" w14:textId="736A1E6F" w:rsidR="00E33F53" w:rsidRPr="00F00C3D" w:rsidRDefault="00E33F53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Com isso, em inúmeros casos, quando não concluída a renegociação na audiência de conciliação, se busca restabelecer o diálogo entre as partes, gerando confiança e oportunizando ao cliente refletir sobre as alternativas, as suas possibilidades e expectativas, de modo a permitir que a renegociação ocorra posteriormente</w:t>
      </w:r>
      <w:r w:rsidR="001A08BD" w:rsidRPr="00F00C3D">
        <w:rPr>
          <w:rFonts w:ascii="Times New Roman" w:hAnsi="Times New Roman" w:cs="Times New Roman"/>
          <w:sz w:val="24"/>
          <w:szCs w:val="24"/>
        </w:rPr>
        <w:t xml:space="preserve">, ou, caso isso não seja possível, manter o canal de comunicação aberto para </w:t>
      </w:r>
      <w:r w:rsidR="00A72AC1" w:rsidRPr="00F00C3D">
        <w:rPr>
          <w:rFonts w:ascii="Times New Roman" w:hAnsi="Times New Roman" w:cs="Times New Roman"/>
          <w:sz w:val="24"/>
          <w:szCs w:val="24"/>
        </w:rPr>
        <w:t>negociação em futuros conflitos.</w:t>
      </w:r>
    </w:p>
    <w:p w14:paraId="550ADF25" w14:textId="77777777" w:rsidR="00B05FAA" w:rsidRPr="00F00C3D" w:rsidRDefault="00B05FAA" w:rsidP="00B05FAA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1F8009" w14:textId="77777777" w:rsidR="00653B9F" w:rsidRPr="00F00C3D" w:rsidRDefault="2F1E9053" w:rsidP="008F095C">
      <w:pPr>
        <w:pStyle w:val="TtulosdasPartesdoArtigo"/>
        <w:rPr>
          <w:rFonts w:eastAsia="Times New Roman"/>
          <w:noProof/>
        </w:rPr>
      </w:pPr>
      <w:bookmarkStart w:id="3" w:name="_Toc523991941"/>
      <w:bookmarkStart w:id="4" w:name="_Toc523992035"/>
      <w:bookmarkStart w:id="5" w:name="_Toc523992089"/>
      <w:r w:rsidRPr="00F00C3D">
        <w:lastRenderedPageBreak/>
        <w:t>4 RESULTADOS OBTIDOS</w:t>
      </w:r>
    </w:p>
    <w:p w14:paraId="631A8211" w14:textId="152E44C8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F00C3D">
        <w:rPr>
          <w:noProof/>
        </w:rPr>
        <w:t>Em sua celebrada obra “Sustentabilidade: Direito ao Futuro”, Juarez Freitas ensina que a transição para o Novo Direito Administrativo Sustentável se apresenta com sete novos traços: a racionalidade imparcial, eficiente e eficaz; a fundamentação e devida processualização das decisões; a sindicabilidade aprofundada das condutas do agente estatal; a resolução administrativa dos conflitos; o fim do burocratismo paralisante; a prevenção e precaução, em lugar da gestão que chega tarde; e a defesa da constitucionalidade de ofício e da regulação do Estado Sustentável (FREITAS, 2012).</w:t>
      </w:r>
    </w:p>
    <w:p w14:paraId="2F62CFD1" w14:textId="03113EAF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No tocante à resolução administrativa de conflitos, citado professor leciona que a mesma consiste na:</w:t>
      </w:r>
    </w:p>
    <w:p w14:paraId="2F0A7FA9" w14:textId="0F74879D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</w:p>
    <w:p w14:paraId="2C554B2B" w14:textId="09076AC6" w:rsidR="2F1E9053" w:rsidRPr="00F00C3D" w:rsidRDefault="009143AD" w:rsidP="009143AD">
      <w:pPr>
        <w:pStyle w:val="NormalWeb"/>
        <w:spacing w:before="0" w:beforeAutospacing="0" w:after="0" w:afterAutospacing="0" w:line="360" w:lineRule="auto"/>
        <w:ind w:left="2268"/>
        <w:jc w:val="both"/>
        <w:rPr>
          <w:noProof/>
        </w:rPr>
      </w:pPr>
      <w:r w:rsidRPr="00F00C3D">
        <w:rPr>
          <w:noProof/>
        </w:rPr>
        <w:t>[</w:t>
      </w:r>
      <w:r w:rsidR="2F1E9053" w:rsidRPr="00F00C3D">
        <w:rPr>
          <w:noProof/>
        </w:rPr>
        <w:t>...</w:t>
      </w:r>
      <w:r w:rsidRPr="00F00C3D">
        <w:rPr>
          <w:noProof/>
        </w:rPr>
        <w:t>]</w:t>
      </w:r>
      <w:r w:rsidR="2F1E9053" w:rsidRPr="00F00C3D">
        <w:rPr>
          <w:noProof/>
        </w:rPr>
        <w:t xml:space="preserve"> transição de modelo calcado quase exclusivamente na repressão (normalmente apenas no papel ou voltada para os menos poderosos) para uma gestão pública de ênfase na resolução administrativa de conflitos interpessoais. O novo paradigma tem a ver, portanto, com o </w:t>
      </w:r>
      <w:r w:rsidR="2F1E9053" w:rsidRPr="00F00C3D">
        <w:rPr>
          <w:i/>
          <w:iCs/>
          <w:noProof/>
        </w:rPr>
        <w:t>aperfeiçoamento das técnicas consensuais ou negociais</w:t>
      </w:r>
      <w:r w:rsidR="2F1E9053" w:rsidRPr="00F00C3D">
        <w:rPr>
          <w:noProof/>
        </w:rPr>
        <w:t>, tais como os termos de ajustamento de conduta, a mediação e a conciliação, em vez da postura infrutífera nas repressões (ordinariamente) de fachada, que pouco ou nada agregam às melhoras comportamentais (</w:t>
      </w:r>
      <w:r w:rsidR="2F1E9053" w:rsidRPr="00F00C3D">
        <w:rPr>
          <w:i/>
          <w:iCs/>
          <w:noProof/>
        </w:rPr>
        <w:t>Op. Cit</w:t>
      </w:r>
      <w:r w:rsidR="2F1E9053" w:rsidRPr="00F00C3D">
        <w:rPr>
          <w:noProof/>
        </w:rPr>
        <w:t xml:space="preserve">., p. </w:t>
      </w:r>
      <w:r w:rsidR="00D02D25">
        <w:rPr>
          <w:noProof/>
        </w:rPr>
        <w:t>208</w:t>
      </w:r>
      <w:r w:rsidR="2F1E9053" w:rsidRPr="00F00C3D">
        <w:rPr>
          <w:noProof/>
        </w:rPr>
        <w:t>).</w:t>
      </w:r>
    </w:p>
    <w:p w14:paraId="4DBCA007" w14:textId="6F15C32D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                                                                                                                                             </w:t>
      </w:r>
    </w:p>
    <w:p w14:paraId="194719AC" w14:textId="4360F4C4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Busca-se, na atuação da Primeira CPRAC exatamente essa transição: a passagem de uma política de atuação de retaguarda para uma política de atuação de trincheiras, a resolução do conflito em detrimento da mera resolução do processo, o aperfeiçoamento das técnicas de negociação em ganha-ganha para ultrapassar a antiquada visão de que o acordo envolverá um ganha-perde.</w:t>
      </w:r>
    </w:p>
    <w:p w14:paraId="442C8922" w14:textId="3AC0FE68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O desempenho visando a uma mudança de paradigma tem produzido bons resultados desde o início da atuação da Primeira CPRAC, o que é facilmente constatado quando da análise dos Relatórios Quadrimestrais de Gestão produzidos.</w:t>
      </w:r>
    </w:p>
    <w:p w14:paraId="1D1DA08F" w14:textId="25516C1F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Vê-se que no primeiro quadrimestre do ano de 2022, ainda que com atuação em apenas parte do período, foi possível, na Primeira CPRAC, a celebração de 47 acordos, que geraram uma </w:t>
      </w:r>
      <w:r w:rsidR="00BB709C">
        <w:rPr>
          <w:noProof/>
        </w:rPr>
        <w:t>redução direta da dívida pública</w:t>
      </w:r>
      <w:r w:rsidRPr="00F00C3D">
        <w:rPr>
          <w:noProof/>
        </w:rPr>
        <w:t xml:space="preserve"> de R$ 557.976,23, em valores históricos, isto é, desprezada a economia decorrente do não pagamento de juros, correação monetária e verbas sucumbenciais.</w:t>
      </w:r>
    </w:p>
    <w:p w14:paraId="7C06F133" w14:textId="38447A3D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O valor da economia obtida é ainda maior se comparada ao cenário de judicialização. Sendo desconhecidos outros estudos que demonstrem o custo médio do processo judicial, em especial </w:t>
      </w:r>
      <w:r w:rsidRPr="00F00C3D">
        <w:rPr>
          <w:noProof/>
        </w:rPr>
        <w:lastRenderedPageBreak/>
        <w:t>no Estado do Amazonas, adotou-se o valor estimado no Relatório de Pesquisa denominado “Custo Unitário do Processo de Execução Fiscal na Justiça Federal” (DIEST, IPEA, DPJ, CNJ; 2011), por analogia. De acordo com tal relatório, o custo médio total do Processo de Execução Fiscal Médio, exceto embargos e recursos, é de R$ 4.368,00 (relatório expedido no ano de 2011). Portanto, adotando-se tal número e multiplicando-se o mesmo pelo número de acordos celebrados, tem-se que somente a economia gerada com a não judicialização de processos contenciosos foi de R$ 205.296,00.</w:t>
      </w:r>
    </w:p>
    <w:p w14:paraId="54419BC3" w14:textId="5C709425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Assim, a economia comparada ao cenário de judicialização, resultado da soma da </w:t>
      </w:r>
      <w:r w:rsidR="00BB709C">
        <w:rPr>
          <w:noProof/>
        </w:rPr>
        <w:t>redução direta da dívida pública</w:t>
      </w:r>
      <w:r w:rsidRPr="00F00C3D">
        <w:rPr>
          <w:noProof/>
        </w:rPr>
        <w:t xml:space="preserve"> obtida (em valores históricos) e a economia gerada com o não ajuizamento de processos contenciosos</w:t>
      </w:r>
      <w:r w:rsidR="00BB709C">
        <w:rPr>
          <w:noProof/>
        </w:rPr>
        <w:t>,</w:t>
      </w:r>
      <w:r w:rsidRPr="00F00C3D">
        <w:rPr>
          <w:noProof/>
        </w:rPr>
        <w:t xml:space="preserve"> chegou, no primeiro quadrimestre de 2022 , a R$ 763.272,23.</w:t>
      </w:r>
    </w:p>
    <w:p w14:paraId="4F418E57" w14:textId="65F03D82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Outro ponto a ser destacado é o de que, no primeiro quadrimestre de 2022, o tempo médio estimado de tramitação de um processo na Primeira CPRAC, da instauração à homologação do acordo, foi de 37 dias corridos. Por fim, registra-se que a média de acordos celebrados em relação aos efetivamente ofertados, excluídas as abstenções às sessões de autocomposição marcadas, foi de 100% no primeiro quadrimestre de 2022. Tais números estão disponíveis no Relatório Quadrimestral de Gestão da Primeira Câmara de Prevenção e Resolução Administrativa de Conflitos relativo ao primeiro quadrimestre de 2022.</w:t>
      </w:r>
    </w:p>
    <w:p w14:paraId="717FFD8E" w14:textId="26167EA8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No segundo quadrimestre de 2022 foram celebrados 433 acordos, que geraram uma redução direta da dívida pública de R$ 2.180.017,87, em valores históricos (desprezada, repita-se, a economia obtida com juros, correção monetária e demais verbas sucumbenciais).</w:t>
      </w:r>
    </w:p>
    <w:p w14:paraId="7D7DCBC0" w14:textId="03AD404E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Adotando-se o mesmo valor estimado no Relatório de Pesquisa denominado “Custo Unitário do Processo de Execução Fiscal na Justiça Federal” (R$ 4.368,00) e multiplicando-se o mesmo pelo número de acordos celebrados, tem-se que a não judicialização dos processos contenciosos gerou, no segundo quadrimestre, uma economia de R$ 1.891.344,00.</w:t>
      </w:r>
    </w:p>
    <w:p w14:paraId="29B2CEE6" w14:textId="5050CAC8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Assim, a economia comparada ao cenário de judicialização, resultado da soma da redução direta da dívida pública (em valores históricos) e </w:t>
      </w:r>
      <w:r w:rsidR="00E818A6">
        <w:rPr>
          <w:noProof/>
        </w:rPr>
        <w:t>d</w:t>
      </w:r>
      <w:r w:rsidRPr="00F00C3D">
        <w:rPr>
          <w:noProof/>
        </w:rPr>
        <w:t>a economia gerada com o não ajuizamento de processos contenciosos, no segundo quadrimestre de 2022, foi superior a quatro milhões de reais, chegando a R$ 4.115.041,87 por força de renúncias posteriores das partes a valores que ultrapassavam o limite das Requisições de Pequeno Valor.</w:t>
      </w:r>
    </w:p>
    <w:p w14:paraId="5C14D8D0" w14:textId="46803146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O tempo médio estimado de tramitação de um processo na Primeira CPRAC no segundo quadrimestre de 2022, da instauração à homologação do acordo, foi de 125 dias corridos. Por fim, registra-se que a média de acordos celebrados em relação aos efetivamente ofertados, excluídas as abstenções às sessões de autocomposição marcadas, foi de 99% no segundo quadrimestre de 2022. </w:t>
      </w:r>
      <w:r w:rsidRPr="00F00C3D">
        <w:rPr>
          <w:noProof/>
        </w:rPr>
        <w:lastRenderedPageBreak/>
        <w:t>Tais números estão disponíveis no Relatório Quadrimestral de Gestão da Primeira Câmara de Prevenção e Resolução Administrativa de Conflitos relativo ao segundo quadrimestre de 2022.</w:t>
      </w:r>
    </w:p>
    <w:p w14:paraId="1EA606B0" w14:textId="2F759447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No terceiro quadrimestre de 2022 foram celebrados 365 acordos, que geraram uma redução direta da dívida pública de R$ 1.014.346,74, em valores históricos (desprezada, </w:t>
      </w:r>
      <w:r w:rsidR="00C215B7">
        <w:rPr>
          <w:noProof/>
        </w:rPr>
        <w:t>mais uma vez se esclarece</w:t>
      </w:r>
      <w:r w:rsidRPr="00F00C3D">
        <w:rPr>
          <w:noProof/>
        </w:rPr>
        <w:t xml:space="preserve">, a economia obtida com juros, correção monetária e demais verbas sucumbenciais). No mesmo período, foi celebrada a Semana Nacional de Conciliação, resultando em uma economia ainda maior, advinda seja do decote dos valores requeridos pelas partes em suas exordiais, seja da redução dos valores das sentenças condenatórias. </w:t>
      </w:r>
    </w:p>
    <w:p w14:paraId="102F48EC" w14:textId="652A79AA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Adotando-se o valor estimado no Relatório de Pesquisa denominado “Custo Unitário do Processo de Execução Fiscal na Justiça Federal” (R$ 4.368,00) e multiplicando-se o mesmo pelo número de acordos celebrados, tem-se que a não judicialização dos processos contenciosos gerou, no terceiro quadrimestre, uma economia de R$ 1.594.320,00.</w:t>
      </w:r>
    </w:p>
    <w:p w14:paraId="7E727948" w14:textId="0A455508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Assim, a economia comparada ao cenário de judicialização, resultado da soma da redução direta da dívida pública (em valores históricos), da economia gerada com o não ajuizamento de processos contenciosos e das reduções específicas da Semana Nacional de Conciliação, no terceiro quadrimestre de 2022, chegou a R$ 4.785.026,76.</w:t>
      </w:r>
    </w:p>
    <w:p w14:paraId="46E673C0" w14:textId="4A7257DB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O tempo médio estimado de tramitação de um processo na Primeira CPRAC no terceiro quadrimestre de 2022, da instauração à homologação do acordo, foi de 245 dias corridos. Por fim, registra-se que a média de acordos celebrados em relação aos efetivamente ofertados, excluídas as abstenções às sessões de autocomposição marcadas, foi de 99% no terceiro quadrimestre de 2022. Tais números estão disponíveis no Relatório Quadrimestral de Gestão da Primeira Câmara de Prevenção e Resolução Administrativa de Conflitos relativo ao terceiro quadrimestre de 2022.</w:t>
      </w:r>
    </w:p>
    <w:p w14:paraId="367AF086" w14:textId="305F60C1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Já no primeiro quadrimestre de 2023 foram celebrados 283 acordos, que geraram uma redução direta da dívida pública de R$ 916.497,53, em valores históricos (desprezada a economia obtida com juros, correção monetária e demais verbas sucumbenciais).</w:t>
      </w:r>
    </w:p>
    <w:p w14:paraId="1F61F01E" w14:textId="3809329A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Adotando-se o valor estimado no Relatório de Pesquisa denominado “Custo Unitário do Processo de Execução Fiscal na Justiça Federal” (R$ 4.368,00) e multiplicando-se o mesmo pelo número de acordos celebrados, tem-se que a não judicialização dos processos contenciosos gerou, no primeiro quadrimestre de 2023, uma economia de R$ 1.236.144,00.</w:t>
      </w:r>
    </w:p>
    <w:p w14:paraId="5786399C" w14:textId="52C6E994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Assim, a economia comparada ao cenário de judicialização, resultado da soma da redução direta da dívida pública (em valores históricos), da economia gerada com o não ajuizamento de processos contenciosos e de eventuais renúncias posteriores, no primeiro quadrimestre de 2023, chegou a R$ 2.198.336,89.</w:t>
      </w:r>
    </w:p>
    <w:p w14:paraId="776187F5" w14:textId="560FA67A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lastRenderedPageBreak/>
        <w:t>O tempo médio estimado de tramitação de um processo na Primeira CPRAC no primeiro quadrimestre de 2023, da instauração à homologação do acordo, foi de 261 dias corridos. Por fim, registra-se que a média de acordos celebrados em relação aos efetivamente ofertados, excluídas as abstenções às sessões de autocomposição marcadas, foi de 99% no primeiro quadrimestre de 2023. Tais números estão disponíveis no Relatório Quadrimestral de Gestão da Primeira Câmara de Prevenção e Resolução Administrativa de Conflitos relativo ao primeiro quadrimestre de 2023.</w:t>
      </w:r>
    </w:p>
    <w:p w14:paraId="54944B5B" w14:textId="7F9EDF4A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Do exposto, depreende-se que o quantitativo de acordos celebrados pela Primeira CPRAC nos quatro primeiros quadrimestres de sua implementação pode ser sintetizado no seguinte gráfico:</w:t>
      </w:r>
    </w:p>
    <w:p w14:paraId="37FE6E81" w14:textId="6D4EB40A" w:rsidR="2F1E9053" w:rsidRPr="00F00C3D" w:rsidRDefault="009143AD" w:rsidP="009143AD">
      <w:pPr>
        <w:pStyle w:val="NormalWeb"/>
        <w:spacing w:before="0" w:beforeAutospacing="0" w:after="0" w:afterAutospacing="0" w:line="360" w:lineRule="auto"/>
        <w:jc w:val="both"/>
        <w:rPr>
          <w:noProof/>
        </w:rPr>
      </w:pPr>
      <w:r w:rsidRPr="00F00C3D">
        <w:rPr>
          <w:noProof/>
        </w:rPr>
        <w:drawing>
          <wp:inline distT="0" distB="0" distL="0" distR="0" wp14:anchorId="7F5DE40E" wp14:editId="49EA8DCE">
            <wp:extent cx="6120130" cy="3681730"/>
            <wp:effectExtent l="0" t="0" r="0" b="0"/>
            <wp:docPr id="6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8CE6594A-B1E3-653A-9864-A7E91E1C97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5">
                      <a:extLst>
                        <a:ext uri="{FF2B5EF4-FFF2-40B4-BE49-F238E27FC236}">
                          <a16:creationId xmlns:a16="http://schemas.microsoft.com/office/drawing/2014/main" id="{8CE6594A-B1E3-653A-9864-A7E91E1C97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3260" w14:textId="7E5F32BB" w:rsidR="2F1E9053" w:rsidRPr="00F00C3D" w:rsidRDefault="2F1E9053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</w:p>
    <w:p w14:paraId="3550984A" w14:textId="72F3611A" w:rsidR="00AC5BF7" w:rsidRPr="00F00C3D" w:rsidRDefault="00AC5BF7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Por sua vez, o percentual de acordos aceitos em relação às ausências e aos acordos rejeitados no período pode ser assim ilustrado:</w:t>
      </w:r>
    </w:p>
    <w:p w14:paraId="3CF03A9C" w14:textId="77777777" w:rsidR="00AC5BF7" w:rsidRPr="00F00C3D" w:rsidRDefault="00AC5BF7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</w:p>
    <w:p w14:paraId="506F199B" w14:textId="4353929C" w:rsidR="00AC5BF7" w:rsidRPr="00F00C3D" w:rsidRDefault="00AC5BF7" w:rsidP="00AC5BF7">
      <w:pPr>
        <w:pStyle w:val="NormalWeb"/>
        <w:spacing w:before="0" w:beforeAutospacing="0" w:after="0" w:afterAutospacing="0" w:line="360" w:lineRule="auto"/>
        <w:jc w:val="center"/>
        <w:rPr>
          <w:noProof/>
        </w:rPr>
      </w:pPr>
      <w:r w:rsidRPr="00F00C3D">
        <w:rPr>
          <w:noProof/>
        </w:rPr>
        <w:lastRenderedPageBreak/>
        <w:drawing>
          <wp:inline distT="0" distB="0" distL="0" distR="0" wp14:anchorId="782C3513" wp14:editId="52FD01E7">
            <wp:extent cx="4397121" cy="3444538"/>
            <wp:effectExtent l="0" t="0" r="3810" b="3810"/>
            <wp:docPr id="12257785" name="Imagem 1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785" name="Imagem 1" descr="Gráfico, Gráfico de pizz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4890D" w14:textId="77777777" w:rsidR="00AC5BF7" w:rsidRPr="00F00C3D" w:rsidRDefault="00AC5BF7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</w:p>
    <w:p w14:paraId="474C3065" w14:textId="3877BA37" w:rsidR="2F1E9053" w:rsidRPr="00F00C3D" w:rsidRDefault="004A1719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E, por fim, a economia</w:t>
      </w:r>
      <w:r w:rsidR="00A21BFA" w:rsidRPr="00F00C3D">
        <w:rPr>
          <w:noProof/>
        </w:rPr>
        <w:t xml:space="preserve"> ao erário amazonense</w:t>
      </w:r>
      <w:r w:rsidRPr="00F00C3D">
        <w:rPr>
          <w:noProof/>
        </w:rPr>
        <w:t xml:space="preserve"> obtida pela atuação da Primeira CPRAC, em valores históricos (desprezada a economia obtida com juros, correção monetária e verbas sucumbenciais) nos quatro primeiros quadrimestres de funcionamento pode ser visualizada no gráfico a seguir:</w:t>
      </w:r>
    </w:p>
    <w:p w14:paraId="266C16CA" w14:textId="556C94ED" w:rsidR="000F5CDC" w:rsidRPr="00F00C3D" w:rsidRDefault="000F5CDC" w:rsidP="000F5CDC">
      <w:pPr>
        <w:pStyle w:val="NormalWeb"/>
        <w:spacing w:before="0" w:beforeAutospacing="0" w:after="0" w:afterAutospacing="0" w:line="360" w:lineRule="auto"/>
        <w:jc w:val="both"/>
        <w:rPr>
          <w:noProof/>
        </w:rPr>
      </w:pPr>
      <w:r w:rsidRPr="00F00C3D">
        <w:rPr>
          <w:noProof/>
        </w:rPr>
        <w:drawing>
          <wp:inline distT="0" distB="0" distL="0" distR="0" wp14:anchorId="419A3B90" wp14:editId="4AF5E725">
            <wp:extent cx="6120130" cy="3313430"/>
            <wp:effectExtent l="0" t="0" r="0" b="8255"/>
            <wp:docPr id="805329328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29328" name="Imagem 1" descr="Gráfico, Gráfico de barras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C197" w14:textId="77777777" w:rsidR="004A1719" w:rsidRPr="00F00C3D" w:rsidRDefault="004A1719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</w:p>
    <w:p w14:paraId="4BFAB61B" w14:textId="163D998D" w:rsidR="000F5CDC" w:rsidRPr="00F00C3D" w:rsidRDefault="00A21BFA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lastRenderedPageBreak/>
        <w:t>Demais números de relevância</w:t>
      </w:r>
      <w:r w:rsidR="00231BE7" w:rsidRPr="00F00C3D">
        <w:rPr>
          <w:noProof/>
        </w:rPr>
        <w:t xml:space="preserve"> relativos aos quatro primeiros quadrimestres de funcionamento da Primeira CPRAC, em conjunto com os apresentados acima, todos encontrados nos respectivos Relatórios Quadrimestrais de Gestão, podem ser sintetizados no seguinte quadro:</w:t>
      </w:r>
    </w:p>
    <w:p w14:paraId="30676946" w14:textId="77777777" w:rsidR="00231BE7" w:rsidRPr="00F00C3D" w:rsidRDefault="00231BE7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</w:p>
    <w:p w14:paraId="156F6B93" w14:textId="449EEF0C" w:rsidR="00231BE7" w:rsidRPr="00F00C3D" w:rsidRDefault="00231BE7" w:rsidP="00231BE7">
      <w:pPr>
        <w:pStyle w:val="NormalWeb"/>
        <w:spacing w:before="0" w:beforeAutospacing="0" w:after="0" w:afterAutospacing="0" w:line="360" w:lineRule="auto"/>
        <w:jc w:val="both"/>
        <w:rPr>
          <w:noProof/>
        </w:rPr>
      </w:pPr>
      <w:r w:rsidRPr="00F00C3D">
        <w:rPr>
          <w:noProof/>
        </w:rPr>
        <w:drawing>
          <wp:inline distT="0" distB="0" distL="0" distR="0" wp14:anchorId="4C1650CB" wp14:editId="1C403EB2">
            <wp:extent cx="6120130" cy="4326890"/>
            <wp:effectExtent l="0" t="0" r="0" b="0"/>
            <wp:docPr id="1521804818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04818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A1F4A" w14:textId="77777777" w:rsidR="004A1719" w:rsidRPr="00F00C3D" w:rsidRDefault="004A1719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</w:p>
    <w:p w14:paraId="56EC7256" w14:textId="0B2A2C01" w:rsidR="00B358B1" w:rsidRPr="00F00C3D" w:rsidRDefault="00231BE7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É importante apontar que</w:t>
      </w:r>
      <w:r w:rsidR="00BC0851" w:rsidRPr="00F00C3D">
        <w:rPr>
          <w:noProof/>
        </w:rPr>
        <w:t xml:space="preserve">, apesar de ainda estar em curso o segundo quadrimestre do ano de 2023 quando da redação do presente artigo, de forma que ainda não se dispõe de números consolidados, </w:t>
      </w:r>
      <w:r w:rsidRPr="00F00C3D">
        <w:rPr>
          <w:noProof/>
        </w:rPr>
        <w:t>a recente institucionalização da política de cooperação com o Poder Judiciário para a realização de sessões de autocomposição</w:t>
      </w:r>
      <w:r w:rsidR="00B358B1" w:rsidRPr="00F00C3D">
        <w:rPr>
          <w:noProof/>
        </w:rPr>
        <w:t xml:space="preserve"> e redução da litigiosidade</w:t>
      </w:r>
      <w:r w:rsidR="00BC0851" w:rsidRPr="00F00C3D">
        <w:rPr>
          <w:noProof/>
        </w:rPr>
        <w:t xml:space="preserve"> tem </w:t>
      </w:r>
      <w:r w:rsidR="00B358B1" w:rsidRPr="00F00C3D">
        <w:rPr>
          <w:noProof/>
        </w:rPr>
        <w:t>contribuído para um claro impulsionamento rumo ao Novo Direito Administrativo Sustentável, em seu traço da resolução consensual de conflitos.</w:t>
      </w:r>
    </w:p>
    <w:p w14:paraId="149A79ED" w14:textId="37862028" w:rsidR="00231BE7" w:rsidRPr="00F00C3D" w:rsidRDefault="00B358B1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De fato, durante a primeira semana de mutirão do corrente ano, realizada de 12 a 16 de junho, foram celebrados 597 acordos, sendo 461 pré-processuais e 136 em demandas já judicializadas.</w:t>
      </w:r>
    </w:p>
    <w:p w14:paraId="3A34EEB8" w14:textId="51029B6E" w:rsidR="00B358B1" w:rsidRPr="00F00C3D" w:rsidRDefault="00B358B1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>Na segunda semana de mutirão de 2023, ocorrida entre 10 a 15 de junho, foram celebrados 83 acordos, sendo 63 negociações pré-processuais e 20 conciliações em processos judiciais em curso.</w:t>
      </w:r>
    </w:p>
    <w:p w14:paraId="43C7BCEF" w14:textId="7624CFE7" w:rsidR="00B358B1" w:rsidRPr="00F00C3D" w:rsidRDefault="00B358B1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lastRenderedPageBreak/>
        <w:t xml:space="preserve">Na terceira semana, </w:t>
      </w:r>
      <w:r w:rsidR="001A421B" w:rsidRPr="00F00C3D">
        <w:rPr>
          <w:noProof/>
        </w:rPr>
        <w:t>que teve lugar entre 17 a 21 de julho de 2023, foram celebrados 354 acordos, sendo 267 frutos de negociações pré-processuais e 87 resultantes de conciliações em demandas judicializadas.</w:t>
      </w:r>
    </w:p>
    <w:p w14:paraId="6BA2B9FE" w14:textId="113343E6" w:rsidR="001A421B" w:rsidRPr="00F00C3D" w:rsidRDefault="001A421B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Vê-se, pois, </w:t>
      </w:r>
      <w:r w:rsidR="00B939AD" w:rsidRPr="00F00C3D">
        <w:rPr>
          <w:noProof/>
        </w:rPr>
        <w:t>que em apenas três edições dos mutirões em regime de cooperação foi possível celebrar 1.034 acordos – quase o número total dos quatro quadrimestres anteriores.</w:t>
      </w:r>
    </w:p>
    <w:p w14:paraId="514C49F5" w14:textId="279D0C59" w:rsidR="00B939AD" w:rsidRPr="00F00C3D" w:rsidRDefault="00B939AD" w:rsidP="2F1E9053">
      <w:pPr>
        <w:pStyle w:val="NormalWeb"/>
        <w:spacing w:before="0" w:beforeAutospacing="0" w:after="0" w:afterAutospacing="0" w:line="360" w:lineRule="auto"/>
        <w:ind w:firstLine="1134"/>
        <w:jc w:val="both"/>
        <w:rPr>
          <w:noProof/>
        </w:rPr>
      </w:pPr>
      <w:r w:rsidRPr="00F00C3D">
        <w:rPr>
          <w:noProof/>
        </w:rPr>
        <w:t xml:space="preserve">Portanto, depreende-se que a atuação da Advocacia Pública rumo a um Novo Direito Administrativo Sustentável passa: (i) pelo investimento consciente e intencional em </w:t>
      </w:r>
      <w:r w:rsidR="00C91E31" w:rsidRPr="00F00C3D">
        <w:rPr>
          <w:noProof/>
        </w:rPr>
        <w:t>soluções autocompositivas</w:t>
      </w:r>
      <w:r w:rsidRPr="00F00C3D">
        <w:rPr>
          <w:noProof/>
        </w:rPr>
        <w:t xml:space="preserve">, </w:t>
      </w:r>
      <w:r w:rsidR="00C91E31" w:rsidRPr="00F00C3D">
        <w:rPr>
          <w:noProof/>
        </w:rPr>
        <w:t xml:space="preserve">buscando ativamente a </w:t>
      </w:r>
      <w:r w:rsidRPr="00F00C3D">
        <w:rPr>
          <w:noProof/>
        </w:rPr>
        <w:t xml:space="preserve">criação de Câmaras </w:t>
      </w:r>
      <w:r w:rsidR="00C91E31" w:rsidRPr="00F00C3D">
        <w:rPr>
          <w:noProof/>
        </w:rPr>
        <w:t>de Prevenção e Resolução Administrativa de Conflitos no âmbito das respectivas Procuradorias; (ii) pela promoção da cooperação entre os sujeitos do processo; (iii) pelo aperfeiçoamento, racionalização e desburocratização d</w:t>
      </w:r>
      <w:r w:rsidR="008C4658" w:rsidRPr="00F00C3D">
        <w:rPr>
          <w:noProof/>
        </w:rPr>
        <w:t>os métodos</w:t>
      </w:r>
      <w:r w:rsidR="00C91E31" w:rsidRPr="00F00C3D">
        <w:rPr>
          <w:noProof/>
        </w:rPr>
        <w:t xml:space="preserve"> </w:t>
      </w:r>
      <w:r w:rsidR="008C4658" w:rsidRPr="00F00C3D">
        <w:rPr>
          <w:noProof/>
        </w:rPr>
        <w:t>autocompositivos</w:t>
      </w:r>
      <w:r w:rsidR="00450358" w:rsidRPr="00F00C3D">
        <w:rPr>
          <w:noProof/>
        </w:rPr>
        <w:t xml:space="preserve">, garantindo ao administrado amplo acesso às Câmaras e </w:t>
      </w:r>
      <w:r w:rsidR="00574CAD" w:rsidRPr="00F00C3D">
        <w:rPr>
          <w:noProof/>
        </w:rPr>
        <w:t>segurança jurídica no tratamento a ser recebido; e (iv) por uma atuação que foque não na repressão, mas na prevenção do conflito ou em sua célere resolução.</w:t>
      </w:r>
      <w:r w:rsidR="00C91E31" w:rsidRPr="00F00C3D">
        <w:rPr>
          <w:noProof/>
        </w:rPr>
        <w:t xml:space="preserve"> </w:t>
      </w:r>
    </w:p>
    <w:p w14:paraId="2663B4BF" w14:textId="77777777" w:rsidR="00764884" w:rsidRPr="00F00C3D" w:rsidRDefault="00764884" w:rsidP="2F1E9053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1134"/>
        <w:jc w:val="both"/>
        <w:rPr>
          <w:noProof/>
          <w:shd w:val="clear" w:color="auto" w:fill="FFFFFF"/>
        </w:rPr>
      </w:pPr>
    </w:p>
    <w:p w14:paraId="5A19D548" w14:textId="77777777" w:rsidR="00653B9F" w:rsidRPr="00F00C3D" w:rsidRDefault="00653B9F" w:rsidP="008F095C">
      <w:pPr>
        <w:pStyle w:val="TtulosdasPartesdoArtigo"/>
      </w:pPr>
      <w:r w:rsidRPr="00F00C3D">
        <w:t>5 con</w:t>
      </w:r>
      <w:bookmarkEnd w:id="3"/>
      <w:bookmarkEnd w:id="4"/>
      <w:bookmarkEnd w:id="5"/>
      <w:r w:rsidRPr="00F00C3D">
        <w:t xml:space="preserve">SIDERAÇÕES FINAIS </w:t>
      </w:r>
    </w:p>
    <w:p w14:paraId="2C181974" w14:textId="3E47CDCB" w:rsidR="00D06214" w:rsidRPr="00F00C3D" w:rsidRDefault="00D06214" w:rsidP="008F095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Embora a Constituição Federal de 1988 tenha deixado clara, enquanto “princípio fundamental”, a valorização da livre iniciativa no desempenho das atividades econômicas, também prescreve</w:t>
      </w:r>
      <w:r w:rsidR="009D2636" w:rsidRPr="00F00C3D">
        <w:rPr>
          <w:rFonts w:ascii="Times New Roman" w:hAnsi="Times New Roman" w:cs="Times New Roman"/>
          <w:sz w:val="24"/>
          <w:szCs w:val="24"/>
        </w:rPr>
        <w:t xml:space="preserve">u os </w:t>
      </w:r>
      <w:r w:rsidRPr="00F00C3D">
        <w:rPr>
          <w:rFonts w:ascii="Times New Roman" w:hAnsi="Times New Roman" w:cs="Times New Roman"/>
          <w:sz w:val="24"/>
          <w:szCs w:val="24"/>
        </w:rPr>
        <w:t xml:space="preserve">imperativos da justiça social (art. 170, </w:t>
      </w:r>
      <w:r w:rsidRPr="00F00C3D">
        <w:rPr>
          <w:rFonts w:ascii="Times New Roman" w:hAnsi="Times New Roman" w:cs="Times New Roman"/>
          <w:i/>
          <w:sz w:val="24"/>
          <w:szCs w:val="24"/>
        </w:rPr>
        <w:t>caput</w:t>
      </w:r>
      <w:r w:rsidRPr="00F00C3D">
        <w:rPr>
          <w:rFonts w:ascii="Times New Roman" w:hAnsi="Times New Roman" w:cs="Times New Roman"/>
          <w:sz w:val="24"/>
          <w:szCs w:val="24"/>
        </w:rPr>
        <w:t xml:space="preserve">, da CF), </w:t>
      </w:r>
      <w:r w:rsidR="009D2636" w:rsidRPr="00F00C3D">
        <w:rPr>
          <w:rFonts w:ascii="Times New Roman" w:hAnsi="Times New Roman" w:cs="Times New Roman"/>
          <w:sz w:val="24"/>
          <w:szCs w:val="24"/>
        </w:rPr>
        <w:t xml:space="preserve">como </w:t>
      </w:r>
      <w:r w:rsidRPr="00F00C3D">
        <w:rPr>
          <w:rFonts w:ascii="Times New Roman" w:hAnsi="Times New Roman" w:cs="Times New Roman"/>
          <w:sz w:val="24"/>
          <w:szCs w:val="24"/>
        </w:rPr>
        <w:t xml:space="preserve">marco referencial para o Estado. Neste último ponto, se pode destacar que os fundamentos da intervenção estatal, em prol da realização da justiça social, estão relacionados à percepção do legislador constituinte de que algumas atividades não </w:t>
      </w:r>
      <w:r w:rsidR="009D2636" w:rsidRPr="00F00C3D">
        <w:rPr>
          <w:rFonts w:ascii="Times New Roman" w:hAnsi="Times New Roman" w:cs="Times New Roman"/>
          <w:sz w:val="24"/>
          <w:szCs w:val="24"/>
        </w:rPr>
        <w:t xml:space="preserve">permitem </w:t>
      </w:r>
      <w:r w:rsidRPr="00F00C3D">
        <w:rPr>
          <w:rFonts w:ascii="Times New Roman" w:hAnsi="Times New Roman" w:cs="Times New Roman"/>
          <w:sz w:val="24"/>
          <w:szCs w:val="24"/>
        </w:rPr>
        <w:t xml:space="preserve">a estruturação e a prestação voltadas somente ao objetivo de lucro, mas </w:t>
      </w:r>
      <w:r w:rsidR="009D2636" w:rsidRPr="00F00C3D">
        <w:rPr>
          <w:rFonts w:ascii="Times New Roman" w:hAnsi="Times New Roman" w:cs="Times New Roman"/>
          <w:sz w:val="24"/>
          <w:szCs w:val="24"/>
        </w:rPr>
        <w:t xml:space="preserve">que </w:t>
      </w:r>
      <w:r w:rsidRPr="00F00C3D">
        <w:rPr>
          <w:rFonts w:ascii="Times New Roman" w:hAnsi="Times New Roman" w:cs="Times New Roman"/>
          <w:sz w:val="24"/>
          <w:szCs w:val="24"/>
        </w:rPr>
        <w:t xml:space="preserve">possuem como objetivo atender ao interesse público (art. 3º, </w:t>
      </w:r>
      <w:r w:rsidRPr="00F00C3D">
        <w:rPr>
          <w:rFonts w:ascii="Times New Roman" w:hAnsi="Times New Roman" w:cs="Times New Roman"/>
          <w:i/>
          <w:sz w:val="24"/>
          <w:szCs w:val="24"/>
        </w:rPr>
        <w:t>caput</w:t>
      </w:r>
      <w:r w:rsidRPr="00F00C3D">
        <w:rPr>
          <w:rFonts w:ascii="Times New Roman" w:hAnsi="Times New Roman" w:cs="Times New Roman"/>
          <w:sz w:val="24"/>
          <w:szCs w:val="24"/>
        </w:rPr>
        <w:t>, da CF).</w:t>
      </w:r>
    </w:p>
    <w:p w14:paraId="33953901" w14:textId="77777777" w:rsidR="00E7304E" w:rsidRPr="00F00C3D" w:rsidRDefault="00D06214" w:rsidP="00D06214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A nova gestão pública consiste em fazer com que os agentes públicos não atuem, exclusivamente, por simples conformidade com regras burocráticas, mas de modo a maximizar os resultados, respeitando as expectativas da sociedade. Isso pressupõe que as unidades administrativas sejam responsáveis pela sua produção específica, possuindo certa discricionariedade</w:t>
      </w:r>
      <w:r w:rsidR="00E7304E"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 xml:space="preserve">na realização de seus projetos. Cada entidade passa a ser autônoma e responsável </w:t>
      </w:r>
      <w:r w:rsidR="00E7304E" w:rsidRPr="00F00C3D">
        <w:rPr>
          <w:rFonts w:ascii="Times New Roman" w:hAnsi="Times New Roman" w:cs="Times New Roman"/>
          <w:sz w:val="24"/>
          <w:szCs w:val="24"/>
        </w:rPr>
        <w:t xml:space="preserve">pela </w:t>
      </w:r>
      <w:r w:rsidRPr="00F00C3D">
        <w:rPr>
          <w:rFonts w:ascii="Times New Roman" w:hAnsi="Times New Roman" w:cs="Times New Roman"/>
          <w:sz w:val="24"/>
          <w:szCs w:val="24"/>
        </w:rPr>
        <w:t xml:space="preserve">realização </w:t>
      </w:r>
      <w:r w:rsidR="00E7304E" w:rsidRPr="00F00C3D">
        <w:rPr>
          <w:rFonts w:ascii="Times New Roman" w:hAnsi="Times New Roman" w:cs="Times New Roman"/>
          <w:sz w:val="24"/>
          <w:szCs w:val="24"/>
        </w:rPr>
        <w:t xml:space="preserve">de suas </w:t>
      </w:r>
      <w:r w:rsidRPr="00F00C3D">
        <w:rPr>
          <w:rFonts w:ascii="Times New Roman" w:hAnsi="Times New Roman" w:cs="Times New Roman"/>
          <w:sz w:val="24"/>
          <w:szCs w:val="24"/>
        </w:rPr>
        <w:t>metas</w:t>
      </w:r>
      <w:r w:rsidR="00E7304E" w:rsidRPr="00F00C3D">
        <w:rPr>
          <w:rFonts w:ascii="Times New Roman" w:hAnsi="Times New Roman" w:cs="Times New Roman"/>
          <w:sz w:val="24"/>
          <w:szCs w:val="24"/>
        </w:rPr>
        <w:t>.</w:t>
      </w:r>
    </w:p>
    <w:p w14:paraId="7EB8A83C" w14:textId="77777777" w:rsidR="00D06214" w:rsidRPr="00F00C3D" w:rsidRDefault="00D06214" w:rsidP="00D06214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Essa busca permanente pela eficiência, eficácia e economicidade pode ser potencializada quando submetida a uma pressão constante e objetivada, que pesará sobre os agentes públicos, em todos os níveis, de tal modo </w:t>
      </w:r>
      <w:r w:rsidR="00E7304E" w:rsidRPr="00F00C3D">
        <w:rPr>
          <w:rFonts w:ascii="Times New Roman" w:hAnsi="Times New Roman" w:cs="Times New Roman"/>
          <w:sz w:val="24"/>
          <w:szCs w:val="24"/>
        </w:rPr>
        <w:t xml:space="preserve">atuem para </w:t>
      </w:r>
      <w:r w:rsidRPr="00F00C3D">
        <w:rPr>
          <w:rFonts w:ascii="Times New Roman" w:hAnsi="Times New Roman" w:cs="Times New Roman"/>
          <w:sz w:val="24"/>
          <w:szCs w:val="24"/>
        </w:rPr>
        <w:t>atingir objetivos de interesse público sem descuidar de sua sustentabilidade e do resultado econômico.</w:t>
      </w:r>
    </w:p>
    <w:p w14:paraId="0D1B13F0" w14:textId="691A2820" w:rsidR="00E7304E" w:rsidRPr="00F00C3D" w:rsidRDefault="00E7304E" w:rsidP="00D06214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Na experiencia aqui trazida, pudemos concluir que</w:t>
      </w:r>
      <w:r w:rsidR="003E63E6">
        <w:rPr>
          <w:rFonts w:ascii="Times New Roman" w:hAnsi="Times New Roman" w:cs="Times New Roman"/>
          <w:sz w:val="24"/>
          <w:szCs w:val="24"/>
        </w:rPr>
        <w:t xml:space="preserve"> se</w:t>
      </w:r>
      <w:r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446C3C" w:rsidRPr="00F00C3D">
        <w:rPr>
          <w:rFonts w:ascii="Times New Roman" w:hAnsi="Times New Roman" w:cs="Times New Roman"/>
          <w:sz w:val="24"/>
          <w:szCs w:val="24"/>
        </w:rPr>
        <w:t>deu</w:t>
      </w:r>
      <w:r w:rsidRPr="00F00C3D">
        <w:rPr>
          <w:rFonts w:ascii="Times New Roman" w:hAnsi="Times New Roman" w:cs="Times New Roman"/>
          <w:sz w:val="24"/>
          <w:szCs w:val="24"/>
        </w:rPr>
        <w:t xml:space="preserve"> ênfase ao </w:t>
      </w:r>
      <w:r w:rsidR="00D06214" w:rsidRPr="00F00C3D">
        <w:rPr>
          <w:rFonts w:ascii="Times New Roman" w:hAnsi="Times New Roman" w:cs="Times New Roman"/>
          <w:sz w:val="24"/>
          <w:szCs w:val="24"/>
        </w:rPr>
        <w:t>desempenho</w:t>
      </w:r>
      <w:r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D06214" w:rsidRPr="00F00C3D">
        <w:rPr>
          <w:rFonts w:ascii="Times New Roman" w:hAnsi="Times New Roman" w:cs="Times New Roman"/>
          <w:sz w:val="24"/>
          <w:szCs w:val="24"/>
        </w:rPr>
        <w:t>de qualidade</w:t>
      </w:r>
      <w:r w:rsidRPr="00F00C3D">
        <w:rPr>
          <w:rFonts w:ascii="Times New Roman" w:hAnsi="Times New Roman" w:cs="Times New Roman"/>
          <w:sz w:val="24"/>
          <w:szCs w:val="24"/>
        </w:rPr>
        <w:t xml:space="preserve"> com satisfatória resolução do</w:t>
      </w:r>
      <w:r w:rsidR="003E63E6">
        <w:rPr>
          <w:rFonts w:ascii="Times New Roman" w:hAnsi="Times New Roman" w:cs="Times New Roman"/>
          <w:sz w:val="24"/>
          <w:szCs w:val="24"/>
        </w:rPr>
        <w:t>s</w:t>
      </w:r>
      <w:r w:rsidRPr="00F00C3D">
        <w:rPr>
          <w:rFonts w:ascii="Times New Roman" w:hAnsi="Times New Roman" w:cs="Times New Roman"/>
          <w:sz w:val="24"/>
          <w:szCs w:val="24"/>
        </w:rPr>
        <w:t xml:space="preserve"> conflito</w:t>
      </w:r>
      <w:r w:rsidR="003E63E6">
        <w:rPr>
          <w:rFonts w:ascii="Times New Roman" w:hAnsi="Times New Roman" w:cs="Times New Roman"/>
          <w:sz w:val="24"/>
          <w:szCs w:val="24"/>
        </w:rPr>
        <w:t>s</w:t>
      </w:r>
      <w:r w:rsidRPr="00F00C3D">
        <w:rPr>
          <w:rFonts w:ascii="Times New Roman" w:hAnsi="Times New Roman" w:cs="Times New Roman"/>
          <w:sz w:val="24"/>
          <w:szCs w:val="24"/>
        </w:rPr>
        <w:t xml:space="preserve">. </w:t>
      </w:r>
      <w:r w:rsidR="00446C3C" w:rsidRPr="00F00C3D">
        <w:rPr>
          <w:rFonts w:ascii="Times New Roman" w:hAnsi="Times New Roman" w:cs="Times New Roman"/>
          <w:sz w:val="24"/>
          <w:szCs w:val="24"/>
        </w:rPr>
        <w:t xml:space="preserve">O enfoque na </w:t>
      </w:r>
      <w:r w:rsidR="005C6C3B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="00D06214" w:rsidRPr="00F00C3D">
        <w:rPr>
          <w:rFonts w:ascii="Times New Roman" w:hAnsi="Times New Roman" w:cs="Times New Roman"/>
          <w:sz w:val="24"/>
          <w:szCs w:val="24"/>
        </w:rPr>
        <w:t xml:space="preserve"> tornou-se uma </w:t>
      </w:r>
      <w:r w:rsidR="00D06214" w:rsidRPr="00F00C3D">
        <w:rPr>
          <w:rFonts w:ascii="Times New Roman" w:hAnsi="Times New Roman" w:cs="Times New Roman"/>
          <w:sz w:val="24"/>
          <w:szCs w:val="24"/>
        </w:rPr>
        <w:lastRenderedPageBreak/>
        <w:t xml:space="preserve">ferramenta fundamental </w:t>
      </w:r>
      <w:r w:rsidRPr="00F00C3D">
        <w:rPr>
          <w:rFonts w:ascii="Times New Roman" w:hAnsi="Times New Roman" w:cs="Times New Roman"/>
          <w:sz w:val="24"/>
          <w:szCs w:val="24"/>
        </w:rPr>
        <w:t xml:space="preserve">na atuação da Procuradoria, </w:t>
      </w:r>
      <w:r w:rsidR="00D06214" w:rsidRPr="00F00C3D">
        <w:rPr>
          <w:rFonts w:ascii="Times New Roman" w:hAnsi="Times New Roman" w:cs="Times New Roman"/>
          <w:sz w:val="24"/>
          <w:szCs w:val="24"/>
        </w:rPr>
        <w:t>desafoga</w:t>
      </w:r>
      <w:r w:rsidRPr="00F00C3D">
        <w:rPr>
          <w:rFonts w:ascii="Times New Roman" w:hAnsi="Times New Roman" w:cs="Times New Roman"/>
          <w:sz w:val="24"/>
          <w:szCs w:val="24"/>
        </w:rPr>
        <w:t xml:space="preserve">ndo </w:t>
      </w:r>
      <w:r w:rsidR="00D06214" w:rsidRPr="00F00C3D">
        <w:rPr>
          <w:rFonts w:ascii="Times New Roman" w:hAnsi="Times New Roman" w:cs="Times New Roman"/>
          <w:sz w:val="24"/>
          <w:szCs w:val="24"/>
        </w:rPr>
        <w:t xml:space="preserve">o </w:t>
      </w:r>
      <w:r w:rsidRPr="00F00C3D">
        <w:rPr>
          <w:rFonts w:ascii="Times New Roman" w:hAnsi="Times New Roman" w:cs="Times New Roman"/>
          <w:sz w:val="24"/>
          <w:szCs w:val="24"/>
        </w:rPr>
        <w:t>J</w:t>
      </w:r>
      <w:r w:rsidR="00D06214" w:rsidRPr="00F00C3D">
        <w:rPr>
          <w:rFonts w:ascii="Times New Roman" w:hAnsi="Times New Roman" w:cs="Times New Roman"/>
          <w:sz w:val="24"/>
          <w:szCs w:val="24"/>
        </w:rPr>
        <w:t>udiciário</w:t>
      </w:r>
      <w:r w:rsidRPr="00F00C3D">
        <w:rPr>
          <w:rFonts w:ascii="Times New Roman" w:hAnsi="Times New Roman" w:cs="Times New Roman"/>
          <w:sz w:val="24"/>
          <w:szCs w:val="24"/>
        </w:rPr>
        <w:t xml:space="preserve"> e permitindo a solução célere de contendas. </w:t>
      </w:r>
    </w:p>
    <w:p w14:paraId="62D8A7B1" w14:textId="62BD35DA" w:rsidR="00140A9D" w:rsidRPr="00F00C3D" w:rsidRDefault="00E7304E" w:rsidP="00140A9D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Além disso, constatou-se que o </w:t>
      </w:r>
      <w:r w:rsidR="00D06214" w:rsidRPr="00F00C3D">
        <w:rPr>
          <w:rFonts w:ascii="Times New Roman" w:hAnsi="Times New Roman" w:cs="Times New Roman"/>
          <w:sz w:val="24"/>
          <w:szCs w:val="24"/>
        </w:rPr>
        <w:t xml:space="preserve">caminho virtuoso </w:t>
      </w:r>
      <w:r w:rsidRPr="00F00C3D">
        <w:rPr>
          <w:rFonts w:ascii="Times New Roman" w:hAnsi="Times New Roman" w:cs="Times New Roman"/>
          <w:sz w:val="24"/>
          <w:szCs w:val="24"/>
        </w:rPr>
        <w:t xml:space="preserve">da </w:t>
      </w:r>
      <w:r w:rsidR="005C6C3B" w:rsidRPr="00F00C3D">
        <w:rPr>
          <w:rFonts w:ascii="Times New Roman" w:hAnsi="Times New Roman" w:cs="Times New Roman"/>
          <w:sz w:val="24"/>
          <w:szCs w:val="24"/>
        </w:rPr>
        <w:t>autocomposição</w:t>
      </w:r>
      <w:r w:rsidRPr="00F00C3D">
        <w:rPr>
          <w:rFonts w:ascii="Times New Roman" w:hAnsi="Times New Roman" w:cs="Times New Roman"/>
          <w:sz w:val="24"/>
          <w:szCs w:val="24"/>
        </w:rPr>
        <w:t xml:space="preserve"> traz beneficios generalizados, atende aos </w:t>
      </w:r>
      <w:r w:rsidR="00D06214" w:rsidRPr="00F00C3D">
        <w:rPr>
          <w:rFonts w:ascii="Times New Roman" w:hAnsi="Times New Roman" w:cs="Times New Roman"/>
          <w:sz w:val="24"/>
          <w:szCs w:val="24"/>
        </w:rPr>
        <w:t>interesses da sociedade</w:t>
      </w:r>
      <w:r w:rsidR="00140A9D" w:rsidRPr="00F00C3D">
        <w:rPr>
          <w:rFonts w:ascii="Times New Roman" w:hAnsi="Times New Roman" w:cs="Times New Roman"/>
          <w:sz w:val="24"/>
          <w:szCs w:val="24"/>
        </w:rPr>
        <w:t xml:space="preserve"> e funciona no mó</w:t>
      </w:r>
      <w:r w:rsidRPr="00F00C3D">
        <w:rPr>
          <w:rFonts w:ascii="Times New Roman" w:hAnsi="Times New Roman" w:cs="Times New Roman"/>
          <w:sz w:val="24"/>
          <w:szCs w:val="24"/>
        </w:rPr>
        <w:t>dulo ganha-ganha, já que ganha</w:t>
      </w:r>
      <w:r w:rsidR="005C6C3B" w:rsidRPr="00F00C3D">
        <w:rPr>
          <w:rFonts w:ascii="Times New Roman" w:hAnsi="Times New Roman" w:cs="Times New Roman"/>
          <w:sz w:val="24"/>
          <w:szCs w:val="24"/>
        </w:rPr>
        <w:t>m</w:t>
      </w:r>
      <w:r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D06214" w:rsidRPr="00F00C3D">
        <w:rPr>
          <w:rFonts w:ascii="Times New Roman" w:hAnsi="Times New Roman" w:cs="Times New Roman"/>
          <w:sz w:val="24"/>
          <w:szCs w:val="24"/>
        </w:rPr>
        <w:t>a comunidade jurídica</w:t>
      </w:r>
      <w:r w:rsidR="005C6C3B" w:rsidRPr="00F00C3D">
        <w:rPr>
          <w:rFonts w:ascii="Times New Roman" w:hAnsi="Times New Roman" w:cs="Times New Roman"/>
          <w:sz w:val="24"/>
          <w:szCs w:val="24"/>
        </w:rPr>
        <w:t>, os interessados</w:t>
      </w:r>
      <w:r w:rsidR="00A879E9" w:rsidRPr="00F00C3D">
        <w:rPr>
          <w:rFonts w:ascii="Times New Roman" w:hAnsi="Times New Roman" w:cs="Times New Roman"/>
          <w:sz w:val="24"/>
          <w:szCs w:val="24"/>
        </w:rPr>
        <w:t xml:space="preserve"> e</w:t>
      </w:r>
      <w:r w:rsidRPr="00F00C3D">
        <w:rPr>
          <w:rFonts w:ascii="Times New Roman" w:hAnsi="Times New Roman" w:cs="Times New Roman"/>
          <w:sz w:val="24"/>
          <w:szCs w:val="24"/>
        </w:rPr>
        <w:t xml:space="preserve"> </w:t>
      </w:r>
      <w:r w:rsidR="00D06214" w:rsidRPr="00F00C3D">
        <w:rPr>
          <w:rFonts w:ascii="Times New Roman" w:hAnsi="Times New Roman" w:cs="Times New Roman"/>
          <w:sz w:val="24"/>
          <w:szCs w:val="24"/>
        </w:rPr>
        <w:t>a sociedade.</w:t>
      </w:r>
    </w:p>
    <w:p w14:paraId="2CA61269" w14:textId="41DBAB6F" w:rsidR="00140A9D" w:rsidRPr="00F00C3D" w:rsidRDefault="00140A9D" w:rsidP="00140A9D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Hoje </w:t>
      </w:r>
      <w:r w:rsidR="00AD04CF">
        <w:rPr>
          <w:rFonts w:ascii="Times New Roman" w:hAnsi="Times New Roman" w:cs="Times New Roman"/>
          <w:sz w:val="24"/>
          <w:szCs w:val="24"/>
        </w:rPr>
        <w:t>obtêm</w:t>
      </w:r>
      <w:r w:rsidRPr="00F00C3D">
        <w:rPr>
          <w:rFonts w:ascii="Times New Roman" w:hAnsi="Times New Roman" w:cs="Times New Roman"/>
          <w:sz w:val="24"/>
          <w:szCs w:val="24"/>
        </w:rPr>
        <w:t xml:space="preserve"> realçe a imparcialidade, a equidade intergeracional e a continuidade das políticas de longo prazo, num modelo de eficiência subordinada à eficácia. O Estado Sustentável que busca o bem-estar multidimensional no presente, sem comprometer o bem-estar no futuro, requer agentes públicos que protejam as expectativas legítimas das gerações futuras. </w:t>
      </w:r>
      <w:r w:rsidR="008567D2" w:rsidRPr="00F00C3D">
        <w:rPr>
          <w:rFonts w:ascii="Times New Roman" w:hAnsi="Times New Roman" w:cs="Times New Roman"/>
          <w:sz w:val="24"/>
          <w:szCs w:val="24"/>
        </w:rPr>
        <w:t>E isso passa, também, pela solução consensual de conflitos.</w:t>
      </w:r>
    </w:p>
    <w:p w14:paraId="7A1D0934" w14:textId="77777777" w:rsidR="0090746B" w:rsidRPr="00F00C3D" w:rsidRDefault="0090746B" w:rsidP="00B05FAA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pt-BR"/>
        </w:rPr>
      </w:pPr>
    </w:p>
    <w:p w14:paraId="46F6FF89" w14:textId="77777777" w:rsidR="00653B9F" w:rsidRPr="005D094B" w:rsidRDefault="00653B9F" w:rsidP="00B05FAA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pt-BR"/>
        </w:rPr>
      </w:pPr>
      <w:r w:rsidRPr="00F00C3D"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pt-BR"/>
        </w:rPr>
        <w:t>6 REFERÊNCIAS</w:t>
      </w:r>
    </w:p>
    <w:p w14:paraId="2D4385BB" w14:textId="3748B55E" w:rsidR="005D094B" w:rsidRDefault="005D094B" w:rsidP="00BD3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94B">
        <w:rPr>
          <w:rFonts w:ascii="Times New Roman" w:hAnsi="Times New Roman" w:cs="Times New Roman"/>
          <w:iCs/>
          <w:sz w:val="24"/>
          <w:szCs w:val="24"/>
        </w:rPr>
        <w:t xml:space="preserve">AMAZONAS. </w:t>
      </w:r>
      <w:r w:rsidRPr="005D094B">
        <w:rPr>
          <w:rFonts w:ascii="Times New Roman" w:hAnsi="Times New Roman" w:cs="Times New Roman"/>
          <w:sz w:val="24"/>
          <w:szCs w:val="24"/>
        </w:rPr>
        <w:t xml:space="preserve">Decreto n. 44.796/2021, de 8 de novembro de 2021. </w:t>
      </w:r>
      <w:r w:rsidRPr="005D094B">
        <w:rPr>
          <w:rFonts w:ascii="Times New Roman" w:hAnsi="Times New Roman" w:cs="Times New Roman"/>
          <w:i/>
          <w:iCs/>
          <w:sz w:val="24"/>
          <w:szCs w:val="24"/>
        </w:rPr>
        <w:t xml:space="preserve">Dispõe sobre a criação das Câmaras de Prevenção e Resolução Administrativa de Conflitos – </w:t>
      </w:r>
      <w:proofErr w:type="spellStart"/>
      <w:r w:rsidRPr="005D094B">
        <w:rPr>
          <w:rFonts w:ascii="Times New Roman" w:hAnsi="Times New Roman" w:cs="Times New Roman"/>
          <w:i/>
          <w:iCs/>
          <w:sz w:val="24"/>
          <w:szCs w:val="24"/>
        </w:rPr>
        <w:t>CPRACs</w:t>
      </w:r>
      <w:proofErr w:type="spellEnd"/>
      <w:r w:rsidRPr="005D094B">
        <w:rPr>
          <w:rFonts w:ascii="Times New Roman" w:hAnsi="Times New Roman" w:cs="Times New Roman"/>
          <w:i/>
          <w:iCs/>
          <w:sz w:val="24"/>
          <w:szCs w:val="24"/>
        </w:rPr>
        <w:t>, no âmbito da Procuradoria Geral do Estado do Amazonas e dá outras providências</w:t>
      </w:r>
      <w:r w:rsidRPr="005D094B">
        <w:rPr>
          <w:rFonts w:ascii="Times New Roman" w:hAnsi="Times New Roman" w:cs="Times New Roman"/>
          <w:sz w:val="24"/>
          <w:szCs w:val="24"/>
        </w:rPr>
        <w:t>. Diário Oficial do Estado do Amazonas, 8/11/2021.</w:t>
      </w:r>
    </w:p>
    <w:p w14:paraId="35E34BD4" w14:textId="379BF630" w:rsidR="00F9628C" w:rsidRDefault="00F9628C" w:rsidP="00F96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AMAZONAS. Procuradoria Geral do Estado. Gabinete do Procurador-Geral. </w:t>
      </w:r>
      <w:r w:rsidRPr="00F00C3D">
        <w:rPr>
          <w:rFonts w:ascii="Times New Roman" w:hAnsi="Times New Roman" w:cs="Times New Roman"/>
          <w:sz w:val="24"/>
          <w:szCs w:val="24"/>
        </w:rPr>
        <w:t>Portaria n. 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00C3D">
        <w:rPr>
          <w:rFonts w:ascii="Times New Roman" w:hAnsi="Times New Roman" w:cs="Times New Roman"/>
          <w:sz w:val="24"/>
          <w:szCs w:val="24"/>
        </w:rPr>
        <w:t>/2022-GPGE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Regulamenta a composição, o funcionamento e demais procedimentos</w:t>
      </w:r>
      <w:r w:rsidRPr="00F00C3D">
        <w:rPr>
          <w:rFonts w:ascii="Times New Roman" w:hAnsi="Times New Roman" w:cs="Times New Roman"/>
          <w:i/>
          <w:iCs/>
          <w:sz w:val="24"/>
          <w:szCs w:val="24"/>
        </w:rPr>
        <w:t xml:space="preserve"> das Câmaras de Prevenção e Resolução Administrativa de Conflitos – CPRAC – do Poder Executivo e dá outras providências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Diário Oficial do Estado do Amazonas, 9/2/2022.</w:t>
      </w:r>
    </w:p>
    <w:p w14:paraId="27E04186" w14:textId="20CF8B95" w:rsidR="00F9628C" w:rsidRDefault="00F9628C" w:rsidP="00F96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AMAZONAS. Procuradoria Geral do Estado. Gabinete do Procurador-Geral. </w:t>
      </w:r>
      <w:r w:rsidRPr="00F00C3D">
        <w:rPr>
          <w:rFonts w:ascii="Times New Roman" w:hAnsi="Times New Roman" w:cs="Times New Roman"/>
          <w:sz w:val="24"/>
          <w:szCs w:val="24"/>
        </w:rPr>
        <w:t>Portaria n. 0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F00C3D">
        <w:rPr>
          <w:rFonts w:ascii="Times New Roman" w:hAnsi="Times New Roman" w:cs="Times New Roman"/>
          <w:sz w:val="24"/>
          <w:szCs w:val="24"/>
        </w:rPr>
        <w:t>/2022-GPGE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4C8">
        <w:rPr>
          <w:rFonts w:ascii="Times New Roman" w:hAnsi="Times New Roman" w:cs="Times New Roman"/>
          <w:i/>
          <w:iCs/>
          <w:sz w:val="24"/>
          <w:szCs w:val="24"/>
        </w:rPr>
        <w:t>Autoriza a celebração de acordos relativos a diferenças remuneratórias derivadas de promoções de servidores militares concedidas com efeitos retroativos, na forma que especifica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Diário Oficial do Estado do Amazonas, </w:t>
      </w:r>
      <w:r w:rsidR="000374C8">
        <w:rPr>
          <w:rFonts w:ascii="Times New Roman" w:hAnsi="Times New Roman" w:cs="Times New Roman"/>
          <w:sz w:val="24"/>
          <w:szCs w:val="24"/>
        </w:rPr>
        <w:t>31/3</w:t>
      </w:r>
      <w:r>
        <w:rPr>
          <w:rFonts w:ascii="Times New Roman" w:hAnsi="Times New Roman" w:cs="Times New Roman"/>
          <w:sz w:val="24"/>
          <w:szCs w:val="24"/>
        </w:rPr>
        <w:t>/2022.</w:t>
      </w:r>
    </w:p>
    <w:p w14:paraId="3A716DD8" w14:textId="579F041F" w:rsidR="002430C5" w:rsidRDefault="002430C5" w:rsidP="00BD3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AMAZONAS. Procuradoria Geral do Estado. Gabinete do Procurador-Geral. </w:t>
      </w:r>
      <w:r w:rsidRPr="00F00C3D">
        <w:rPr>
          <w:rFonts w:ascii="Times New Roman" w:hAnsi="Times New Roman" w:cs="Times New Roman"/>
          <w:sz w:val="24"/>
          <w:szCs w:val="24"/>
        </w:rPr>
        <w:t>Portaria n. 072/2022-GPGE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0C3D">
        <w:rPr>
          <w:rFonts w:ascii="Times New Roman" w:hAnsi="Times New Roman" w:cs="Times New Roman"/>
          <w:i/>
          <w:iCs/>
          <w:sz w:val="24"/>
          <w:szCs w:val="24"/>
        </w:rPr>
        <w:t>Estabelece o Plano de Ação das Câmaras de Prevenção e Resolução Administrativa de Conflitos – CPRAC – do Poder Executivo para o ano de 2022 e dá outras providências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Diário Oficial do Estado do Amazonas, 9/5/2022.</w:t>
      </w:r>
    </w:p>
    <w:p w14:paraId="0CB5F720" w14:textId="1AAE56C5" w:rsidR="00BD3957" w:rsidRPr="00F00C3D" w:rsidRDefault="00BD3957" w:rsidP="00BD3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iCs/>
          <w:sz w:val="24"/>
          <w:szCs w:val="24"/>
        </w:rPr>
        <w:t xml:space="preserve">BARROSO, Luís Roberto. </w:t>
      </w:r>
      <w:r w:rsidRPr="00F00C3D">
        <w:rPr>
          <w:rFonts w:ascii="Times New Roman" w:hAnsi="Times New Roman" w:cs="Times New Roman"/>
          <w:i/>
          <w:sz w:val="24"/>
          <w:szCs w:val="24"/>
        </w:rPr>
        <w:t>A dignidade da pessoa humana no direito constitucional contemporâneo: natureza jurídica, conteúdos mínimos e critérios de aplicação</w:t>
      </w:r>
      <w:r w:rsidRPr="00F00C3D">
        <w:rPr>
          <w:rFonts w:ascii="Times New Roman" w:hAnsi="Times New Roman" w:cs="Times New Roman"/>
          <w:sz w:val="24"/>
          <w:szCs w:val="24"/>
        </w:rPr>
        <w:t xml:space="preserve">. </w:t>
      </w:r>
      <w:r w:rsidRPr="00F00C3D">
        <w:rPr>
          <w:rFonts w:ascii="Times New Roman" w:hAnsi="Times New Roman" w:cs="Times New Roman"/>
          <w:iCs/>
          <w:sz w:val="24"/>
          <w:szCs w:val="24"/>
        </w:rPr>
        <w:t>Revista Latino-Americana de Estudos Constitucionais</w:t>
      </w:r>
      <w:r w:rsidRPr="00F00C3D">
        <w:rPr>
          <w:rFonts w:ascii="Times New Roman" w:hAnsi="Times New Roman" w:cs="Times New Roman"/>
          <w:sz w:val="24"/>
          <w:szCs w:val="24"/>
        </w:rPr>
        <w:t>, v. 10, n. 12, p. 86-137, nov. 2011.</w:t>
      </w:r>
    </w:p>
    <w:p w14:paraId="3BD63D9F" w14:textId="77777777" w:rsidR="00B05FAA" w:rsidRPr="00F00C3D" w:rsidRDefault="00B05FAA" w:rsidP="00B05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CARVALHO FILHO, José dos Santos. </w:t>
      </w:r>
      <w:r w:rsidRPr="00F00C3D">
        <w:rPr>
          <w:rFonts w:ascii="Times New Roman" w:hAnsi="Times New Roman" w:cs="Times New Roman"/>
          <w:i/>
          <w:sz w:val="24"/>
          <w:szCs w:val="24"/>
        </w:rPr>
        <w:t>Manual de Direito Administrativo</w:t>
      </w:r>
      <w:r w:rsidRPr="00F00C3D">
        <w:rPr>
          <w:rFonts w:ascii="Times New Roman" w:hAnsi="Times New Roman" w:cs="Times New Roman"/>
          <w:sz w:val="24"/>
          <w:szCs w:val="24"/>
        </w:rPr>
        <w:t>. 20</w:t>
      </w:r>
      <w:r w:rsidR="00FE0188" w:rsidRPr="00F00C3D">
        <w:rPr>
          <w:rFonts w:ascii="Times New Roman" w:hAnsi="Times New Roman" w:cs="Times New Roman"/>
          <w:sz w:val="24"/>
          <w:szCs w:val="24"/>
        </w:rPr>
        <w:t>.</w:t>
      </w:r>
      <w:r w:rsidRPr="00F00C3D">
        <w:rPr>
          <w:rFonts w:ascii="Times New Roman" w:hAnsi="Times New Roman" w:cs="Times New Roman"/>
          <w:sz w:val="24"/>
          <w:szCs w:val="24"/>
        </w:rPr>
        <w:t>ª edição. Rio de Janeiro: Lúmen Júris, 2008.</w:t>
      </w:r>
    </w:p>
    <w:p w14:paraId="604B4B51" w14:textId="77777777" w:rsidR="00580245" w:rsidRPr="00F00C3D" w:rsidRDefault="2F1E9053" w:rsidP="00B62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lastRenderedPageBreak/>
        <w:t xml:space="preserve">CORRÊA, Élida de Lima Reis. </w:t>
      </w:r>
      <w:r w:rsidRPr="00F00C3D">
        <w:rPr>
          <w:rFonts w:ascii="Times New Roman" w:hAnsi="Times New Roman" w:cs="Times New Roman"/>
          <w:i/>
          <w:iCs/>
          <w:sz w:val="24"/>
          <w:szCs w:val="24"/>
        </w:rPr>
        <w:t>Processo civil cooperativo e meios integrados de solução de conflitos: a experiência do Núcleo de Demandas Repetitivas da Procuradoria do Pessoal Militar</w:t>
      </w:r>
      <w:r w:rsidRPr="00F00C3D">
        <w:rPr>
          <w:rFonts w:ascii="Times New Roman" w:hAnsi="Times New Roman" w:cs="Times New Roman"/>
          <w:sz w:val="24"/>
          <w:szCs w:val="24"/>
        </w:rPr>
        <w:t>. Revista da Procuradoria Geral do Estado do Amazonas, n. 41, p. 107-129, 2021.</w:t>
      </w:r>
    </w:p>
    <w:p w14:paraId="662D74B1" w14:textId="06A66B84" w:rsidR="2F1E9053" w:rsidRPr="00F00C3D" w:rsidRDefault="2F1E9053" w:rsidP="2F1E9053">
      <w:pPr>
        <w:spacing w:after="0" w:line="360" w:lineRule="auto"/>
        <w:jc w:val="both"/>
      </w:pPr>
      <w:r w:rsidRPr="00F00C3D">
        <w:rPr>
          <w:rFonts w:ascii="Times New Roman" w:eastAsia="Times New Roman" w:hAnsi="Times New Roman" w:cs="Times New Roman"/>
          <w:sz w:val="24"/>
          <w:szCs w:val="24"/>
        </w:rPr>
        <w:t xml:space="preserve">DIEST; IPEA; DPJ; CNJ. </w:t>
      </w:r>
      <w:r w:rsidRPr="00F00C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Custo Unitário do Processo de Execução Fiscal na Justiça Federal. </w:t>
      </w:r>
      <w:r w:rsidRPr="00F00C3D">
        <w:rPr>
          <w:rFonts w:ascii="Times New Roman" w:eastAsia="Times New Roman" w:hAnsi="Times New Roman" w:cs="Times New Roman"/>
          <w:sz w:val="24"/>
          <w:szCs w:val="24"/>
        </w:rPr>
        <w:t>Brasília, 2011.</w:t>
      </w:r>
    </w:p>
    <w:p w14:paraId="162DC5DE" w14:textId="1E671E33" w:rsidR="00B627CB" w:rsidRPr="00F00C3D" w:rsidRDefault="00580245" w:rsidP="00B62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FISHER, Roger; URY, William; PATTON, Bruce. </w:t>
      </w:r>
      <w:r w:rsidRPr="00F00C3D">
        <w:rPr>
          <w:rFonts w:ascii="Times New Roman" w:hAnsi="Times New Roman" w:cs="Times New Roman"/>
          <w:i/>
          <w:iCs/>
          <w:sz w:val="24"/>
          <w:szCs w:val="24"/>
        </w:rPr>
        <w:t xml:space="preserve">Como chegar ao sim: </w:t>
      </w:r>
      <w:r w:rsidR="00EA6A3D" w:rsidRPr="00F00C3D">
        <w:rPr>
          <w:rFonts w:ascii="Times New Roman" w:hAnsi="Times New Roman" w:cs="Times New Roman"/>
          <w:i/>
          <w:iCs/>
          <w:sz w:val="24"/>
          <w:szCs w:val="24"/>
        </w:rPr>
        <w:t xml:space="preserve">como negociar acordos sem fazer concessões. </w:t>
      </w:r>
      <w:r w:rsidR="00D14BAB" w:rsidRPr="00F00C3D">
        <w:rPr>
          <w:rFonts w:ascii="Times New Roman" w:hAnsi="Times New Roman" w:cs="Times New Roman"/>
          <w:sz w:val="24"/>
          <w:szCs w:val="24"/>
        </w:rPr>
        <w:t xml:space="preserve">Tradução de Rachel </w:t>
      </w:r>
      <w:proofErr w:type="spellStart"/>
      <w:r w:rsidR="00D14BAB" w:rsidRPr="00F00C3D">
        <w:rPr>
          <w:rFonts w:ascii="Times New Roman" w:hAnsi="Times New Roman" w:cs="Times New Roman"/>
          <w:sz w:val="24"/>
          <w:szCs w:val="24"/>
        </w:rPr>
        <w:t>A</w:t>
      </w:r>
      <w:r w:rsidR="00EA493E" w:rsidRPr="00F00C3D">
        <w:rPr>
          <w:rFonts w:ascii="Times New Roman" w:hAnsi="Times New Roman" w:cs="Times New Roman"/>
          <w:sz w:val="24"/>
          <w:szCs w:val="24"/>
        </w:rPr>
        <w:t>gavino</w:t>
      </w:r>
      <w:proofErr w:type="spellEnd"/>
      <w:r w:rsidR="00EA493E" w:rsidRPr="00F00C3D">
        <w:rPr>
          <w:rFonts w:ascii="Times New Roman" w:hAnsi="Times New Roman" w:cs="Times New Roman"/>
          <w:sz w:val="24"/>
          <w:szCs w:val="24"/>
        </w:rPr>
        <w:t>, ed. rev. e atual.</w:t>
      </w:r>
      <w:r w:rsidR="00903E85" w:rsidRPr="00F00C3D">
        <w:rPr>
          <w:rFonts w:ascii="Times New Roman" w:hAnsi="Times New Roman" w:cs="Times New Roman"/>
          <w:sz w:val="24"/>
          <w:szCs w:val="24"/>
        </w:rPr>
        <w:t xml:space="preserve"> Rio de Janeiro: Sextante, </w:t>
      </w:r>
      <w:r w:rsidR="00732631" w:rsidRPr="00F00C3D">
        <w:rPr>
          <w:rFonts w:ascii="Times New Roman" w:hAnsi="Times New Roman" w:cs="Times New Roman"/>
          <w:sz w:val="24"/>
          <w:szCs w:val="24"/>
        </w:rPr>
        <w:t>2018, p. 44.</w:t>
      </w:r>
      <w:r w:rsidR="00B627CB" w:rsidRPr="00F00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6E30A" w14:textId="7075F6A9" w:rsidR="00B05FAA" w:rsidRPr="00F00C3D" w:rsidRDefault="00B05FAA" w:rsidP="00B05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>FREITAS, Juarez</w:t>
      </w:r>
      <w:r w:rsidRPr="00F00C3D">
        <w:rPr>
          <w:rFonts w:ascii="Times New Roman" w:hAnsi="Times New Roman" w:cs="Times New Roman"/>
          <w:i/>
          <w:sz w:val="24"/>
          <w:szCs w:val="24"/>
        </w:rPr>
        <w:t>. Discricionariedade administrativa e o direito fundamental à boa administração pública</w:t>
      </w:r>
      <w:r w:rsidRPr="00F00C3D">
        <w:rPr>
          <w:rFonts w:ascii="Times New Roman" w:hAnsi="Times New Roman" w:cs="Times New Roman"/>
          <w:sz w:val="24"/>
          <w:szCs w:val="24"/>
        </w:rPr>
        <w:t>. 2</w:t>
      </w:r>
      <w:r w:rsidR="00FE0188" w:rsidRPr="00F00C3D">
        <w:rPr>
          <w:rFonts w:ascii="Times New Roman" w:hAnsi="Times New Roman" w:cs="Times New Roman"/>
          <w:sz w:val="24"/>
          <w:szCs w:val="24"/>
        </w:rPr>
        <w:t>.ª</w:t>
      </w:r>
      <w:r w:rsidRPr="00F00C3D">
        <w:rPr>
          <w:rFonts w:ascii="Times New Roman" w:hAnsi="Times New Roman" w:cs="Times New Roman"/>
          <w:sz w:val="24"/>
          <w:szCs w:val="24"/>
        </w:rPr>
        <w:t xml:space="preserve"> ed</w:t>
      </w:r>
      <w:r w:rsidR="00FE0188" w:rsidRPr="00F00C3D">
        <w:rPr>
          <w:rFonts w:ascii="Times New Roman" w:hAnsi="Times New Roman" w:cs="Times New Roman"/>
          <w:sz w:val="24"/>
          <w:szCs w:val="24"/>
        </w:rPr>
        <w:t>ição</w:t>
      </w:r>
      <w:r w:rsidRPr="00F00C3D">
        <w:rPr>
          <w:rFonts w:ascii="Times New Roman" w:hAnsi="Times New Roman" w:cs="Times New Roman"/>
          <w:sz w:val="24"/>
          <w:szCs w:val="24"/>
        </w:rPr>
        <w:t>. São Paulo: Malheiros, 2009.</w:t>
      </w:r>
    </w:p>
    <w:p w14:paraId="1440CE27" w14:textId="77777777" w:rsidR="00845841" w:rsidRPr="00F00C3D" w:rsidRDefault="00B05FAA" w:rsidP="0082416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0C3D">
        <w:rPr>
          <w:rFonts w:ascii="Times New Roman" w:hAnsi="Times New Roman" w:cs="Times New Roman"/>
          <w:sz w:val="24"/>
          <w:szCs w:val="24"/>
        </w:rPr>
        <w:t xml:space="preserve">. </w:t>
      </w:r>
      <w:r w:rsidR="00845841" w:rsidRPr="00F00C3D">
        <w:rPr>
          <w:rFonts w:ascii="Times New Roman" w:hAnsi="Times New Roman" w:cs="Times New Roman"/>
          <w:sz w:val="24"/>
          <w:szCs w:val="24"/>
        </w:rPr>
        <w:t>Direito Administrativo e o Estado Sustentável. Revista Direito à Sustentabilidade - Unioeste, v. 1, n. 1, 2014.</w:t>
      </w:r>
    </w:p>
    <w:p w14:paraId="153167A4" w14:textId="77777777" w:rsidR="00BD3957" w:rsidRPr="00F00C3D" w:rsidRDefault="00845841" w:rsidP="0082416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_______________. </w:t>
      </w:r>
      <w:r w:rsidR="00B05FAA" w:rsidRPr="00F00C3D">
        <w:rPr>
          <w:rFonts w:ascii="Times New Roman" w:hAnsi="Times New Roman" w:cs="Times New Roman"/>
          <w:i/>
          <w:sz w:val="24"/>
          <w:szCs w:val="24"/>
        </w:rPr>
        <w:t>Sustentabilidade: direito ao futuro</w:t>
      </w:r>
      <w:r w:rsidR="00B05FAA" w:rsidRPr="00F00C3D">
        <w:rPr>
          <w:rFonts w:ascii="Times New Roman" w:hAnsi="Times New Roman" w:cs="Times New Roman"/>
          <w:sz w:val="24"/>
          <w:szCs w:val="24"/>
        </w:rPr>
        <w:t xml:space="preserve">. </w:t>
      </w:r>
      <w:r w:rsidR="00BD3957" w:rsidRPr="00F00C3D">
        <w:rPr>
          <w:rFonts w:ascii="Times New Roman" w:hAnsi="Times New Roman" w:cs="Times New Roman"/>
          <w:sz w:val="24"/>
          <w:szCs w:val="24"/>
        </w:rPr>
        <w:t xml:space="preserve">2.ª </w:t>
      </w:r>
      <w:r w:rsidR="00B05FAA" w:rsidRPr="00F00C3D">
        <w:rPr>
          <w:rFonts w:ascii="Times New Roman" w:hAnsi="Times New Roman" w:cs="Times New Roman"/>
          <w:sz w:val="24"/>
          <w:szCs w:val="24"/>
        </w:rPr>
        <w:t>ed</w:t>
      </w:r>
      <w:r w:rsidR="00764884" w:rsidRPr="00F00C3D">
        <w:rPr>
          <w:rFonts w:ascii="Times New Roman" w:hAnsi="Times New Roman" w:cs="Times New Roman"/>
          <w:sz w:val="24"/>
          <w:szCs w:val="24"/>
        </w:rPr>
        <w:t>ição</w:t>
      </w:r>
      <w:r w:rsidR="00B05FAA" w:rsidRPr="00F00C3D">
        <w:rPr>
          <w:rFonts w:ascii="Times New Roman" w:hAnsi="Times New Roman" w:cs="Times New Roman"/>
          <w:sz w:val="24"/>
          <w:szCs w:val="24"/>
        </w:rPr>
        <w:t xml:space="preserve">. Belo Horizonte: Fórum, 2012. </w:t>
      </w:r>
    </w:p>
    <w:p w14:paraId="2361BE45" w14:textId="77777777" w:rsidR="00BD3957" w:rsidRPr="00F00C3D" w:rsidRDefault="00BD3957" w:rsidP="00BD395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_______________. </w:t>
      </w:r>
      <w:r w:rsidRPr="00F00C3D">
        <w:rPr>
          <w:rFonts w:ascii="Times New Roman" w:hAnsi="Times New Roman" w:cs="Times New Roman"/>
          <w:i/>
          <w:sz w:val="24"/>
          <w:szCs w:val="24"/>
        </w:rPr>
        <w:t>Direito Fundamental à Boa Administração Pública</w:t>
      </w:r>
      <w:r w:rsidRPr="00F00C3D">
        <w:rPr>
          <w:rFonts w:ascii="Times New Roman" w:hAnsi="Times New Roman" w:cs="Times New Roman"/>
          <w:sz w:val="24"/>
          <w:szCs w:val="24"/>
        </w:rPr>
        <w:t>. 3.ª edição. SP: Malheiros, 2014.</w:t>
      </w:r>
    </w:p>
    <w:p w14:paraId="77CD1FAD" w14:textId="77777777" w:rsidR="00FE0188" w:rsidRPr="00F00C3D" w:rsidRDefault="00FE0188" w:rsidP="00FE0188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GOMES, Magno Federici. </w:t>
      </w:r>
      <w:r w:rsidRPr="00F00C3D">
        <w:rPr>
          <w:rFonts w:ascii="Times New Roman" w:hAnsi="Times New Roman" w:cs="Times New Roman"/>
          <w:i/>
          <w:sz w:val="24"/>
          <w:szCs w:val="24"/>
        </w:rPr>
        <w:t>Políticas públicas e os objetivos do desenvolvimento sustentável.</w:t>
      </w:r>
      <w:r w:rsidRPr="00F00C3D">
        <w:rPr>
          <w:rFonts w:ascii="Times New Roman" w:hAnsi="Times New Roman" w:cs="Times New Roman"/>
          <w:sz w:val="24"/>
          <w:szCs w:val="24"/>
        </w:rPr>
        <w:t xml:space="preserve"> Direito e Desenvolvimento. V. 09, n.2, 2018.</w:t>
      </w:r>
    </w:p>
    <w:p w14:paraId="13451C0C" w14:textId="77777777" w:rsidR="00772E9D" w:rsidRPr="00F00C3D" w:rsidRDefault="00FE0188" w:rsidP="00772E9D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JUSTIÇA EM NÚMEROS </w:t>
      </w:r>
      <w:r w:rsidR="00772E9D" w:rsidRPr="00F00C3D">
        <w:rPr>
          <w:rFonts w:ascii="Times New Roman" w:hAnsi="Times New Roman" w:cs="Times New Roman"/>
          <w:sz w:val="24"/>
          <w:szCs w:val="24"/>
        </w:rPr>
        <w:t xml:space="preserve">2017: ano-base 2016. </w:t>
      </w:r>
      <w:r w:rsidR="00772E9D" w:rsidRPr="00F00C3D">
        <w:rPr>
          <w:rFonts w:ascii="Times New Roman" w:hAnsi="Times New Roman" w:cs="Times New Roman"/>
          <w:i/>
          <w:sz w:val="24"/>
          <w:szCs w:val="24"/>
        </w:rPr>
        <w:t>Conselho Nacional de Justiça</w:t>
      </w:r>
      <w:r w:rsidR="00772E9D" w:rsidRPr="00F00C3D">
        <w:rPr>
          <w:rFonts w:ascii="Times New Roman" w:hAnsi="Times New Roman" w:cs="Times New Roman"/>
          <w:sz w:val="24"/>
          <w:szCs w:val="24"/>
        </w:rPr>
        <w:t>,</w:t>
      </w:r>
      <w:r w:rsidR="00772E9D" w:rsidRPr="00F00C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E9D" w:rsidRPr="00F00C3D">
        <w:rPr>
          <w:rFonts w:ascii="Times New Roman" w:hAnsi="Times New Roman" w:cs="Times New Roman"/>
          <w:sz w:val="24"/>
          <w:szCs w:val="24"/>
        </w:rPr>
        <w:t>Brasília: CNJ, 2017.</w:t>
      </w:r>
    </w:p>
    <w:p w14:paraId="7F6F3A76" w14:textId="34D808EB" w:rsidR="005211BC" w:rsidRPr="00F00C3D" w:rsidRDefault="005211BC" w:rsidP="005211B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JUSTIÇA EM NÚMEROS 2022: ano-base 2021. </w:t>
      </w:r>
      <w:r w:rsidRPr="00F00C3D">
        <w:rPr>
          <w:rFonts w:ascii="Times New Roman" w:hAnsi="Times New Roman" w:cs="Times New Roman"/>
          <w:i/>
          <w:sz w:val="24"/>
          <w:szCs w:val="24"/>
        </w:rPr>
        <w:t>Conselho Nacional de Justiça</w:t>
      </w:r>
      <w:r w:rsidRPr="00F00C3D">
        <w:rPr>
          <w:rFonts w:ascii="Times New Roman" w:hAnsi="Times New Roman" w:cs="Times New Roman"/>
          <w:sz w:val="24"/>
          <w:szCs w:val="24"/>
        </w:rPr>
        <w:t>,</w:t>
      </w:r>
      <w:r w:rsidRPr="00F00C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C3D">
        <w:rPr>
          <w:rFonts w:ascii="Times New Roman" w:hAnsi="Times New Roman" w:cs="Times New Roman"/>
          <w:sz w:val="24"/>
          <w:szCs w:val="24"/>
        </w:rPr>
        <w:t>Brasília: CNJ, 2022.</w:t>
      </w:r>
    </w:p>
    <w:p w14:paraId="5D51B6EC" w14:textId="40EA142A" w:rsidR="00FE0188" w:rsidRPr="00F00C3D" w:rsidRDefault="00FE0188" w:rsidP="00B05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MEGNA, Bruno Lopes. </w:t>
      </w:r>
      <w:r w:rsidRPr="00F00C3D">
        <w:rPr>
          <w:rFonts w:ascii="Times New Roman" w:hAnsi="Times New Roman" w:cs="Times New Roman"/>
          <w:i/>
          <w:sz w:val="24"/>
          <w:szCs w:val="24"/>
        </w:rPr>
        <w:t>A Administração Pública e os meios consensuais de solução de conflitos ou “enfrentando o Leviatã nos novos mares da consensualidade</w:t>
      </w:r>
      <w:r w:rsidR="0090746B" w:rsidRPr="00F00C3D">
        <w:rPr>
          <w:rFonts w:ascii="Times New Roman" w:hAnsi="Times New Roman" w:cs="Times New Roman"/>
          <w:sz w:val="24"/>
          <w:szCs w:val="24"/>
        </w:rPr>
        <w:t>”</w:t>
      </w:r>
      <w:r w:rsidRPr="00F00C3D">
        <w:rPr>
          <w:rFonts w:ascii="Times New Roman" w:hAnsi="Times New Roman" w:cs="Times New Roman"/>
          <w:sz w:val="24"/>
          <w:szCs w:val="24"/>
        </w:rPr>
        <w:t xml:space="preserve">. Revista da Procuradoria Geral de São Paulo, v. 82, p. 1-30, 2015. </w:t>
      </w:r>
    </w:p>
    <w:p w14:paraId="22E36F47" w14:textId="77777777" w:rsidR="00B05FAA" w:rsidRPr="00F00C3D" w:rsidRDefault="00B05FAA" w:rsidP="00B05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MELLO. Celso Antônio Bandeira de. </w:t>
      </w:r>
      <w:r w:rsidRPr="00F00C3D">
        <w:rPr>
          <w:rFonts w:ascii="Times New Roman" w:hAnsi="Times New Roman" w:cs="Times New Roman"/>
          <w:i/>
          <w:sz w:val="24"/>
          <w:szCs w:val="24"/>
        </w:rPr>
        <w:t>Curso de Direito Administrativo</w:t>
      </w:r>
      <w:r w:rsidRPr="00F00C3D">
        <w:rPr>
          <w:rFonts w:ascii="Times New Roman" w:hAnsi="Times New Roman" w:cs="Times New Roman"/>
          <w:sz w:val="24"/>
          <w:szCs w:val="24"/>
        </w:rPr>
        <w:t>. 25. ed. São Paulo: Malheiros, 2008.</w:t>
      </w:r>
    </w:p>
    <w:p w14:paraId="0A30ADB8" w14:textId="77777777" w:rsidR="00845841" w:rsidRPr="00F00C3D" w:rsidRDefault="00845841" w:rsidP="00B05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SOARES, Igor </w:t>
      </w:r>
      <w:proofErr w:type="spellStart"/>
      <w:r w:rsidRPr="00F00C3D">
        <w:rPr>
          <w:rFonts w:ascii="Times New Roman" w:hAnsi="Times New Roman" w:cs="Times New Roman"/>
          <w:sz w:val="24"/>
          <w:szCs w:val="24"/>
        </w:rPr>
        <w:t>Jotha</w:t>
      </w:r>
      <w:proofErr w:type="spellEnd"/>
      <w:r w:rsidR="00FE0188" w:rsidRPr="00F00C3D">
        <w:rPr>
          <w:rFonts w:ascii="Times New Roman" w:hAnsi="Times New Roman" w:cs="Times New Roman"/>
          <w:sz w:val="24"/>
          <w:szCs w:val="24"/>
        </w:rPr>
        <w:t xml:space="preserve">. GOMES, Magno </w:t>
      </w:r>
      <w:proofErr w:type="spellStart"/>
      <w:r w:rsidR="00FE0188" w:rsidRPr="00F00C3D">
        <w:rPr>
          <w:rFonts w:ascii="Times New Roman" w:hAnsi="Times New Roman" w:cs="Times New Roman"/>
          <w:sz w:val="24"/>
          <w:szCs w:val="24"/>
        </w:rPr>
        <w:t>Federici</w:t>
      </w:r>
      <w:proofErr w:type="spellEnd"/>
      <w:r w:rsidR="00FE0188" w:rsidRPr="00F00C3D">
        <w:rPr>
          <w:rFonts w:ascii="Times New Roman" w:hAnsi="Times New Roman" w:cs="Times New Roman"/>
          <w:sz w:val="24"/>
          <w:szCs w:val="24"/>
        </w:rPr>
        <w:t xml:space="preserve">. </w:t>
      </w:r>
      <w:r w:rsidR="00FE0188" w:rsidRPr="00F00C3D">
        <w:rPr>
          <w:rFonts w:ascii="Times New Roman" w:hAnsi="Times New Roman" w:cs="Times New Roman"/>
          <w:i/>
          <w:sz w:val="24"/>
          <w:szCs w:val="24"/>
        </w:rPr>
        <w:t>O princípio da eficiência sustentável na Administração Pública</w:t>
      </w:r>
      <w:r w:rsidR="00FE0188" w:rsidRPr="00F00C3D">
        <w:rPr>
          <w:rFonts w:ascii="Times New Roman" w:hAnsi="Times New Roman" w:cs="Times New Roman"/>
          <w:sz w:val="24"/>
          <w:szCs w:val="24"/>
        </w:rPr>
        <w:t xml:space="preserve">. Revista de Direito e Sustentabilidade. V. 3, n. 1, p. 72-90, </w:t>
      </w:r>
      <w:proofErr w:type="spellStart"/>
      <w:r w:rsidR="00FE0188" w:rsidRPr="00F00C3D">
        <w:rPr>
          <w:rFonts w:ascii="Times New Roman" w:hAnsi="Times New Roman" w:cs="Times New Roman"/>
          <w:sz w:val="24"/>
          <w:szCs w:val="24"/>
        </w:rPr>
        <w:t>jan-jun</w:t>
      </w:r>
      <w:proofErr w:type="spellEnd"/>
      <w:r w:rsidR="00FE0188" w:rsidRPr="00F00C3D">
        <w:rPr>
          <w:rFonts w:ascii="Times New Roman" w:hAnsi="Times New Roman" w:cs="Times New Roman"/>
          <w:sz w:val="24"/>
          <w:szCs w:val="24"/>
        </w:rPr>
        <w:t xml:space="preserve">/2017.  </w:t>
      </w:r>
    </w:p>
    <w:p w14:paraId="4BC00852" w14:textId="234C9698" w:rsidR="00B05FAA" w:rsidRPr="00F00C3D" w:rsidRDefault="00B05FAA" w:rsidP="00AD0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C3D">
        <w:rPr>
          <w:rFonts w:ascii="Times New Roman" w:hAnsi="Times New Roman" w:cs="Times New Roman"/>
          <w:sz w:val="24"/>
          <w:szCs w:val="24"/>
        </w:rPr>
        <w:t xml:space="preserve">SOUZA, Luciane </w:t>
      </w:r>
      <w:proofErr w:type="spellStart"/>
      <w:r w:rsidRPr="00F00C3D">
        <w:rPr>
          <w:rFonts w:ascii="Times New Roman" w:hAnsi="Times New Roman" w:cs="Times New Roman"/>
          <w:sz w:val="24"/>
          <w:szCs w:val="24"/>
        </w:rPr>
        <w:t>Moessa</w:t>
      </w:r>
      <w:proofErr w:type="spellEnd"/>
      <w:r w:rsidRPr="00F00C3D">
        <w:rPr>
          <w:rFonts w:ascii="Times New Roman" w:hAnsi="Times New Roman" w:cs="Times New Roman"/>
          <w:sz w:val="24"/>
          <w:szCs w:val="24"/>
        </w:rPr>
        <w:t xml:space="preserve"> de. </w:t>
      </w:r>
      <w:r w:rsidRPr="00F00C3D">
        <w:rPr>
          <w:rFonts w:ascii="Times New Roman" w:hAnsi="Times New Roman" w:cs="Times New Roman"/>
          <w:i/>
          <w:sz w:val="24"/>
          <w:szCs w:val="24"/>
        </w:rPr>
        <w:t xml:space="preserve">Meios consensuais de solução de conflitos envolvendo Entes Públicos. </w:t>
      </w:r>
      <w:r w:rsidRPr="00F00C3D">
        <w:rPr>
          <w:rFonts w:ascii="Times New Roman" w:hAnsi="Times New Roman" w:cs="Times New Roman"/>
          <w:sz w:val="24"/>
          <w:szCs w:val="24"/>
        </w:rPr>
        <w:t>Belo Horizonte: Fórum, 2012.</w:t>
      </w:r>
    </w:p>
    <w:sectPr w:rsidR="00B05FAA" w:rsidRPr="00F00C3D" w:rsidSect="00F00C3D">
      <w:footerReference w:type="defaul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24B2" w14:textId="77777777" w:rsidR="001117B5" w:rsidRDefault="001117B5" w:rsidP="00653B9F">
      <w:pPr>
        <w:spacing w:after="0" w:line="240" w:lineRule="auto"/>
      </w:pPr>
      <w:r>
        <w:separator/>
      </w:r>
    </w:p>
  </w:endnote>
  <w:endnote w:type="continuationSeparator" w:id="0">
    <w:p w14:paraId="1DEB2A20" w14:textId="77777777" w:rsidR="001117B5" w:rsidRDefault="001117B5" w:rsidP="00653B9F">
      <w:pPr>
        <w:spacing w:after="0" w:line="240" w:lineRule="auto"/>
      </w:pPr>
      <w:r>
        <w:continuationSeparator/>
      </w:r>
    </w:p>
  </w:endnote>
  <w:endnote w:type="continuationNotice" w:id="1">
    <w:p w14:paraId="7E5B6C8A" w14:textId="77777777" w:rsidR="001117B5" w:rsidRDefault="00111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145438"/>
      <w:docPartObj>
        <w:docPartGallery w:val="Page Numbers (Bottom of Page)"/>
        <w:docPartUnique/>
      </w:docPartObj>
    </w:sdtPr>
    <w:sdtContent>
      <w:p w14:paraId="659DFAA4" w14:textId="77777777" w:rsidR="00E7304E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B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A54DF3" w14:textId="77777777" w:rsidR="00E7304E" w:rsidRDefault="00E730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CA14" w14:textId="77777777" w:rsidR="001117B5" w:rsidRDefault="001117B5" w:rsidP="00653B9F">
      <w:pPr>
        <w:spacing w:after="0" w:line="240" w:lineRule="auto"/>
      </w:pPr>
      <w:r>
        <w:separator/>
      </w:r>
    </w:p>
  </w:footnote>
  <w:footnote w:type="continuationSeparator" w:id="0">
    <w:p w14:paraId="64E072C2" w14:textId="77777777" w:rsidR="001117B5" w:rsidRDefault="001117B5" w:rsidP="00653B9F">
      <w:pPr>
        <w:spacing w:after="0" w:line="240" w:lineRule="auto"/>
      </w:pPr>
      <w:r>
        <w:continuationSeparator/>
      </w:r>
    </w:p>
  </w:footnote>
  <w:footnote w:type="continuationNotice" w:id="1">
    <w:p w14:paraId="2D42BF1C" w14:textId="77777777" w:rsidR="001117B5" w:rsidRDefault="001117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254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EC12C5A"/>
    <w:multiLevelType w:val="hybridMultilevel"/>
    <w:tmpl w:val="60E6BBA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DEB78DE"/>
    <w:multiLevelType w:val="hybridMultilevel"/>
    <w:tmpl w:val="6D944A42"/>
    <w:lvl w:ilvl="0" w:tplc="3B2095EE">
      <w:start w:val="1"/>
      <w:numFmt w:val="decimal"/>
      <w:lvlText w:val="%1"/>
      <w:lvlJc w:val="left"/>
      <w:pPr>
        <w:ind w:left="303" w:hanging="203"/>
      </w:pPr>
      <w:rPr>
        <w:rFonts w:ascii="Arial MT" w:eastAsia="Arial MT" w:hAnsi="Arial MT" w:cs="Arial MT" w:hint="default"/>
        <w:w w:val="101"/>
        <w:sz w:val="24"/>
        <w:szCs w:val="24"/>
        <w:lang w:val="pt-PT" w:eastAsia="en-US" w:bidi="ar-SA"/>
      </w:rPr>
    </w:lvl>
    <w:lvl w:ilvl="1" w:tplc="31063E16">
      <w:numFmt w:val="bullet"/>
      <w:lvlText w:val="•"/>
      <w:lvlJc w:val="left"/>
      <w:pPr>
        <w:ind w:left="300" w:hanging="203"/>
      </w:pPr>
      <w:rPr>
        <w:rFonts w:hint="default"/>
        <w:lang w:val="pt-PT" w:eastAsia="en-US" w:bidi="ar-SA"/>
      </w:rPr>
    </w:lvl>
    <w:lvl w:ilvl="2" w:tplc="3A9E0C4C">
      <w:numFmt w:val="bullet"/>
      <w:lvlText w:val="•"/>
      <w:lvlJc w:val="left"/>
      <w:pPr>
        <w:ind w:left="1236" w:hanging="203"/>
      </w:pPr>
      <w:rPr>
        <w:rFonts w:hint="default"/>
        <w:lang w:val="pt-PT" w:eastAsia="en-US" w:bidi="ar-SA"/>
      </w:rPr>
    </w:lvl>
    <w:lvl w:ilvl="3" w:tplc="06146676">
      <w:numFmt w:val="bullet"/>
      <w:lvlText w:val="•"/>
      <w:lvlJc w:val="left"/>
      <w:pPr>
        <w:ind w:left="2172" w:hanging="203"/>
      </w:pPr>
      <w:rPr>
        <w:rFonts w:hint="default"/>
        <w:lang w:val="pt-PT" w:eastAsia="en-US" w:bidi="ar-SA"/>
      </w:rPr>
    </w:lvl>
    <w:lvl w:ilvl="4" w:tplc="161C7F72">
      <w:numFmt w:val="bullet"/>
      <w:lvlText w:val="•"/>
      <w:lvlJc w:val="left"/>
      <w:pPr>
        <w:ind w:left="3108" w:hanging="203"/>
      </w:pPr>
      <w:rPr>
        <w:rFonts w:hint="default"/>
        <w:lang w:val="pt-PT" w:eastAsia="en-US" w:bidi="ar-SA"/>
      </w:rPr>
    </w:lvl>
    <w:lvl w:ilvl="5" w:tplc="CD364930">
      <w:numFmt w:val="bullet"/>
      <w:lvlText w:val="•"/>
      <w:lvlJc w:val="left"/>
      <w:pPr>
        <w:ind w:left="4045" w:hanging="203"/>
      </w:pPr>
      <w:rPr>
        <w:rFonts w:hint="default"/>
        <w:lang w:val="pt-PT" w:eastAsia="en-US" w:bidi="ar-SA"/>
      </w:rPr>
    </w:lvl>
    <w:lvl w:ilvl="6" w:tplc="0A5A9D52">
      <w:numFmt w:val="bullet"/>
      <w:lvlText w:val="•"/>
      <w:lvlJc w:val="left"/>
      <w:pPr>
        <w:ind w:left="4981" w:hanging="203"/>
      </w:pPr>
      <w:rPr>
        <w:rFonts w:hint="default"/>
        <w:lang w:val="pt-PT" w:eastAsia="en-US" w:bidi="ar-SA"/>
      </w:rPr>
    </w:lvl>
    <w:lvl w:ilvl="7" w:tplc="C8CE3A68">
      <w:numFmt w:val="bullet"/>
      <w:lvlText w:val="•"/>
      <w:lvlJc w:val="left"/>
      <w:pPr>
        <w:ind w:left="5917" w:hanging="203"/>
      </w:pPr>
      <w:rPr>
        <w:rFonts w:hint="default"/>
        <w:lang w:val="pt-PT" w:eastAsia="en-US" w:bidi="ar-SA"/>
      </w:rPr>
    </w:lvl>
    <w:lvl w:ilvl="8" w:tplc="FE4E7AF8">
      <w:numFmt w:val="bullet"/>
      <w:lvlText w:val="•"/>
      <w:lvlJc w:val="left"/>
      <w:pPr>
        <w:ind w:left="6853" w:hanging="203"/>
      </w:pPr>
      <w:rPr>
        <w:rFonts w:hint="default"/>
        <w:lang w:val="pt-PT" w:eastAsia="en-US" w:bidi="ar-SA"/>
      </w:rPr>
    </w:lvl>
  </w:abstractNum>
  <w:num w:numId="1" w16cid:durableId="489634340">
    <w:abstractNumId w:val="1"/>
  </w:num>
  <w:num w:numId="2" w16cid:durableId="1994676635">
    <w:abstractNumId w:val="0"/>
  </w:num>
  <w:num w:numId="3" w16cid:durableId="875000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0"/>
    <w:rsid w:val="0000319B"/>
    <w:rsid w:val="00014AB1"/>
    <w:rsid w:val="000253D5"/>
    <w:rsid w:val="00035305"/>
    <w:rsid w:val="000374C8"/>
    <w:rsid w:val="000378EC"/>
    <w:rsid w:val="0004048B"/>
    <w:rsid w:val="00041B1B"/>
    <w:rsid w:val="00052223"/>
    <w:rsid w:val="00065D7A"/>
    <w:rsid w:val="000847AC"/>
    <w:rsid w:val="000944B6"/>
    <w:rsid w:val="00094F88"/>
    <w:rsid w:val="00097A14"/>
    <w:rsid w:val="000B2536"/>
    <w:rsid w:val="000B5D0A"/>
    <w:rsid w:val="000C44D2"/>
    <w:rsid w:val="000D38B0"/>
    <w:rsid w:val="000D6DE6"/>
    <w:rsid w:val="000E0C7D"/>
    <w:rsid w:val="000E1A5B"/>
    <w:rsid w:val="000E5F3A"/>
    <w:rsid w:val="000F18CF"/>
    <w:rsid w:val="000F5CDC"/>
    <w:rsid w:val="001117B5"/>
    <w:rsid w:val="00112BDD"/>
    <w:rsid w:val="00116956"/>
    <w:rsid w:val="0013199C"/>
    <w:rsid w:val="00137BFD"/>
    <w:rsid w:val="0014092F"/>
    <w:rsid w:val="00140A9D"/>
    <w:rsid w:val="00141882"/>
    <w:rsid w:val="00145DF5"/>
    <w:rsid w:val="00151EBE"/>
    <w:rsid w:val="0015392E"/>
    <w:rsid w:val="001713AD"/>
    <w:rsid w:val="001754E1"/>
    <w:rsid w:val="00177557"/>
    <w:rsid w:val="001877CF"/>
    <w:rsid w:val="00197CA5"/>
    <w:rsid w:val="001A08BD"/>
    <w:rsid w:val="001A421B"/>
    <w:rsid w:val="001B5BBF"/>
    <w:rsid w:val="001C278F"/>
    <w:rsid w:val="001C2C53"/>
    <w:rsid w:val="001D034B"/>
    <w:rsid w:val="001D16E7"/>
    <w:rsid w:val="001D576F"/>
    <w:rsid w:val="001E371E"/>
    <w:rsid w:val="001F79D3"/>
    <w:rsid w:val="00200363"/>
    <w:rsid w:val="00216F34"/>
    <w:rsid w:val="002217C1"/>
    <w:rsid w:val="002255E7"/>
    <w:rsid w:val="002278F6"/>
    <w:rsid w:val="00230049"/>
    <w:rsid w:val="00231697"/>
    <w:rsid w:val="00231BE7"/>
    <w:rsid w:val="00242601"/>
    <w:rsid w:val="002430C5"/>
    <w:rsid w:val="0025120D"/>
    <w:rsid w:val="00251B1A"/>
    <w:rsid w:val="00263025"/>
    <w:rsid w:val="00281DB2"/>
    <w:rsid w:val="00284783"/>
    <w:rsid w:val="00286C6D"/>
    <w:rsid w:val="002954EF"/>
    <w:rsid w:val="00296E06"/>
    <w:rsid w:val="00297026"/>
    <w:rsid w:val="002A1D2B"/>
    <w:rsid w:val="002A6FC1"/>
    <w:rsid w:val="002B6DEF"/>
    <w:rsid w:val="002C0E6F"/>
    <w:rsid w:val="002D21D4"/>
    <w:rsid w:val="002D62F8"/>
    <w:rsid w:val="002E145F"/>
    <w:rsid w:val="002F00EB"/>
    <w:rsid w:val="002F2F92"/>
    <w:rsid w:val="00300BFC"/>
    <w:rsid w:val="00324DEA"/>
    <w:rsid w:val="00337CDA"/>
    <w:rsid w:val="00341F54"/>
    <w:rsid w:val="00350A17"/>
    <w:rsid w:val="003521E4"/>
    <w:rsid w:val="003726D2"/>
    <w:rsid w:val="00382805"/>
    <w:rsid w:val="00393224"/>
    <w:rsid w:val="0039697E"/>
    <w:rsid w:val="003A2448"/>
    <w:rsid w:val="003A5D9A"/>
    <w:rsid w:val="003B06E3"/>
    <w:rsid w:val="003B2CE8"/>
    <w:rsid w:val="003B5CF0"/>
    <w:rsid w:val="003D6882"/>
    <w:rsid w:val="003E63E6"/>
    <w:rsid w:val="003F1F65"/>
    <w:rsid w:val="003F46CB"/>
    <w:rsid w:val="00400A4F"/>
    <w:rsid w:val="00402F94"/>
    <w:rsid w:val="00405590"/>
    <w:rsid w:val="004070E4"/>
    <w:rsid w:val="00412C44"/>
    <w:rsid w:val="0041603E"/>
    <w:rsid w:val="004217FC"/>
    <w:rsid w:val="00426C8D"/>
    <w:rsid w:val="004355E7"/>
    <w:rsid w:val="00446C3C"/>
    <w:rsid w:val="00450358"/>
    <w:rsid w:val="0045755F"/>
    <w:rsid w:val="00464158"/>
    <w:rsid w:val="00464F89"/>
    <w:rsid w:val="00470810"/>
    <w:rsid w:val="00476EFD"/>
    <w:rsid w:val="004840D2"/>
    <w:rsid w:val="0048484A"/>
    <w:rsid w:val="0048758C"/>
    <w:rsid w:val="00490DE8"/>
    <w:rsid w:val="004914C4"/>
    <w:rsid w:val="004947CB"/>
    <w:rsid w:val="00496953"/>
    <w:rsid w:val="004A1719"/>
    <w:rsid w:val="004C5DAA"/>
    <w:rsid w:val="004C621F"/>
    <w:rsid w:val="004C6AA9"/>
    <w:rsid w:val="004E0437"/>
    <w:rsid w:val="004E496C"/>
    <w:rsid w:val="004E7313"/>
    <w:rsid w:val="004F13B1"/>
    <w:rsid w:val="004F6845"/>
    <w:rsid w:val="004F6A91"/>
    <w:rsid w:val="00505685"/>
    <w:rsid w:val="00507C0C"/>
    <w:rsid w:val="00507DC8"/>
    <w:rsid w:val="005211BC"/>
    <w:rsid w:val="0052552C"/>
    <w:rsid w:val="0052592A"/>
    <w:rsid w:val="00526ABA"/>
    <w:rsid w:val="00532FB0"/>
    <w:rsid w:val="0054149B"/>
    <w:rsid w:val="00543C5F"/>
    <w:rsid w:val="0054424E"/>
    <w:rsid w:val="0055570A"/>
    <w:rsid w:val="00572A83"/>
    <w:rsid w:val="005741B0"/>
    <w:rsid w:val="00574CAD"/>
    <w:rsid w:val="00576276"/>
    <w:rsid w:val="00580245"/>
    <w:rsid w:val="00583F7B"/>
    <w:rsid w:val="0059071A"/>
    <w:rsid w:val="005951D9"/>
    <w:rsid w:val="005B24A3"/>
    <w:rsid w:val="005C6C3B"/>
    <w:rsid w:val="005D094B"/>
    <w:rsid w:val="005D1747"/>
    <w:rsid w:val="005D48C7"/>
    <w:rsid w:val="005D52BD"/>
    <w:rsid w:val="005D721B"/>
    <w:rsid w:val="005E1A2E"/>
    <w:rsid w:val="005F5493"/>
    <w:rsid w:val="005F566A"/>
    <w:rsid w:val="0060092E"/>
    <w:rsid w:val="00604B47"/>
    <w:rsid w:val="00623E4D"/>
    <w:rsid w:val="0064308C"/>
    <w:rsid w:val="00651893"/>
    <w:rsid w:val="0065354D"/>
    <w:rsid w:val="00653B9F"/>
    <w:rsid w:val="00655FF9"/>
    <w:rsid w:val="00656489"/>
    <w:rsid w:val="00657EC8"/>
    <w:rsid w:val="006616E8"/>
    <w:rsid w:val="00661A8D"/>
    <w:rsid w:val="00671C9F"/>
    <w:rsid w:val="0067686A"/>
    <w:rsid w:val="0068111A"/>
    <w:rsid w:val="00681AC2"/>
    <w:rsid w:val="0068221D"/>
    <w:rsid w:val="00682698"/>
    <w:rsid w:val="006A2A73"/>
    <w:rsid w:val="006B70D8"/>
    <w:rsid w:val="006C18F0"/>
    <w:rsid w:val="006D0EC8"/>
    <w:rsid w:val="006D525A"/>
    <w:rsid w:val="006D59B9"/>
    <w:rsid w:val="006E2290"/>
    <w:rsid w:val="006E4A19"/>
    <w:rsid w:val="006F6525"/>
    <w:rsid w:val="006F6AA7"/>
    <w:rsid w:val="00704BA2"/>
    <w:rsid w:val="0071087A"/>
    <w:rsid w:val="007113FB"/>
    <w:rsid w:val="007126C1"/>
    <w:rsid w:val="0071463F"/>
    <w:rsid w:val="00732631"/>
    <w:rsid w:val="00740FEE"/>
    <w:rsid w:val="0074168E"/>
    <w:rsid w:val="00753971"/>
    <w:rsid w:val="00760052"/>
    <w:rsid w:val="00764884"/>
    <w:rsid w:val="00772E9D"/>
    <w:rsid w:val="00774D66"/>
    <w:rsid w:val="0079066C"/>
    <w:rsid w:val="00790F49"/>
    <w:rsid w:val="00791CC3"/>
    <w:rsid w:val="007A13EA"/>
    <w:rsid w:val="007A2781"/>
    <w:rsid w:val="007B13EB"/>
    <w:rsid w:val="007C084C"/>
    <w:rsid w:val="007C7A42"/>
    <w:rsid w:val="007D1744"/>
    <w:rsid w:val="007E3154"/>
    <w:rsid w:val="007E770E"/>
    <w:rsid w:val="00802631"/>
    <w:rsid w:val="00810CF3"/>
    <w:rsid w:val="008203EB"/>
    <w:rsid w:val="00824164"/>
    <w:rsid w:val="00825F86"/>
    <w:rsid w:val="00831BC0"/>
    <w:rsid w:val="008337E2"/>
    <w:rsid w:val="00845841"/>
    <w:rsid w:val="00855D78"/>
    <w:rsid w:val="008567D2"/>
    <w:rsid w:val="008576F8"/>
    <w:rsid w:val="008619A5"/>
    <w:rsid w:val="00862A47"/>
    <w:rsid w:val="00864F81"/>
    <w:rsid w:val="0087006A"/>
    <w:rsid w:val="00870219"/>
    <w:rsid w:val="008714F9"/>
    <w:rsid w:val="008744EB"/>
    <w:rsid w:val="00884CD6"/>
    <w:rsid w:val="00885171"/>
    <w:rsid w:val="008933FF"/>
    <w:rsid w:val="008A3937"/>
    <w:rsid w:val="008A78AE"/>
    <w:rsid w:val="008B1606"/>
    <w:rsid w:val="008B2921"/>
    <w:rsid w:val="008B6891"/>
    <w:rsid w:val="008B7CD6"/>
    <w:rsid w:val="008C4658"/>
    <w:rsid w:val="008C6956"/>
    <w:rsid w:val="008D2491"/>
    <w:rsid w:val="008E60BD"/>
    <w:rsid w:val="008F095C"/>
    <w:rsid w:val="008F5F38"/>
    <w:rsid w:val="00900A96"/>
    <w:rsid w:val="0090151B"/>
    <w:rsid w:val="00903E85"/>
    <w:rsid w:val="0090746B"/>
    <w:rsid w:val="009143AD"/>
    <w:rsid w:val="009306A0"/>
    <w:rsid w:val="00930C4C"/>
    <w:rsid w:val="009324D1"/>
    <w:rsid w:val="00936382"/>
    <w:rsid w:val="009706BC"/>
    <w:rsid w:val="00975559"/>
    <w:rsid w:val="00983DC5"/>
    <w:rsid w:val="00991064"/>
    <w:rsid w:val="00992860"/>
    <w:rsid w:val="009A2F14"/>
    <w:rsid w:val="009A4254"/>
    <w:rsid w:val="009D2636"/>
    <w:rsid w:val="009E663A"/>
    <w:rsid w:val="009E716B"/>
    <w:rsid w:val="009F6133"/>
    <w:rsid w:val="009F6895"/>
    <w:rsid w:val="00A002B7"/>
    <w:rsid w:val="00A07A1F"/>
    <w:rsid w:val="00A1695A"/>
    <w:rsid w:val="00A21BFA"/>
    <w:rsid w:val="00A21E97"/>
    <w:rsid w:val="00A273E3"/>
    <w:rsid w:val="00A36F9A"/>
    <w:rsid w:val="00A636E4"/>
    <w:rsid w:val="00A72AC1"/>
    <w:rsid w:val="00A82B82"/>
    <w:rsid w:val="00A838AD"/>
    <w:rsid w:val="00A84440"/>
    <w:rsid w:val="00A879E9"/>
    <w:rsid w:val="00A96614"/>
    <w:rsid w:val="00AA08C7"/>
    <w:rsid w:val="00AA34C1"/>
    <w:rsid w:val="00AB4AAF"/>
    <w:rsid w:val="00AC31F1"/>
    <w:rsid w:val="00AC3814"/>
    <w:rsid w:val="00AC5BF7"/>
    <w:rsid w:val="00AD04CF"/>
    <w:rsid w:val="00AD0E9F"/>
    <w:rsid w:val="00B0590A"/>
    <w:rsid w:val="00B05FAA"/>
    <w:rsid w:val="00B10D7B"/>
    <w:rsid w:val="00B218FC"/>
    <w:rsid w:val="00B2696E"/>
    <w:rsid w:val="00B3082A"/>
    <w:rsid w:val="00B30C0D"/>
    <w:rsid w:val="00B358B1"/>
    <w:rsid w:val="00B37395"/>
    <w:rsid w:val="00B42F9A"/>
    <w:rsid w:val="00B43C55"/>
    <w:rsid w:val="00B52F57"/>
    <w:rsid w:val="00B53D5D"/>
    <w:rsid w:val="00B627CB"/>
    <w:rsid w:val="00B6610F"/>
    <w:rsid w:val="00B757A1"/>
    <w:rsid w:val="00B80389"/>
    <w:rsid w:val="00B806CC"/>
    <w:rsid w:val="00B81934"/>
    <w:rsid w:val="00B915B0"/>
    <w:rsid w:val="00B92258"/>
    <w:rsid w:val="00B939AD"/>
    <w:rsid w:val="00BA1686"/>
    <w:rsid w:val="00BA5FF9"/>
    <w:rsid w:val="00BB709C"/>
    <w:rsid w:val="00BC0851"/>
    <w:rsid w:val="00BC27B0"/>
    <w:rsid w:val="00BD3957"/>
    <w:rsid w:val="00BD700A"/>
    <w:rsid w:val="00BD7939"/>
    <w:rsid w:val="00BE1559"/>
    <w:rsid w:val="00BE659E"/>
    <w:rsid w:val="00C01A1A"/>
    <w:rsid w:val="00C174C3"/>
    <w:rsid w:val="00C215B7"/>
    <w:rsid w:val="00C21C36"/>
    <w:rsid w:val="00C26AA2"/>
    <w:rsid w:val="00C27630"/>
    <w:rsid w:val="00C302FC"/>
    <w:rsid w:val="00C326D8"/>
    <w:rsid w:val="00C34A0C"/>
    <w:rsid w:val="00C36E29"/>
    <w:rsid w:val="00C43C07"/>
    <w:rsid w:val="00C469FF"/>
    <w:rsid w:val="00C57ECD"/>
    <w:rsid w:val="00C702AC"/>
    <w:rsid w:val="00C82C64"/>
    <w:rsid w:val="00C85D58"/>
    <w:rsid w:val="00C91E31"/>
    <w:rsid w:val="00C94473"/>
    <w:rsid w:val="00C95FE2"/>
    <w:rsid w:val="00C97DEC"/>
    <w:rsid w:val="00CA442B"/>
    <w:rsid w:val="00CA5C0E"/>
    <w:rsid w:val="00CA7A71"/>
    <w:rsid w:val="00CB2554"/>
    <w:rsid w:val="00CB5E5F"/>
    <w:rsid w:val="00CC18F6"/>
    <w:rsid w:val="00CC1CF2"/>
    <w:rsid w:val="00CC1EED"/>
    <w:rsid w:val="00CD0313"/>
    <w:rsid w:val="00CD6983"/>
    <w:rsid w:val="00CE6FBD"/>
    <w:rsid w:val="00CF0381"/>
    <w:rsid w:val="00CF2CED"/>
    <w:rsid w:val="00D02D25"/>
    <w:rsid w:val="00D04E8E"/>
    <w:rsid w:val="00D06214"/>
    <w:rsid w:val="00D14BAB"/>
    <w:rsid w:val="00D31764"/>
    <w:rsid w:val="00D42AE1"/>
    <w:rsid w:val="00D449CF"/>
    <w:rsid w:val="00D5038A"/>
    <w:rsid w:val="00D510DC"/>
    <w:rsid w:val="00D66606"/>
    <w:rsid w:val="00D76B52"/>
    <w:rsid w:val="00D95ADD"/>
    <w:rsid w:val="00DA56F0"/>
    <w:rsid w:val="00DA6F4E"/>
    <w:rsid w:val="00DD75FC"/>
    <w:rsid w:val="00DE0766"/>
    <w:rsid w:val="00DF5B34"/>
    <w:rsid w:val="00E0024E"/>
    <w:rsid w:val="00E22E8C"/>
    <w:rsid w:val="00E2337A"/>
    <w:rsid w:val="00E33F53"/>
    <w:rsid w:val="00E4130C"/>
    <w:rsid w:val="00E55BCC"/>
    <w:rsid w:val="00E61E97"/>
    <w:rsid w:val="00E673A2"/>
    <w:rsid w:val="00E67989"/>
    <w:rsid w:val="00E7291D"/>
    <w:rsid w:val="00E7304E"/>
    <w:rsid w:val="00E818A6"/>
    <w:rsid w:val="00E8344B"/>
    <w:rsid w:val="00E862D4"/>
    <w:rsid w:val="00E94512"/>
    <w:rsid w:val="00EA493E"/>
    <w:rsid w:val="00EA6A3D"/>
    <w:rsid w:val="00EB3E45"/>
    <w:rsid w:val="00EB7751"/>
    <w:rsid w:val="00ED2DE2"/>
    <w:rsid w:val="00ED3206"/>
    <w:rsid w:val="00EE1F54"/>
    <w:rsid w:val="00EF7E7B"/>
    <w:rsid w:val="00F00C3D"/>
    <w:rsid w:val="00F04024"/>
    <w:rsid w:val="00F06324"/>
    <w:rsid w:val="00F174E3"/>
    <w:rsid w:val="00F25EBA"/>
    <w:rsid w:val="00F35902"/>
    <w:rsid w:val="00F36E82"/>
    <w:rsid w:val="00F460FD"/>
    <w:rsid w:val="00F47E4F"/>
    <w:rsid w:val="00F549C0"/>
    <w:rsid w:val="00F57D51"/>
    <w:rsid w:val="00F64083"/>
    <w:rsid w:val="00F7665D"/>
    <w:rsid w:val="00F87696"/>
    <w:rsid w:val="00F9628C"/>
    <w:rsid w:val="00FA52F0"/>
    <w:rsid w:val="00FB36B9"/>
    <w:rsid w:val="00FB37EB"/>
    <w:rsid w:val="00FC042E"/>
    <w:rsid w:val="00FC398A"/>
    <w:rsid w:val="00FC596A"/>
    <w:rsid w:val="00FC681E"/>
    <w:rsid w:val="00FE0188"/>
    <w:rsid w:val="00FE1B79"/>
    <w:rsid w:val="00FF166F"/>
    <w:rsid w:val="00FF5590"/>
    <w:rsid w:val="08082BB5"/>
    <w:rsid w:val="0F637577"/>
    <w:rsid w:val="12304505"/>
    <w:rsid w:val="172F51E9"/>
    <w:rsid w:val="1AAB5222"/>
    <w:rsid w:val="230A0617"/>
    <w:rsid w:val="2F1E9053"/>
    <w:rsid w:val="32065AD3"/>
    <w:rsid w:val="35825B0C"/>
    <w:rsid w:val="6C5D46CA"/>
    <w:rsid w:val="72F1B966"/>
    <w:rsid w:val="74DA4D20"/>
    <w:rsid w:val="7D6CE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248A1"/>
  <w15:docId w15:val="{1F4EFE54-AE89-42E6-AFC0-C34C36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C8"/>
  </w:style>
  <w:style w:type="paragraph" w:styleId="Ttulo1">
    <w:name w:val="heading 1"/>
    <w:basedOn w:val="Normal"/>
    <w:link w:val="Ttulo1Char"/>
    <w:uiPriority w:val="9"/>
    <w:qFormat/>
    <w:rsid w:val="0065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3B9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tulodoArtigo">
    <w:name w:val="Título do Artigo"/>
    <w:link w:val="TtulodoArtigoChar"/>
    <w:autoRedefine/>
    <w:qFormat/>
    <w:rsid w:val="0090151B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TtulodoArtigoChar">
    <w:name w:val="Título do Artigo Char"/>
    <w:basedOn w:val="Fontepargpadro"/>
    <w:link w:val="TtulodoArtigo"/>
    <w:rsid w:val="0090151B"/>
    <w:rPr>
      <w:rFonts w:ascii="Times New Roman" w:hAnsi="Times New Roman" w:cs="Times New Roman"/>
      <w:b/>
      <w:bCs/>
      <w:caps/>
      <w:sz w:val="28"/>
      <w:szCs w:val="28"/>
    </w:rPr>
  </w:style>
  <w:style w:type="paragraph" w:customStyle="1" w:styleId="Autoria">
    <w:name w:val="Autoria"/>
    <w:link w:val="AutoriaChar"/>
    <w:autoRedefine/>
    <w:qFormat/>
    <w:rsid w:val="00653B9F"/>
    <w:pPr>
      <w:spacing w:before="120"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utoriaChar">
    <w:name w:val="Autoria Char"/>
    <w:basedOn w:val="Fontepargpadro"/>
    <w:link w:val="Autoria"/>
    <w:rsid w:val="00653B9F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653B9F"/>
    <w:rPr>
      <w:vertAlign w:val="superscript"/>
    </w:rPr>
  </w:style>
  <w:style w:type="paragraph" w:customStyle="1" w:styleId="Resumo">
    <w:name w:val="Resumo"/>
    <w:link w:val="ResumoChar"/>
    <w:autoRedefine/>
    <w:qFormat/>
    <w:rsid w:val="009D2636"/>
    <w:pPr>
      <w:spacing w:after="0" w:line="360" w:lineRule="auto"/>
      <w:jc w:val="both"/>
    </w:pPr>
    <w:rPr>
      <w:rFonts w:ascii="Times New Roman" w:hAnsi="Times New Roman"/>
      <w:color w:val="FF0000"/>
      <w:sz w:val="20"/>
      <w:szCs w:val="20"/>
    </w:rPr>
  </w:style>
  <w:style w:type="paragraph" w:customStyle="1" w:styleId="TtulosdasPartesdoArtigo">
    <w:name w:val="Títulos das Partes do Artigo"/>
    <w:link w:val="TtulosdasPartesdoArtigoChar"/>
    <w:autoRedefine/>
    <w:qFormat/>
    <w:rsid w:val="008F095C"/>
    <w:pPr>
      <w:spacing w:after="0" w:line="360" w:lineRule="auto"/>
      <w:jc w:val="both"/>
    </w:pPr>
    <w:rPr>
      <w:rFonts w:ascii="Times New Roman" w:hAnsi="Times New Roman" w:cs="Times New Roman"/>
      <w:b/>
      <w:caps/>
      <w:sz w:val="24"/>
    </w:rPr>
  </w:style>
  <w:style w:type="character" w:customStyle="1" w:styleId="ResumoChar">
    <w:name w:val="Resumo Char"/>
    <w:basedOn w:val="Fontepargpadro"/>
    <w:link w:val="Resumo"/>
    <w:rsid w:val="009D2636"/>
    <w:rPr>
      <w:rFonts w:ascii="Times New Roman" w:hAnsi="Times New Roman"/>
      <w:color w:val="FF0000"/>
      <w:sz w:val="20"/>
      <w:szCs w:val="20"/>
    </w:rPr>
  </w:style>
  <w:style w:type="paragraph" w:customStyle="1" w:styleId="Texto">
    <w:name w:val="Texto"/>
    <w:link w:val="TextoChar"/>
    <w:autoRedefine/>
    <w:qFormat/>
    <w:rsid w:val="00653B9F"/>
    <w:pPr>
      <w:spacing w:after="120" w:line="360" w:lineRule="auto"/>
      <w:ind w:firstLine="851"/>
      <w:jc w:val="both"/>
    </w:pPr>
    <w:rPr>
      <w:rFonts w:ascii="Times New Roman" w:hAnsi="Times New Roman" w:cs="Times New Roman"/>
      <w:iCs/>
      <w:sz w:val="24"/>
      <w:szCs w:val="24"/>
    </w:rPr>
  </w:style>
  <w:style w:type="character" w:customStyle="1" w:styleId="TtulosdasPartesdoArtigoChar">
    <w:name w:val="Títulos das Partes do Artigo Char"/>
    <w:basedOn w:val="Fontepargpadro"/>
    <w:link w:val="TtulosdasPartesdoArtigo"/>
    <w:rsid w:val="008F095C"/>
    <w:rPr>
      <w:rFonts w:ascii="Times New Roman" w:hAnsi="Times New Roman" w:cs="Times New Roman"/>
      <w:b/>
      <w:caps/>
      <w:sz w:val="24"/>
    </w:rPr>
  </w:style>
  <w:style w:type="character" w:customStyle="1" w:styleId="TextoChar">
    <w:name w:val="Texto Char"/>
    <w:basedOn w:val="Fontepargpadro"/>
    <w:link w:val="Texto"/>
    <w:rsid w:val="00653B9F"/>
    <w:rPr>
      <w:rFonts w:ascii="Times New Roman" w:hAnsi="Times New Roman" w:cs="Times New Roman"/>
      <w:iCs/>
      <w:sz w:val="24"/>
      <w:szCs w:val="24"/>
    </w:rPr>
  </w:style>
  <w:style w:type="paragraph" w:customStyle="1" w:styleId="Standard">
    <w:name w:val="Standard"/>
    <w:uiPriority w:val="99"/>
    <w:rsid w:val="00653B9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A"/>
      <w:kern w:val="3"/>
      <w:u w:color="00000A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5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B9F"/>
  </w:style>
  <w:style w:type="character" w:styleId="Hyperlink">
    <w:name w:val="Hyperlink"/>
    <w:basedOn w:val="Fontepargpadro"/>
    <w:uiPriority w:val="99"/>
    <w:unhideWhenUsed/>
    <w:rsid w:val="00653B9F"/>
    <w:rPr>
      <w:color w:val="0000FF" w:themeColor="hyperlink"/>
      <w:u w:val="single"/>
    </w:rPr>
  </w:style>
  <w:style w:type="paragraph" w:styleId="Textodenotaderodap">
    <w:name w:val="footnote text"/>
    <w:link w:val="TextodenotaderodapChar"/>
    <w:uiPriority w:val="99"/>
    <w:rsid w:val="00653B9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Calibri" w:eastAsia="Calibri" w:hAnsi="Calibri" w:cs="Calibri"/>
      <w:color w:val="00000A"/>
      <w:kern w:val="3"/>
      <w:sz w:val="20"/>
      <w:szCs w:val="20"/>
      <w:u w:color="00000A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53B9F"/>
    <w:rPr>
      <w:rFonts w:ascii="Calibri" w:eastAsia="Calibri" w:hAnsi="Calibri" w:cs="Calibri"/>
      <w:color w:val="00000A"/>
      <w:kern w:val="3"/>
      <w:sz w:val="20"/>
      <w:szCs w:val="20"/>
      <w:u w:color="00000A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653B9F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3B9F"/>
    <w:rPr>
      <w:color w:val="605E5C"/>
      <w:shd w:val="clear" w:color="auto" w:fill="E1DFDD"/>
    </w:rPr>
  </w:style>
  <w:style w:type="paragraph" w:customStyle="1" w:styleId="Default">
    <w:name w:val="Default"/>
    <w:rsid w:val="00653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3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3B9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653B9F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65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B9F"/>
  </w:style>
  <w:style w:type="paragraph" w:styleId="Corpodetexto">
    <w:name w:val="Body Text"/>
    <w:basedOn w:val="Normal"/>
    <w:link w:val="CorpodetextoChar"/>
    <w:uiPriority w:val="1"/>
    <w:qFormat/>
    <w:rsid w:val="00E33F5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3F53"/>
    <w:rPr>
      <w:rFonts w:ascii="Arial MT" w:eastAsia="Arial MT" w:hAnsi="Arial MT" w:cs="Arial MT"/>
      <w:lang w:val="pt-PT"/>
    </w:rPr>
  </w:style>
  <w:style w:type="paragraph" w:customStyle="1" w:styleId="Ttulo21">
    <w:name w:val="Título 21"/>
    <w:basedOn w:val="Normal"/>
    <w:uiPriority w:val="1"/>
    <w:qFormat/>
    <w:rsid w:val="00E33F53"/>
    <w:pPr>
      <w:widowControl w:val="0"/>
      <w:autoSpaceDE w:val="0"/>
      <w:autoSpaceDN w:val="0"/>
      <w:spacing w:after="0" w:line="240" w:lineRule="auto"/>
      <w:ind w:left="303" w:hanging="203"/>
      <w:outlineLvl w:val="2"/>
    </w:pPr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0F90-6D62-45DC-846E-3233D351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18</Pages>
  <Words>6183</Words>
  <Characters>35669</Characters>
  <Application>Microsoft Office Word</Application>
  <DocSecurity>0</DocSecurity>
  <Lines>529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 Rocha</cp:lastModifiedBy>
  <cp:revision>36</cp:revision>
  <dcterms:created xsi:type="dcterms:W3CDTF">2023-08-30T05:11:00Z</dcterms:created>
  <dcterms:modified xsi:type="dcterms:W3CDTF">2023-09-15T15:34:00Z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http://www.zotero.org/styles/universidade-federal-de-pernambuco-abnt</vt:lpwstr>
  </property>
  <property fmtid="{D5CDD505-2E9C-101B-9397-08002B2CF9AE}" pid="4" name="Mendeley Unique User Id_1">
    <vt:lpwstr>b65edb08-b4b6-331b-9352-edf5d563df1b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http://www.zotero.org/styles/associacao-brasileira-de-normas-tecnicas</vt:lpwstr>
  </property>
  <property fmtid="{D5CDD505-2E9C-101B-9397-08002B2CF9AE}" pid="14" name="Mendeley Recent Style Name 4_1">
    <vt:lpwstr>Associação Brasileira de Normas Técnicas (Portuguese - Brazil)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http://www.zotero.org/styles/universidade-federal-de-pernambuco-abnt</vt:lpwstr>
  </property>
  <property fmtid="{D5CDD505-2E9C-101B-9397-08002B2CF9AE}" pid="24" name="Mendeley Recent Style Name 9_1">
    <vt:lpwstr>Universidade Federal de Pernambuco - ABNT (Portuguese - Brazil)</vt:lpwstr>
  </property>
</Properties>
</file>