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64D36" w14:textId="62DB7D5E" w:rsidR="003C0A30" w:rsidRPr="003C0A30" w:rsidRDefault="003C0A30" w:rsidP="00A37A36">
      <w:pPr>
        <w:spacing w:line="360" w:lineRule="auto"/>
        <w:jc w:val="both"/>
        <w:rPr>
          <w:rFonts w:ascii="Times New Roman" w:hAnsi="Times New Roman" w:cs="Times New Roman"/>
          <w:b/>
          <w:bCs/>
          <w:sz w:val="28"/>
          <w:szCs w:val="28"/>
        </w:rPr>
      </w:pPr>
      <w:r w:rsidRPr="003C0A30">
        <w:rPr>
          <w:rFonts w:ascii="Times New Roman" w:hAnsi="Times New Roman" w:cs="Times New Roman"/>
          <w:b/>
          <w:bCs/>
          <w:sz w:val="28"/>
          <w:szCs w:val="28"/>
        </w:rPr>
        <w:t>DA DECLARAÇÃO D</w:t>
      </w:r>
      <w:r w:rsidR="0008081B">
        <w:rPr>
          <w:rFonts w:ascii="Times New Roman" w:hAnsi="Times New Roman" w:cs="Times New Roman"/>
          <w:b/>
          <w:bCs/>
          <w:sz w:val="28"/>
          <w:szCs w:val="28"/>
        </w:rPr>
        <w:t>A</w:t>
      </w:r>
      <w:r w:rsidRPr="003C0A30">
        <w:rPr>
          <w:rFonts w:ascii="Times New Roman" w:hAnsi="Times New Roman" w:cs="Times New Roman"/>
          <w:b/>
          <w:bCs/>
          <w:sz w:val="28"/>
          <w:szCs w:val="28"/>
        </w:rPr>
        <w:t xml:space="preserve"> INDISPONIBILIDADE DE BENS PELA ADVOCACIA PÚBLICA</w:t>
      </w:r>
      <w:r w:rsidR="0008081B">
        <w:rPr>
          <w:rFonts w:ascii="Times New Roman" w:hAnsi="Times New Roman" w:cs="Times New Roman"/>
          <w:b/>
          <w:bCs/>
          <w:sz w:val="28"/>
          <w:szCs w:val="28"/>
        </w:rPr>
        <w:t xml:space="preserve"> NA FASE PRÉ-EXECUTÓRIA</w:t>
      </w:r>
    </w:p>
    <w:p w14:paraId="29797250" w14:textId="6892FC77" w:rsidR="00A37A36" w:rsidRDefault="00A37A36" w:rsidP="00FB0CD8">
      <w:pPr>
        <w:spacing w:line="360" w:lineRule="auto"/>
        <w:ind w:left="5954"/>
        <w:jc w:val="both"/>
        <w:rPr>
          <w:rFonts w:ascii="Times New Roman" w:hAnsi="Times New Roman" w:cs="Times New Roman"/>
          <w:b/>
          <w:bCs/>
          <w:szCs w:val="24"/>
        </w:rPr>
      </w:pPr>
    </w:p>
    <w:p w14:paraId="69EC610E" w14:textId="2C5451A5" w:rsidR="00A768CE" w:rsidRDefault="00A768CE" w:rsidP="00FB0CD8">
      <w:pPr>
        <w:spacing w:line="360" w:lineRule="auto"/>
        <w:ind w:left="5954"/>
        <w:jc w:val="both"/>
        <w:rPr>
          <w:rFonts w:ascii="Times New Roman" w:hAnsi="Times New Roman" w:cs="Times New Roman"/>
          <w:b/>
          <w:bCs/>
          <w:szCs w:val="24"/>
        </w:rPr>
      </w:pPr>
    </w:p>
    <w:p w14:paraId="3E55FB50" w14:textId="77777777" w:rsidR="00A768CE" w:rsidRPr="00BF185E" w:rsidRDefault="00A768CE" w:rsidP="00F32DD4">
      <w:pPr>
        <w:spacing w:line="360" w:lineRule="auto"/>
        <w:ind w:left="7230"/>
        <w:jc w:val="both"/>
        <w:rPr>
          <w:rFonts w:ascii="Times New Roman" w:hAnsi="Times New Roman" w:cs="Times New Roman"/>
          <w:szCs w:val="24"/>
        </w:rPr>
      </w:pPr>
    </w:p>
    <w:p w14:paraId="262A0153" w14:textId="5E2AC8A3" w:rsidR="00D608A5" w:rsidRDefault="00AD19F3" w:rsidP="003C2BB3">
      <w:pPr>
        <w:spacing w:line="240" w:lineRule="auto"/>
        <w:jc w:val="both"/>
        <w:rPr>
          <w:rFonts w:ascii="Times New Roman" w:hAnsi="Times New Roman" w:cs="Times New Roman"/>
          <w:szCs w:val="24"/>
        </w:rPr>
      </w:pPr>
      <w:r w:rsidRPr="00BF185E">
        <w:rPr>
          <w:rFonts w:ascii="Times New Roman" w:hAnsi="Times New Roman" w:cs="Times New Roman"/>
          <w:b/>
          <w:bCs/>
          <w:szCs w:val="24"/>
        </w:rPr>
        <w:t>RESUMO</w:t>
      </w:r>
      <w:r w:rsidRPr="00BF185E">
        <w:rPr>
          <w:rFonts w:ascii="Times New Roman" w:hAnsi="Times New Roman" w:cs="Times New Roman"/>
          <w:szCs w:val="24"/>
        </w:rPr>
        <w:t xml:space="preserve">: </w:t>
      </w:r>
      <w:r w:rsidR="006B67FC">
        <w:rPr>
          <w:rFonts w:ascii="Times New Roman" w:hAnsi="Times New Roman" w:cs="Times New Roman"/>
          <w:szCs w:val="24"/>
        </w:rPr>
        <w:t xml:space="preserve">Da averbação </w:t>
      </w:r>
      <w:proofErr w:type="spellStart"/>
      <w:r w:rsidR="006B67FC">
        <w:rPr>
          <w:rFonts w:ascii="Times New Roman" w:hAnsi="Times New Roman" w:cs="Times New Roman"/>
          <w:szCs w:val="24"/>
        </w:rPr>
        <w:t>pré</w:t>
      </w:r>
      <w:proofErr w:type="spellEnd"/>
      <w:r w:rsidR="006B67FC">
        <w:rPr>
          <w:rFonts w:ascii="Times New Roman" w:hAnsi="Times New Roman" w:cs="Times New Roman"/>
          <w:szCs w:val="24"/>
        </w:rPr>
        <w:t>-executória da certidão de dívida ativa, com efeito da inalienabilidade do bem. Constitucionalidade. ADI 5.886/DF que declarou inconstitucional. Constitucionalidade da inalienabilidade de bens, em sede cautelar, pelo TCU. Teoria dos poderes implícitos. Dever de coerência na jurisprudência.</w:t>
      </w:r>
    </w:p>
    <w:p w14:paraId="66C6B116" w14:textId="77777777" w:rsidR="001840DC" w:rsidRDefault="001840DC" w:rsidP="001D3086">
      <w:pPr>
        <w:spacing w:line="360" w:lineRule="auto"/>
        <w:jc w:val="both"/>
        <w:rPr>
          <w:rFonts w:ascii="Times New Roman" w:hAnsi="Times New Roman" w:cs="Times New Roman"/>
          <w:b/>
          <w:bCs/>
          <w:szCs w:val="24"/>
        </w:rPr>
      </w:pPr>
    </w:p>
    <w:p w14:paraId="62D71ADC" w14:textId="77777777" w:rsidR="002F1113" w:rsidRDefault="002F1113" w:rsidP="001D3086">
      <w:pPr>
        <w:spacing w:line="360" w:lineRule="auto"/>
        <w:jc w:val="both"/>
        <w:rPr>
          <w:rFonts w:ascii="Times New Roman" w:hAnsi="Times New Roman" w:cs="Times New Roman"/>
          <w:b/>
          <w:bCs/>
          <w:szCs w:val="24"/>
        </w:rPr>
      </w:pPr>
    </w:p>
    <w:p w14:paraId="1A097D90" w14:textId="77777777" w:rsidR="002F1113" w:rsidRDefault="002F1113" w:rsidP="001D3086">
      <w:pPr>
        <w:spacing w:line="360" w:lineRule="auto"/>
        <w:jc w:val="both"/>
        <w:rPr>
          <w:rFonts w:ascii="Times New Roman" w:hAnsi="Times New Roman" w:cs="Times New Roman"/>
          <w:b/>
          <w:bCs/>
          <w:szCs w:val="24"/>
        </w:rPr>
      </w:pPr>
    </w:p>
    <w:p w14:paraId="31B4E7D5" w14:textId="36951DB0" w:rsidR="00D608A5" w:rsidRDefault="00DD12E0" w:rsidP="00E777AC">
      <w:pPr>
        <w:pBdr>
          <w:top w:val="single" w:sz="4" w:space="1" w:color="auto"/>
          <w:bottom w:val="single" w:sz="4" w:space="1" w:color="auto"/>
        </w:pBdr>
        <w:spacing w:line="360" w:lineRule="auto"/>
        <w:jc w:val="center"/>
        <w:rPr>
          <w:rFonts w:ascii="Times New Roman" w:hAnsi="Times New Roman" w:cs="Times New Roman"/>
          <w:b/>
          <w:bCs/>
          <w:szCs w:val="24"/>
        </w:rPr>
      </w:pPr>
      <w:r w:rsidRPr="00BF185E">
        <w:rPr>
          <w:rFonts w:ascii="Times New Roman" w:hAnsi="Times New Roman" w:cs="Times New Roman"/>
          <w:b/>
          <w:bCs/>
          <w:szCs w:val="24"/>
        </w:rPr>
        <w:t>Introdução</w:t>
      </w:r>
    </w:p>
    <w:p w14:paraId="0FC5BE34" w14:textId="77777777" w:rsidR="0020507D" w:rsidRPr="005B3034" w:rsidRDefault="0020507D" w:rsidP="001D3086">
      <w:pPr>
        <w:spacing w:line="360" w:lineRule="auto"/>
        <w:jc w:val="both"/>
        <w:rPr>
          <w:rFonts w:ascii="Times New Roman" w:hAnsi="Times New Roman" w:cs="Times New Roman"/>
          <w:szCs w:val="24"/>
        </w:rPr>
      </w:pPr>
    </w:p>
    <w:p w14:paraId="05EB95FA" w14:textId="0C64DA68" w:rsidR="000C1473" w:rsidRDefault="005B3034" w:rsidP="0020507D">
      <w:pPr>
        <w:spacing w:line="360" w:lineRule="auto"/>
        <w:ind w:firstLine="851"/>
        <w:jc w:val="both"/>
        <w:rPr>
          <w:rFonts w:ascii="Times New Roman" w:hAnsi="Times New Roman" w:cs="Times New Roman"/>
          <w:szCs w:val="24"/>
        </w:rPr>
      </w:pPr>
      <w:r>
        <w:rPr>
          <w:rFonts w:ascii="Times New Roman" w:hAnsi="Times New Roman" w:cs="Times New Roman"/>
          <w:szCs w:val="24"/>
        </w:rPr>
        <w:t xml:space="preserve">A presente tese analisa importância do reconhecimento de competência da Fazenda Pública para a averbação </w:t>
      </w:r>
      <w:proofErr w:type="spellStart"/>
      <w:r>
        <w:rPr>
          <w:rFonts w:ascii="Times New Roman" w:hAnsi="Times New Roman" w:cs="Times New Roman"/>
          <w:szCs w:val="24"/>
        </w:rPr>
        <w:t>pré</w:t>
      </w:r>
      <w:proofErr w:type="spellEnd"/>
      <w:r>
        <w:rPr>
          <w:rFonts w:ascii="Times New Roman" w:hAnsi="Times New Roman" w:cs="Times New Roman"/>
          <w:szCs w:val="24"/>
        </w:rPr>
        <w:t>-executiva da Certidão de Dívida Ativa, com efeito de inalienabilidade do bem, como expressão (implícita) do poder</w:t>
      </w:r>
      <w:r w:rsidR="000C1473">
        <w:rPr>
          <w:rFonts w:ascii="Times New Roman" w:hAnsi="Times New Roman" w:cs="Times New Roman"/>
          <w:szCs w:val="24"/>
        </w:rPr>
        <w:t>-dever (explícito) de cobrança da dívida ativa, e como meio de proporcionar eficiência na efetiva consecução daquele fim.</w:t>
      </w:r>
    </w:p>
    <w:p w14:paraId="481197DF" w14:textId="4F904C43" w:rsidR="00CA304E" w:rsidRDefault="000C1473" w:rsidP="0020507D">
      <w:pPr>
        <w:spacing w:line="360" w:lineRule="auto"/>
        <w:ind w:firstLine="851"/>
        <w:jc w:val="both"/>
        <w:rPr>
          <w:rFonts w:ascii="Times New Roman" w:hAnsi="Times New Roman" w:cs="Times New Roman"/>
          <w:szCs w:val="24"/>
        </w:rPr>
      </w:pPr>
      <w:r>
        <w:rPr>
          <w:rFonts w:ascii="Times New Roman" w:hAnsi="Times New Roman" w:cs="Times New Roman"/>
          <w:szCs w:val="24"/>
        </w:rPr>
        <w:t>A cobrança da dívida ativa tem a finalidade</w:t>
      </w:r>
      <w:r w:rsidR="00CA304E">
        <w:rPr>
          <w:rFonts w:ascii="Times New Roman" w:hAnsi="Times New Roman" w:cs="Times New Roman"/>
          <w:szCs w:val="24"/>
        </w:rPr>
        <w:t xml:space="preserve"> primordial</w:t>
      </w:r>
      <w:r>
        <w:rPr>
          <w:rFonts w:ascii="Times New Roman" w:hAnsi="Times New Roman" w:cs="Times New Roman"/>
          <w:szCs w:val="24"/>
        </w:rPr>
        <w:t xml:space="preserve"> </w:t>
      </w:r>
      <w:r w:rsidR="00CA304E">
        <w:rPr>
          <w:rFonts w:ascii="Times New Roman" w:hAnsi="Times New Roman" w:cs="Times New Roman"/>
          <w:szCs w:val="24"/>
        </w:rPr>
        <w:t xml:space="preserve">de garantir a realização de receitas previstas no orçamento público e, não menos importante, de impedir que se instale cenário tributário </w:t>
      </w:r>
      <w:proofErr w:type="spellStart"/>
      <w:r w:rsidR="00CA304E">
        <w:rPr>
          <w:rFonts w:ascii="Times New Roman" w:hAnsi="Times New Roman" w:cs="Times New Roman"/>
          <w:szCs w:val="24"/>
        </w:rPr>
        <w:t>anti-isonômico</w:t>
      </w:r>
      <w:proofErr w:type="spellEnd"/>
      <w:r w:rsidR="00CA304E">
        <w:rPr>
          <w:rFonts w:ascii="Times New Roman" w:hAnsi="Times New Roman" w:cs="Times New Roman"/>
          <w:szCs w:val="24"/>
        </w:rPr>
        <w:t>, mediante contumaz inadimplência de contribuintes que, além do mais, pode configurar concorrência desleal entre empresas.</w:t>
      </w:r>
    </w:p>
    <w:p w14:paraId="46B37F25" w14:textId="47069645" w:rsidR="00F92940" w:rsidRDefault="00F92940" w:rsidP="0020507D">
      <w:pPr>
        <w:spacing w:line="360" w:lineRule="auto"/>
        <w:ind w:firstLine="851"/>
        <w:jc w:val="both"/>
        <w:rPr>
          <w:rFonts w:ascii="Times New Roman" w:hAnsi="Times New Roman" w:cs="Times New Roman"/>
          <w:szCs w:val="24"/>
        </w:rPr>
      </w:pPr>
      <w:r>
        <w:rPr>
          <w:rFonts w:ascii="Times New Roman" w:hAnsi="Times New Roman" w:cs="Times New Roman"/>
          <w:szCs w:val="24"/>
        </w:rPr>
        <w:t>Há consenso que o atual modelo de execução fiscal é ineficiente e, neste sentido, a Lei nº 13.606/18 alterou a Lei nº 10.522/02 para prever expressamente a inalienabilidade do bem em cujo registro se averbou CDA, pela Fazenda Pública. Todavia, o STF julgou inconstitucional a expressão “</w:t>
      </w:r>
      <w:r w:rsidRPr="002F1113">
        <w:rPr>
          <w:rFonts w:ascii="Times New Roman" w:hAnsi="Times New Roman" w:cs="Times New Roman"/>
          <w:i/>
          <w:iCs/>
          <w:szCs w:val="24"/>
        </w:rPr>
        <w:t>tornando-o inalienável</w:t>
      </w:r>
      <w:r>
        <w:rPr>
          <w:rFonts w:ascii="Times New Roman" w:hAnsi="Times New Roman" w:cs="Times New Roman"/>
          <w:szCs w:val="24"/>
        </w:rPr>
        <w:t>”</w:t>
      </w:r>
      <w:r w:rsidR="002F1113">
        <w:rPr>
          <w:rFonts w:ascii="Times New Roman" w:hAnsi="Times New Roman" w:cs="Times New Roman"/>
          <w:szCs w:val="24"/>
        </w:rPr>
        <w:t>, contida naquele dispositivo legal</w:t>
      </w:r>
      <w:r>
        <w:rPr>
          <w:rFonts w:ascii="Times New Roman" w:hAnsi="Times New Roman" w:cs="Times New Roman"/>
          <w:szCs w:val="24"/>
        </w:rPr>
        <w:t>.</w:t>
      </w:r>
    </w:p>
    <w:p w14:paraId="23C653F3" w14:textId="2B0A590A" w:rsidR="000653E4" w:rsidRDefault="00F92940" w:rsidP="0020507D">
      <w:pPr>
        <w:spacing w:line="360" w:lineRule="auto"/>
        <w:ind w:firstLine="851"/>
        <w:jc w:val="both"/>
        <w:rPr>
          <w:rFonts w:ascii="Times New Roman" w:hAnsi="Times New Roman" w:cs="Times New Roman"/>
          <w:szCs w:val="24"/>
        </w:rPr>
      </w:pPr>
      <w:r>
        <w:rPr>
          <w:rFonts w:ascii="Times New Roman" w:hAnsi="Times New Roman" w:cs="Times New Roman"/>
          <w:szCs w:val="24"/>
        </w:rPr>
        <w:t xml:space="preserve">Com </w:t>
      </w:r>
      <w:r w:rsidR="00F9701A">
        <w:rPr>
          <w:rFonts w:ascii="Times New Roman" w:hAnsi="Times New Roman" w:cs="Times New Roman"/>
          <w:szCs w:val="24"/>
        </w:rPr>
        <w:t>essa decisão</w:t>
      </w:r>
      <w:r>
        <w:rPr>
          <w:rFonts w:ascii="Times New Roman" w:hAnsi="Times New Roman" w:cs="Times New Roman"/>
          <w:szCs w:val="24"/>
        </w:rPr>
        <w:t>,</w:t>
      </w:r>
      <w:r w:rsidR="000653E4">
        <w:rPr>
          <w:rFonts w:ascii="Times New Roman" w:hAnsi="Times New Roman" w:cs="Times New Roman"/>
          <w:szCs w:val="24"/>
        </w:rPr>
        <w:t xml:space="preserve"> </w:t>
      </w:r>
      <w:r w:rsidR="00F9701A">
        <w:rPr>
          <w:rFonts w:ascii="Times New Roman" w:hAnsi="Times New Roman" w:cs="Times New Roman"/>
          <w:szCs w:val="24"/>
        </w:rPr>
        <w:t xml:space="preserve">exasperou-se </w:t>
      </w:r>
      <w:r w:rsidR="002F1113">
        <w:rPr>
          <w:rFonts w:ascii="Times New Roman" w:hAnsi="Times New Roman" w:cs="Times New Roman"/>
          <w:szCs w:val="24"/>
        </w:rPr>
        <w:t>a</w:t>
      </w:r>
      <w:r w:rsidR="00F9701A">
        <w:rPr>
          <w:rFonts w:ascii="Times New Roman" w:hAnsi="Times New Roman" w:cs="Times New Roman"/>
          <w:szCs w:val="24"/>
        </w:rPr>
        <w:t xml:space="preserve"> já grande grau</w:t>
      </w:r>
      <w:r w:rsidR="000653E4">
        <w:rPr>
          <w:rFonts w:ascii="Times New Roman" w:hAnsi="Times New Roman" w:cs="Times New Roman"/>
          <w:szCs w:val="24"/>
        </w:rPr>
        <w:t xml:space="preserve"> dificuldade</w:t>
      </w:r>
      <w:r w:rsidR="00F9701A">
        <w:rPr>
          <w:rFonts w:ascii="Times New Roman" w:hAnsi="Times New Roman" w:cs="Times New Roman"/>
          <w:szCs w:val="24"/>
        </w:rPr>
        <w:t xml:space="preserve"> para se </w:t>
      </w:r>
      <w:r w:rsidR="000653E4">
        <w:rPr>
          <w:rFonts w:ascii="Times New Roman" w:hAnsi="Times New Roman" w:cs="Times New Roman"/>
          <w:szCs w:val="24"/>
        </w:rPr>
        <w:t>colocar em prática um modelo de cobrança da dívida ativa mais eficiente</w:t>
      </w:r>
      <w:r w:rsidR="00F9701A">
        <w:rPr>
          <w:rFonts w:ascii="Times New Roman" w:hAnsi="Times New Roman" w:cs="Times New Roman"/>
          <w:szCs w:val="24"/>
        </w:rPr>
        <w:t xml:space="preserve"> -</w:t>
      </w:r>
      <w:r w:rsidR="000653E4">
        <w:rPr>
          <w:rFonts w:ascii="Times New Roman" w:hAnsi="Times New Roman" w:cs="Times New Roman"/>
          <w:szCs w:val="24"/>
        </w:rPr>
        <w:t xml:space="preserve"> </w:t>
      </w:r>
      <w:r w:rsidR="00F9701A">
        <w:rPr>
          <w:rFonts w:ascii="Times New Roman" w:hAnsi="Times New Roman" w:cs="Times New Roman"/>
          <w:szCs w:val="24"/>
        </w:rPr>
        <w:t xml:space="preserve">apto a superar o paradigma da ineficiência da execução fiscal - </w:t>
      </w:r>
      <w:r w:rsidR="000653E4">
        <w:rPr>
          <w:rFonts w:ascii="Times New Roman" w:hAnsi="Times New Roman" w:cs="Times New Roman"/>
          <w:szCs w:val="24"/>
        </w:rPr>
        <w:t xml:space="preserve">que, por razões óbvias, enfrenta forte oposição de boa parte do setor empresarial, e </w:t>
      </w:r>
      <w:r w:rsidR="000653E4">
        <w:rPr>
          <w:rFonts w:ascii="Times New Roman" w:hAnsi="Times New Roman" w:cs="Times New Roman"/>
          <w:szCs w:val="24"/>
        </w:rPr>
        <w:lastRenderedPageBreak/>
        <w:t xml:space="preserve">conta com apoio de um senso comum que se criou no Brasil acerca de um Estado-Administração pesado, ineficiente e </w:t>
      </w:r>
      <w:r w:rsidR="00F9701A">
        <w:rPr>
          <w:rFonts w:ascii="Times New Roman" w:hAnsi="Times New Roman" w:cs="Times New Roman"/>
          <w:szCs w:val="24"/>
        </w:rPr>
        <w:t>que adota posição de antagonismo para com os interesses do administrado.</w:t>
      </w:r>
    </w:p>
    <w:p w14:paraId="0E573897" w14:textId="6F524431" w:rsidR="004F5D58" w:rsidRDefault="00F9701A" w:rsidP="0020507D">
      <w:pPr>
        <w:spacing w:line="360" w:lineRule="auto"/>
        <w:ind w:firstLine="851"/>
        <w:jc w:val="both"/>
        <w:rPr>
          <w:rFonts w:ascii="Times New Roman" w:hAnsi="Times New Roman" w:cs="Times New Roman"/>
          <w:szCs w:val="24"/>
        </w:rPr>
      </w:pPr>
      <w:r>
        <w:rPr>
          <w:rFonts w:ascii="Times New Roman" w:hAnsi="Times New Roman" w:cs="Times New Roman"/>
          <w:szCs w:val="24"/>
        </w:rPr>
        <w:t xml:space="preserve">O cenário é difícil, mas não impossível, pois o próprio Supremo tem precedente (MS </w:t>
      </w:r>
      <w:r w:rsidR="004F5D58">
        <w:rPr>
          <w:rFonts w:ascii="Times New Roman" w:hAnsi="Times New Roman" w:cs="Times New Roman"/>
          <w:szCs w:val="24"/>
        </w:rPr>
        <w:t xml:space="preserve">nº 33.092/DF), no qual reconhece a constitucionalidade da decretação de inalienabilidade de bens por ato do TCU, despicienda </w:t>
      </w:r>
      <w:r w:rsidR="002F1113">
        <w:rPr>
          <w:rFonts w:ascii="Times New Roman" w:hAnsi="Times New Roman" w:cs="Times New Roman"/>
          <w:szCs w:val="24"/>
        </w:rPr>
        <w:t xml:space="preserve">a </w:t>
      </w:r>
      <w:r w:rsidR="004F5D58">
        <w:rPr>
          <w:rFonts w:ascii="Times New Roman" w:hAnsi="Times New Roman" w:cs="Times New Roman"/>
          <w:szCs w:val="24"/>
        </w:rPr>
        <w:t>tutela judicial, ainda em sede cautelar, ou seja, sem a certeza e liquidez presumidas na CDA. Dessarte, o ordenamento jurídico pátrio (CPC, art. 926) – e a melhor doutrina -, exigem expressamente do Poder Judiciário que mantenham coerente sua jurisprudência.</w:t>
      </w:r>
    </w:p>
    <w:p w14:paraId="4B9245AA" w14:textId="49D5A298" w:rsidR="004F5D58" w:rsidRDefault="004F5D58" w:rsidP="0020507D">
      <w:pPr>
        <w:spacing w:line="360" w:lineRule="auto"/>
        <w:ind w:firstLine="851"/>
        <w:jc w:val="both"/>
        <w:rPr>
          <w:rFonts w:ascii="Times New Roman" w:hAnsi="Times New Roman" w:cs="Times New Roman"/>
          <w:szCs w:val="24"/>
        </w:rPr>
      </w:pPr>
      <w:r>
        <w:rPr>
          <w:rFonts w:ascii="Times New Roman" w:hAnsi="Times New Roman" w:cs="Times New Roman"/>
          <w:szCs w:val="24"/>
        </w:rPr>
        <w:t>Deste modo, deve-se atuar</w:t>
      </w:r>
      <w:r w:rsidR="00631923">
        <w:rPr>
          <w:rFonts w:ascii="Times New Roman" w:hAnsi="Times New Roman" w:cs="Times New Roman"/>
          <w:szCs w:val="24"/>
        </w:rPr>
        <w:t xml:space="preserve"> – pela via do ato administrativo que busca juridicidade no texto constitucional ou pela via legislativa -</w:t>
      </w:r>
      <w:r>
        <w:rPr>
          <w:rFonts w:ascii="Times New Roman" w:hAnsi="Times New Roman" w:cs="Times New Roman"/>
          <w:szCs w:val="24"/>
        </w:rPr>
        <w:t xml:space="preserve"> para que </w:t>
      </w:r>
      <w:r w:rsidR="00631923">
        <w:rPr>
          <w:rFonts w:ascii="Times New Roman" w:hAnsi="Times New Roman" w:cs="Times New Roman"/>
          <w:szCs w:val="24"/>
        </w:rPr>
        <w:t xml:space="preserve">os mesmos fundamentos que validaram a constrição de bens pelo TCU, sem necessidade de intervenção judicial, também sejam aplicados à Fazenda Pública, </w:t>
      </w:r>
      <w:r w:rsidR="00631923" w:rsidRPr="00631923">
        <w:rPr>
          <w:rFonts w:ascii="Times New Roman" w:hAnsi="Times New Roman" w:cs="Times New Roman"/>
          <w:i/>
          <w:iCs/>
          <w:szCs w:val="24"/>
        </w:rPr>
        <w:t>mutatis mutandis.</w:t>
      </w:r>
      <w:r>
        <w:rPr>
          <w:rFonts w:ascii="Times New Roman" w:hAnsi="Times New Roman" w:cs="Times New Roman"/>
          <w:szCs w:val="24"/>
        </w:rPr>
        <w:t xml:space="preserve">  </w:t>
      </w:r>
    </w:p>
    <w:p w14:paraId="3746413C" w14:textId="77777777" w:rsidR="00087084" w:rsidRDefault="00087084" w:rsidP="00E72CB4">
      <w:pPr>
        <w:spacing w:line="360" w:lineRule="auto"/>
        <w:jc w:val="both"/>
        <w:rPr>
          <w:rFonts w:ascii="Times New Roman" w:hAnsi="Times New Roman" w:cs="Times New Roman"/>
          <w:b/>
          <w:bCs/>
          <w:szCs w:val="24"/>
        </w:rPr>
      </w:pPr>
    </w:p>
    <w:p w14:paraId="2619FAB2" w14:textId="1442C193" w:rsidR="000C6F32" w:rsidRDefault="00087084" w:rsidP="00BC7D61">
      <w:pPr>
        <w:pBdr>
          <w:top w:val="single" w:sz="4" w:space="1" w:color="auto"/>
          <w:bottom w:val="single" w:sz="4" w:space="1" w:color="auto"/>
        </w:pBdr>
        <w:spacing w:line="360" w:lineRule="auto"/>
        <w:jc w:val="both"/>
        <w:rPr>
          <w:rFonts w:ascii="Times New Roman" w:hAnsi="Times New Roman" w:cs="Times New Roman"/>
          <w:b/>
          <w:bCs/>
          <w:szCs w:val="24"/>
        </w:rPr>
      </w:pPr>
      <w:r>
        <w:rPr>
          <w:rFonts w:ascii="Times New Roman" w:hAnsi="Times New Roman" w:cs="Times New Roman"/>
          <w:b/>
          <w:bCs/>
          <w:szCs w:val="24"/>
        </w:rPr>
        <w:t>I – IMPORT</w:t>
      </w:r>
      <w:r w:rsidR="001864E4">
        <w:rPr>
          <w:rFonts w:ascii="Times New Roman" w:hAnsi="Times New Roman" w:cs="Times New Roman"/>
          <w:b/>
          <w:bCs/>
          <w:szCs w:val="24"/>
        </w:rPr>
        <w:t>Â</w:t>
      </w:r>
      <w:r>
        <w:rPr>
          <w:rFonts w:ascii="Times New Roman" w:hAnsi="Times New Roman" w:cs="Times New Roman"/>
          <w:b/>
          <w:bCs/>
          <w:szCs w:val="24"/>
        </w:rPr>
        <w:t xml:space="preserve">NCIA DO TEMA - </w:t>
      </w:r>
      <w:r w:rsidR="0066296C">
        <w:rPr>
          <w:rFonts w:ascii="Times New Roman" w:hAnsi="Times New Roman" w:cs="Times New Roman"/>
          <w:b/>
          <w:bCs/>
          <w:szCs w:val="24"/>
        </w:rPr>
        <w:t xml:space="preserve">A INEFETIVIADADE </w:t>
      </w:r>
      <w:r w:rsidR="0020507D">
        <w:rPr>
          <w:rFonts w:ascii="Times New Roman" w:hAnsi="Times New Roman" w:cs="Times New Roman"/>
          <w:b/>
          <w:bCs/>
          <w:szCs w:val="24"/>
        </w:rPr>
        <w:t>DO ATUAL MODELO DE</w:t>
      </w:r>
      <w:r w:rsidR="0066296C">
        <w:rPr>
          <w:rFonts w:ascii="Times New Roman" w:hAnsi="Times New Roman" w:cs="Times New Roman"/>
          <w:b/>
          <w:bCs/>
          <w:szCs w:val="24"/>
        </w:rPr>
        <w:t xml:space="preserve"> EXECUAÇÃO FISCAL</w:t>
      </w:r>
    </w:p>
    <w:p w14:paraId="633BD9E3" w14:textId="77777777" w:rsidR="002A6C66" w:rsidRPr="00BC7D61" w:rsidRDefault="002A6C66" w:rsidP="00E72CB4">
      <w:pPr>
        <w:spacing w:line="360" w:lineRule="auto"/>
        <w:jc w:val="both"/>
        <w:rPr>
          <w:rFonts w:ascii="Times New Roman" w:hAnsi="Times New Roman" w:cs="Times New Roman"/>
          <w:szCs w:val="24"/>
        </w:rPr>
      </w:pPr>
    </w:p>
    <w:p w14:paraId="238066DB" w14:textId="2F255C43" w:rsidR="00BC7D61" w:rsidRDefault="00BC7D61" w:rsidP="00BC7D61">
      <w:pPr>
        <w:spacing w:line="360" w:lineRule="auto"/>
        <w:ind w:firstLine="851"/>
        <w:jc w:val="both"/>
        <w:rPr>
          <w:rFonts w:ascii="Times New Roman" w:hAnsi="Times New Roman" w:cs="Times New Roman"/>
          <w:szCs w:val="24"/>
        </w:rPr>
      </w:pPr>
      <w:r w:rsidRPr="00BC7D61">
        <w:rPr>
          <w:rFonts w:ascii="Times New Roman" w:hAnsi="Times New Roman" w:cs="Times New Roman"/>
          <w:szCs w:val="24"/>
        </w:rPr>
        <w:t xml:space="preserve">Dados </w:t>
      </w:r>
      <w:r>
        <w:rPr>
          <w:rFonts w:ascii="Times New Roman" w:hAnsi="Times New Roman" w:cs="Times New Roman"/>
          <w:szCs w:val="24"/>
        </w:rPr>
        <w:t>do CNJ apresentado no Justiça em Números de 2022</w:t>
      </w:r>
      <w:r>
        <w:rPr>
          <w:rStyle w:val="Refdenotaderodap"/>
          <w:rFonts w:ascii="Times New Roman" w:hAnsi="Times New Roman" w:cs="Times New Roman"/>
          <w:szCs w:val="24"/>
        </w:rPr>
        <w:footnoteReference w:id="1"/>
      </w:r>
      <w:r>
        <w:rPr>
          <w:rFonts w:ascii="Times New Roman" w:hAnsi="Times New Roman" w:cs="Times New Roman"/>
          <w:szCs w:val="24"/>
        </w:rPr>
        <w:t xml:space="preserve"> demonstram que 65% do total de processos de execução nos tribunais brasileiros é composto de execuções fiscais, as quais apresentaram taxa de congestionamento</w:t>
      </w:r>
      <w:r w:rsidR="0058129E">
        <w:rPr>
          <w:rFonts w:ascii="Times New Roman" w:hAnsi="Times New Roman" w:cs="Times New Roman"/>
          <w:szCs w:val="24"/>
        </w:rPr>
        <w:t xml:space="preserve"> (ausência de tramitação)</w:t>
      </w:r>
      <w:r>
        <w:rPr>
          <w:rFonts w:ascii="Times New Roman" w:hAnsi="Times New Roman" w:cs="Times New Roman"/>
          <w:szCs w:val="24"/>
        </w:rPr>
        <w:t xml:space="preserve"> de 90% em 2021. Correspondem as execuções fiscais por, respectivamente, 55,8%, 46,1% e 47,8% do acervo total de processos na Justiça estadual, Federal e Trabalhista.</w:t>
      </w:r>
    </w:p>
    <w:p w14:paraId="23715565" w14:textId="77777777" w:rsidR="004C61BC" w:rsidRDefault="00775C7B" w:rsidP="00BC7D61">
      <w:pPr>
        <w:spacing w:line="360" w:lineRule="auto"/>
        <w:ind w:firstLine="851"/>
        <w:jc w:val="both"/>
        <w:rPr>
          <w:rFonts w:ascii="Times New Roman" w:hAnsi="Times New Roman" w:cs="Times New Roman"/>
          <w:szCs w:val="24"/>
        </w:rPr>
      </w:pPr>
      <w:r>
        <w:rPr>
          <w:rFonts w:ascii="Times New Roman" w:hAnsi="Times New Roman" w:cs="Times New Roman"/>
          <w:szCs w:val="24"/>
        </w:rPr>
        <w:t>O Ministro Dias Tof</w:t>
      </w:r>
      <w:r w:rsidR="004C61BC">
        <w:rPr>
          <w:rFonts w:ascii="Times New Roman" w:hAnsi="Times New Roman" w:cs="Times New Roman"/>
          <w:szCs w:val="24"/>
        </w:rPr>
        <w:t>foli, em voto proferido na ADI 5.886/DF, em favor da averbação executória da Certidão de Dívida Ativa com efeitos de inalienabilidade do bem, destacou a baixa eficácia da execução fiscal, fazendo menção às considerações do saudoso Ministro Teori Zavascki, nestes termos:</w:t>
      </w:r>
    </w:p>
    <w:p w14:paraId="20ED9606" w14:textId="77777777" w:rsidR="004C61BC" w:rsidRDefault="004C61BC" w:rsidP="004C61BC">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N</w:t>
      </w:r>
      <w:r w:rsidR="002A6C66" w:rsidRPr="00775C7B">
        <w:rPr>
          <w:rFonts w:ascii="Times New Roman" w:hAnsi="Times New Roman" w:cs="Times New Roman"/>
          <w:sz w:val="20"/>
          <w:szCs w:val="20"/>
        </w:rPr>
        <w:t>o julgamento da ADI nº 5.135/DF, a Corte concluiu ser possível o protesto das certidões de dívida ativa. Na ocasião, o Ministro Teori Zavascki fez as seguintes considerações sobre esse protesto, as quais podem ser aproveitadas para o deslinde do presente caso:</w:t>
      </w:r>
    </w:p>
    <w:p w14:paraId="71849AA6" w14:textId="55A1158E" w:rsidR="002A6C66" w:rsidRPr="004C61BC" w:rsidRDefault="002A6C66" w:rsidP="004C61BC">
      <w:pPr>
        <w:spacing w:line="240" w:lineRule="auto"/>
        <w:ind w:left="2268"/>
        <w:jc w:val="both"/>
        <w:rPr>
          <w:rFonts w:ascii="Times New Roman" w:hAnsi="Times New Roman" w:cs="Times New Roman"/>
          <w:sz w:val="20"/>
          <w:szCs w:val="20"/>
          <w:u w:val="single"/>
        </w:rPr>
      </w:pPr>
      <w:r w:rsidRPr="00775C7B">
        <w:rPr>
          <w:rFonts w:ascii="Times New Roman" w:hAnsi="Times New Roman" w:cs="Times New Roman"/>
          <w:sz w:val="20"/>
          <w:szCs w:val="20"/>
        </w:rPr>
        <w:t>“[P]</w:t>
      </w:r>
      <w:proofErr w:type="spellStart"/>
      <w:r w:rsidRPr="00775C7B">
        <w:rPr>
          <w:rFonts w:ascii="Times New Roman" w:hAnsi="Times New Roman" w:cs="Times New Roman"/>
          <w:sz w:val="20"/>
          <w:szCs w:val="20"/>
        </w:rPr>
        <w:t>or</w:t>
      </w:r>
      <w:proofErr w:type="spellEnd"/>
      <w:r w:rsidRPr="00775C7B">
        <w:rPr>
          <w:rFonts w:ascii="Times New Roman" w:hAnsi="Times New Roman" w:cs="Times New Roman"/>
          <w:sz w:val="20"/>
          <w:szCs w:val="20"/>
        </w:rPr>
        <w:t xml:space="preserve"> que esse meio [protesto das CDAs] seria legítimo para o particular, e não o seria para o Fisco nas mesmas condições? Eu penso que aqui o protesto está sendo atacado por sua eficiência e não pela sua ineficiência. </w:t>
      </w:r>
      <w:r w:rsidRPr="004C61BC">
        <w:rPr>
          <w:rFonts w:ascii="Times New Roman" w:hAnsi="Times New Roman" w:cs="Times New Roman"/>
          <w:b/>
          <w:bCs/>
          <w:sz w:val="20"/>
          <w:szCs w:val="20"/>
        </w:rPr>
        <w:t xml:space="preserve">Quer dizer, quando se fala aqui - ouvi da tribuna - </w:t>
      </w:r>
      <w:r w:rsidRPr="004C61BC">
        <w:rPr>
          <w:rFonts w:ascii="Times New Roman" w:hAnsi="Times New Roman" w:cs="Times New Roman"/>
          <w:b/>
          <w:bCs/>
          <w:sz w:val="20"/>
          <w:szCs w:val="20"/>
        </w:rPr>
        <w:lastRenderedPageBreak/>
        <w:t xml:space="preserve">sobre adequação, especialmente sobre o princípio da adequação, </w:t>
      </w:r>
      <w:r w:rsidRPr="004C61BC">
        <w:rPr>
          <w:rFonts w:ascii="Times New Roman" w:hAnsi="Times New Roman" w:cs="Times New Roman"/>
          <w:b/>
          <w:bCs/>
          <w:sz w:val="20"/>
          <w:szCs w:val="20"/>
          <w:u w:val="single"/>
        </w:rPr>
        <w:t>na verdade</w:t>
      </w:r>
      <w:r w:rsidRPr="004C61BC">
        <w:rPr>
          <w:rFonts w:ascii="Times New Roman" w:hAnsi="Times New Roman" w:cs="Times New Roman"/>
          <w:b/>
          <w:bCs/>
          <w:sz w:val="20"/>
          <w:szCs w:val="20"/>
        </w:rPr>
        <w:t xml:space="preserve">, </w:t>
      </w:r>
      <w:r w:rsidRPr="004C61BC">
        <w:rPr>
          <w:rFonts w:ascii="Times New Roman" w:hAnsi="Times New Roman" w:cs="Times New Roman"/>
          <w:b/>
          <w:bCs/>
          <w:sz w:val="20"/>
          <w:szCs w:val="20"/>
          <w:u w:val="single"/>
        </w:rPr>
        <w:t>nós tínhamos que falar da inadequação da execução fiscal, que é um meio de cobrança provadamente inadequado</w:t>
      </w:r>
      <w:r w:rsidRPr="00775C7B">
        <w:rPr>
          <w:rFonts w:ascii="Times New Roman" w:hAnsi="Times New Roman" w:cs="Times New Roman"/>
          <w:sz w:val="20"/>
          <w:szCs w:val="20"/>
        </w:rPr>
        <w:t xml:space="preserve">. </w:t>
      </w:r>
      <w:r w:rsidRPr="004C61BC">
        <w:rPr>
          <w:rFonts w:ascii="Times New Roman" w:hAnsi="Times New Roman" w:cs="Times New Roman"/>
          <w:sz w:val="20"/>
          <w:szCs w:val="20"/>
          <w:u w:val="single"/>
        </w:rPr>
        <w:t>Essa estatística de que quarenta por cento do estoque de processos judiciais se referem à execução fiscal é estarrecedora. Essa é a verdade. Hoje a execução fiscal não funciona, porque ela permite estratagemas de demora por parte do devedor, que geralmente se dá por falta de um substrato patrimonial do devedor para arcar com a dívida. Lamentavelmente, o Judiciário arca com esse ônus, o que acho injusto, de ter essa estatística e de se dizer - que é uma verdade, embora não seja uma verdade que deva ser carregada contra o Judiciário - de que a execução fiscal não funciona. Os processos ficam parados nas prateleiras do Poder Judiciário</w:t>
      </w:r>
      <w:r w:rsidR="00775C7B" w:rsidRPr="004C61BC">
        <w:rPr>
          <w:rFonts w:ascii="Times New Roman" w:hAnsi="Times New Roman" w:cs="Times New Roman"/>
          <w:sz w:val="20"/>
          <w:szCs w:val="20"/>
          <w:u w:val="single"/>
        </w:rPr>
        <w:t>.</w:t>
      </w:r>
    </w:p>
    <w:p w14:paraId="370FCCB2" w14:textId="77777777" w:rsidR="00775C7B" w:rsidRDefault="00775C7B" w:rsidP="00775C7B">
      <w:pPr>
        <w:spacing w:line="240" w:lineRule="auto"/>
        <w:jc w:val="both"/>
        <w:rPr>
          <w:rFonts w:ascii="Times New Roman" w:hAnsi="Times New Roman" w:cs="Times New Roman"/>
          <w:sz w:val="20"/>
          <w:szCs w:val="20"/>
        </w:rPr>
      </w:pPr>
    </w:p>
    <w:p w14:paraId="5FB1C30E" w14:textId="21A127C9" w:rsidR="00775C7B" w:rsidRDefault="004C61BC" w:rsidP="00775C7B">
      <w:pPr>
        <w:spacing w:line="360" w:lineRule="auto"/>
        <w:ind w:firstLine="851"/>
        <w:jc w:val="both"/>
        <w:rPr>
          <w:rFonts w:ascii="Times New Roman" w:hAnsi="Times New Roman" w:cs="Times New Roman"/>
          <w:szCs w:val="24"/>
        </w:rPr>
      </w:pPr>
      <w:r>
        <w:rPr>
          <w:rFonts w:ascii="Times New Roman" w:hAnsi="Times New Roman" w:cs="Times New Roman"/>
          <w:szCs w:val="24"/>
        </w:rPr>
        <w:t>Se as execuções fiscais têm baixa resolutividade, de modo a frustrar em alto grau a finalidade que tem como meio satisfativo do crédito fiscal, p</w:t>
      </w:r>
      <w:r w:rsidR="00775C7B">
        <w:rPr>
          <w:rFonts w:ascii="Times New Roman" w:hAnsi="Times New Roman" w:cs="Times New Roman"/>
          <w:szCs w:val="24"/>
        </w:rPr>
        <w:t>or outro lado, as execuções fiscais proporcionaram arrecadação de 44,6 bilhões de reais no ano de 2021.</w:t>
      </w:r>
    </w:p>
    <w:p w14:paraId="533D53FE" w14:textId="3BD83CBF" w:rsidR="004C61BC" w:rsidRDefault="004C61BC" w:rsidP="00775C7B">
      <w:pPr>
        <w:spacing w:line="360" w:lineRule="auto"/>
        <w:ind w:firstLine="851"/>
        <w:jc w:val="both"/>
        <w:rPr>
          <w:rFonts w:ascii="Times New Roman" w:hAnsi="Times New Roman" w:cs="Times New Roman"/>
          <w:szCs w:val="24"/>
        </w:rPr>
      </w:pPr>
      <w:r>
        <w:rPr>
          <w:rFonts w:ascii="Times New Roman" w:hAnsi="Times New Roman" w:cs="Times New Roman"/>
          <w:szCs w:val="24"/>
        </w:rPr>
        <w:t xml:space="preserve">Logo, a averbação </w:t>
      </w:r>
      <w:proofErr w:type="spellStart"/>
      <w:r>
        <w:rPr>
          <w:rFonts w:ascii="Times New Roman" w:hAnsi="Times New Roman" w:cs="Times New Roman"/>
          <w:szCs w:val="24"/>
        </w:rPr>
        <w:t>pré</w:t>
      </w:r>
      <w:proofErr w:type="spellEnd"/>
      <w:r>
        <w:rPr>
          <w:rFonts w:ascii="Times New Roman" w:hAnsi="Times New Roman" w:cs="Times New Roman"/>
          <w:szCs w:val="24"/>
        </w:rPr>
        <w:t>-executiva de CDA com efeito de tornar inalienável o respectivo bem, tem capacidade evidente de melhorar os índices de êxito das execuções fiscais e, por consequência lógica, da própria arrecadação fiscal</w:t>
      </w:r>
      <w:r w:rsidR="00CC166C">
        <w:rPr>
          <w:rFonts w:ascii="Times New Roman" w:hAnsi="Times New Roman" w:cs="Times New Roman"/>
          <w:szCs w:val="24"/>
        </w:rPr>
        <w:t>, de onde vem, ao fim e ao cabo, os meios de custeio do Estado brasileiro.</w:t>
      </w:r>
      <w:r>
        <w:rPr>
          <w:rFonts w:ascii="Times New Roman" w:hAnsi="Times New Roman" w:cs="Times New Roman"/>
          <w:szCs w:val="24"/>
        </w:rPr>
        <w:t xml:space="preserve"> </w:t>
      </w:r>
    </w:p>
    <w:p w14:paraId="6F35029A" w14:textId="77777777" w:rsidR="00775C7B" w:rsidRPr="00775C7B" w:rsidRDefault="00775C7B" w:rsidP="00775C7B">
      <w:pPr>
        <w:spacing w:line="240" w:lineRule="auto"/>
        <w:jc w:val="both"/>
        <w:rPr>
          <w:rFonts w:ascii="Times New Roman" w:hAnsi="Times New Roman" w:cs="Times New Roman"/>
          <w:b/>
          <w:bCs/>
          <w:sz w:val="20"/>
          <w:szCs w:val="20"/>
        </w:rPr>
      </w:pPr>
    </w:p>
    <w:p w14:paraId="17B1F59A" w14:textId="5AB82E9D" w:rsidR="00E72CB4" w:rsidRDefault="00325F25" w:rsidP="008C55D6">
      <w:pPr>
        <w:pBdr>
          <w:top w:val="single" w:sz="4" w:space="1" w:color="auto"/>
          <w:bottom w:val="single" w:sz="4" w:space="1" w:color="auto"/>
        </w:pBdr>
        <w:spacing w:line="360" w:lineRule="auto"/>
        <w:jc w:val="both"/>
        <w:rPr>
          <w:rFonts w:ascii="Times New Roman" w:hAnsi="Times New Roman" w:cs="Times New Roman"/>
          <w:b/>
          <w:bCs/>
          <w:szCs w:val="24"/>
        </w:rPr>
      </w:pPr>
      <w:r>
        <w:rPr>
          <w:rFonts w:ascii="Times New Roman" w:hAnsi="Times New Roman" w:cs="Times New Roman"/>
          <w:b/>
          <w:bCs/>
          <w:szCs w:val="24"/>
        </w:rPr>
        <w:t>I</w:t>
      </w:r>
      <w:r w:rsidR="00A768CE">
        <w:rPr>
          <w:rFonts w:ascii="Times New Roman" w:hAnsi="Times New Roman" w:cs="Times New Roman"/>
          <w:b/>
          <w:bCs/>
          <w:szCs w:val="24"/>
        </w:rPr>
        <w:t>I</w:t>
      </w:r>
      <w:r w:rsidR="008C55D6">
        <w:rPr>
          <w:rFonts w:ascii="Times New Roman" w:hAnsi="Times New Roman" w:cs="Times New Roman"/>
          <w:b/>
          <w:bCs/>
          <w:szCs w:val="24"/>
        </w:rPr>
        <w:t xml:space="preserve"> -</w:t>
      </w:r>
      <w:r w:rsidR="00E72CB4" w:rsidRPr="00BF185E">
        <w:rPr>
          <w:rFonts w:ascii="Times New Roman" w:hAnsi="Times New Roman" w:cs="Times New Roman"/>
          <w:b/>
          <w:bCs/>
          <w:szCs w:val="24"/>
        </w:rPr>
        <w:t xml:space="preserve"> </w:t>
      </w:r>
      <w:r w:rsidR="008C55D6">
        <w:rPr>
          <w:rFonts w:ascii="Times New Roman" w:hAnsi="Times New Roman" w:cs="Times New Roman"/>
          <w:b/>
          <w:bCs/>
          <w:szCs w:val="24"/>
        </w:rPr>
        <w:t>DO JULGAMENTO DE INCONSTITUCIONALIDADE DA PARTE FINAL DO INCISO II DO §3º DO ART. 20-B DA LEI 10.522/2002 – ADI 5.886/DF</w:t>
      </w:r>
    </w:p>
    <w:p w14:paraId="1316F73A" w14:textId="77777777" w:rsidR="003B19C0" w:rsidRDefault="003B19C0" w:rsidP="00E72CB4">
      <w:pPr>
        <w:spacing w:line="360" w:lineRule="auto"/>
        <w:jc w:val="both"/>
        <w:rPr>
          <w:rFonts w:ascii="Times New Roman" w:hAnsi="Times New Roman" w:cs="Times New Roman"/>
          <w:b/>
          <w:bCs/>
          <w:szCs w:val="24"/>
        </w:rPr>
      </w:pPr>
    </w:p>
    <w:p w14:paraId="6EF5E1BF" w14:textId="08906967" w:rsidR="004779B1" w:rsidRDefault="003B19C0" w:rsidP="003B19C0">
      <w:pPr>
        <w:spacing w:line="360" w:lineRule="auto"/>
        <w:ind w:firstLine="851"/>
        <w:jc w:val="both"/>
        <w:rPr>
          <w:rFonts w:ascii="Times New Roman" w:hAnsi="Times New Roman" w:cs="Times New Roman"/>
          <w:szCs w:val="24"/>
        </w:rPr>
      </w:pPr>
      <w:r>
        <w:rPr>
          <w:rFonts w:ascii="Times New Roman" w:hAnsi="Times New Roman" w:cs="Times New Roman"/>
          <w:szCs w:val="24"/>
        </w:rPr>
        <w:t>A sério, o</w:t>
      </w:r>
      <w:r w:rsidRPr="003B19C0">
        <w:rPr>
          <w:rFonts w:ascii="Times New Roman" w:hAnsi="Times New Roman" w:cs="Times New Roman"/>
          <w:szCs w:val="24"/>
        </w:rPr>
        <w:t xml:space="preserve"> tema </w:t>
      </w:r>
      <w:r>
        <w:rPr>
          <w:rFonts w:ascii="Times New Roman" w:hAnsi="Times New Roman" w:cs="Times New Roman"/>
          <w:szCs w:val="24"/>
        </w:rPr>
        <w:t xml:space="preserve">da indisponibilidade de bens por ato </w:t>
      </w:r>
      <w:r w:rsidR="0053038D">
        <w:rPr>
          <w:rFonts w:ascii="Times New Roman" w:hAnsi="Times New Roman" w:cs="Times New Roman"/>
          <w:szCs w:val="24"/>
        </w:rPr>
        <w:t>Fazenda Pública</w:t>
      </w:r>
      <w:r>
        <w:rPr>
          <w:rFonts w:ascii="Times New Roman" w:hAnsi="Times New Roman" w:cs="Times New Roman"/>
          <w:szCs w:val="24"/>
        </w:rPr>
        <w:t>, após inscrição do débito em dívida ativa, mas em etapa prévia à execução judicial, não prescinde que se encontre uma forma de superar o resultado do julgamento que declarou a inconstitucionalidade da parte final do inciso II do parágrafo 3º do artigo 20-B da Lei nº 10.522/2002, com redação dada pela Lei nº 13.606/2018.</w:t>
      </w:r>
    </w:p>
    <w:p w14:paraId="4E1CB8B1" w14:textId="59CAE8BE" w:rsidR="003B19C0" w:rsidRDefault="003E3D1C" w:rsidP="003B19C0">
      <w:pPr>
        <w:spacing w:line="360" w:lineRule="auto"/>
        <w:ind w:firstLine="851"/>
        <w:jc w:val="both"/>
        <w:rPr>
          <w:rFonts w:ascii="Times New Roman" w:hAnsi="Times New Roman" w:cs="Times New Roman"/>
          <w:szCs w:val="24"/>
        </w:rPr>
      </w:pPr>
      <w:r>
        <w:rPr>
          <w:rFonts w:ascii="Times New Roman" w:hAnsi="Times New Roman" w:cs="Times New Roman"/>
          <w:szCs w:val="24"/>
        </w:rPr>
        <w:t>Referido dispositivo legal foi lavrado com a seguinte redação:</w:t>
      </w:r>
    </w:p>
    <w:p w14:paraId="57031CFF" w14:textId="554976E6" w:rsidR="003E3D1C" w:rsidRPr="003E3D1C" w:rsidRDefault="003E3D1C" w:rsidP="00E777AC">
      <w:pPr>
        <w:shd w:val="clear" w:color="auto" w:fill="FFFFFF"/>
        <w:spacing w:before="100" w:beforeAutospacing="1" w:after="100" w:afterAutospacing="1" w:line="240" w:lineRule="auto"/>
        <w:ind w:left="2268"/>
        <w:jc w:val="both"/>
        <w:rPr>
          <w:rFonts w:ascii="Times New Roman" w:eastAsia="Times New Roman" w:hAnsi="Times New Roman" w:cs="Times New Roman"/>
          <w:color w:val="000000"/>
          <w:sz w:val="20"/>
          <w:szCs w:val="20"/>
          <w:lang w:eastAsia="pt-BR"/>
        </w:rPr>
      </w:pPr>
      <w:r w:rsidRPr="003E3D1C">
        <w:rPr>
          <w:rFonts w:ascii="Times New Roman" w:eastAsia="Times New Roman" w:hAnsi="Times New Roman" w:cs="Times New Roman"/>
          <w:color w:val="000000"/>
          <w:sz w:val="20"/>
          <w:szCs w:val="20"/>
          <w:lang w:eastAsia="pt-BR"/>
        </w:rPr>
        <w:t>Art. 20-B. Inscrito o crédito em dívida ativa da União, o devedor será notificado para, em até cinco dias, efetuar o pagamento do valor atualizado monetariamente, acrescido de juros, multa e demais encargos nela indicados</w:t>
      </w:r>
      <w:r w:rsidR="00E777AC">
        <w:rPr>
          <w:rFonts w:ascii="Times New Roman" w:eastAsia="Times New Roman" w:hAnsi="Times New Roman" w:cs="Times New Roman"/>
          <w:color w:val="000000"/>
          <w:sz w:val="20"/>
          <w:szCs w:val="20"/>
          <w:lang w:eastAsia="pt-BR"/>
        </w:rPr>
        <w:t>.</w:t>
      </w:r>
      <w:bookmarkStart w:id="0" w:name="art20b§1"/>
      <w:bookmarkEnd w:id="0"/>
      <w:r w:rsidR="00E777AC">
        <w:rPr>
          <w:rFonts w:ascii="Times New Roman" w:eastAsia="Times New Roman" w:hAnsi="Times New Roman" w:cs="Times New Roman"/>
          <w:color w:val="000000"/>
          <w:sz w:val="20"/>
          <w:szCs w:val="20"/>
          <w:lang w:eastAsia="pt-BR"/>
        </w:rPr>
        <w:t xml:space="preserve"> </w:t>
      </w:r>
      <w:r>
        <w:rPr>
          <w:rFonts w:ascii="Times New Roman" w:eastAsia="Times New Roman" w:hAnsi="Times New Roman" w:cs="Times New Roman"/>
          <w:color w:val="000000"/>
          <w:sz w:val="20"/>
          <w:szCs w:val="20"/>
          <w:lang w:eastAsia="pt-BR"/>
        </w:rPr>
        <w:t>(...)</w:t>
      </w:r>
    </w:p>
    <w:p w14:paraId="1359A3C0" w14:textId="7672C09E" w:rsidR="003E3D1C" w:rsidRPr="003E3D1C" w:rsidRDefault="003E3D1C" w:rsidP="00E777AC">
      <w:pPr>
        <w:shd w:val="clear" w:color="auto" w:fill="FFFFFF"/>
        <w:spacing w:before="100" w:beforeAutospacing="1" w:after="100" w:afterAutospacing="1" w:line="240" w:lineRule="auto"/>
        <w:ind w:left="2268"/>
        <w:jc w:val="both"/>
        <w:rPr>
          <w:rFonts w:ascii="Times New Roman" w:eastAsia="Times New Roman" w:hAnsi="Times New Roman" w:cs="Times New Roman"/>
          <w:color w:val="000000"/>
          <w:sz w:val="20"/>
          <w:szCs w:val="20"/>
          <w:lang w:eastAsia="pt-BR"/>
        </w:rPr>
      </w:pPr>
      <w:bookmarkStart w:id="1" w:name="art20b§3"/>
      <w:bookmarkEnd w:id="1"/>
      <w:r w:rsidRPr="003E3D1C">
        <w:rPr>
          <w:rFonts w:ascii="Times New Roman" w:eastAsia="Times New Roman" w:hAnsi="Times New Roman" w:cs="Times New Roman"/>
          <w:color w:val="000000"/>
          <w:sz w:val="20"/>
          <w:szCs w:val="20"/>
          <w:lang w:eastAsia="pt-BR"/>
        </w:rPr>
        <w:t>§ 3</w:t>
      </w:r>
      <w:r w:rsidRPr="003E3D1C">
        <w:rPr>
          <w:rFonts w:ascii="Times New Roman" w:eastAsia="Times New Roman" w:hAnsi="Times New Roman" w:cs="Times New Roman"/>
          <w:color w:val="000000"/>
          <w:sz w:val="20"/>
          <w:szCs w:val="20"/>
          <w:u w:val="single"/>
          <w:vertAlign w:val="superscript"/>
          <w:lang w:eastAsia="pt-BR"/>
        </w:rPr>
        <w:t>o</w:t>
      </w:r>
      <w:r w:rsidRPr="003E3D1C">
        <w:rPr>
          <w:rFonts w:ascii="Times New Roman" w:eastAsia="Times New Roman" w:hAnsi="Times New Roman" w:cs="Times New Roman"/>
          <w:color w:val="000000"/>
          <w:sz w:val="20"/>
          <w:szCs w:val="20"/>
          <w:lang w:eastAsia="pt-BR"/>
        </w:rPr>
        <w:t>  Não pago o débito no prazo fixado no </w:t>
      </w:r>
      <w:r w:rsidRPr="003E3D1C">
        <w:rPr>
          <w:rFonts w:ascii="Times New Roman" w:eastAsia="Times New Roman" w:hAnsi="Times New Roman" w:cs="Times New Roman"/>
          <w:b/>
          <w:bCs/>
          <w:color w:val="000000"/>
          <w:sz w:val="20"/>
          <w:szCs w:val="20"/>
          <w:lang w:eastAsia="pt-BR"/>
        </w:rPr>
        <w:t>caput</w:t>
      </w:r>
      <w:r w:rsidRPr="003E3D1C">
        <w:rPr>
          <w:rFonts w:ascii="Times New Roman" w:eastAsia="Times New Roman" w:hAnsi="Times New Roman" w:cs="Times New Roman"/>
          <w:i/>
          <w:iCs/>
          <w:color w:val="000000"/>
          <w:sz w:val="20"/>
          <w:szCs w:val="20"/>
          <w:lang w:eastAsia="pt-BR"/>
        </w:rPr>
        <w:t> </w:t>
      </w:r>
      <w:r w:rsidRPr="003E3D1C">
        <w:rPr>
          <w:rFonts w:ascii="Times New Roman" w:eastAsia="Times New Roman" w:hAnsi="Times New Roman" w:cs="Times New Roman"/>
          <w:color w:val="000000"/>
          <w:sz w:val="20"/>
          <w:szCs w:val="20"/>
          <w:lang w:eastAsia="pt-BR"/>
        </w:rPr>
        <w:t>deste artigo, a Fazenda Pública poderá:   </w:t>
      </w:r>
      <w:hyperlink r:id="rId8" w:anchor="art25" w:history="1">
        <w:r w:rsidRPr="003E3D1C">
          <w:rPr>
            <w:rFonts w:ascii="Times New Roman" w:eastAsia="Times New Roman" w:hAnsi="Times New Roman" w:cs="Times New Roman"/>
            <w:color w:val="0000FF"/>
            <w:sz w:val="20"/>
            <w:szCs w:val="20"/>
            <w:u w:val="single"/>
            <w:lang w:eastAsia="pt-BR"/>
          </w:rPr>
          <w:t>(Incluído pela Lei nº 13.606, de 2018)</w:t>
        </w:r>
      </w:hyperlink>
      <w:r w:rsidRPr="003E3D1C">
        <w:rPr>
          <w:rFonts w:ascii="Times New Roman" w:eastAsia="Times New Roman" w:hAnsi="Times New Roman" w:cs="Times New Roman"/>
          <w:color w:val="000000"/>
          <w:sz w:val="20"/>
          <w:szCs w:val="20"/>
          <w:lang w:eastAsia="pt-BR"/>
        </w:rPr>
        <w:t xml:space="preserve">    </w:t>
      </w:r>
    </w:p>
    <w:p w14:paraId="70EBBF49" w14:textId="77777777" w:rsidR="003E3D1C" w:rsidRPr="003E3D1C" w:rsidRDefault="003E3D1C" w:rsidP="00E777AC">
      <w:pPr>
        <w:shd w:val="clear" w:color="auto" w:fill="FFFFFF"/>
        <w:spacing w:before="100" w:beforeAutospacing="1" w:after="100" w:afterAutospacing="1" w:line="240" w:lineRule="auto"/>
        <w:ind w:left="2268"/>
        <w:jc w:val="both"/>
        <w:rPr>
          <w:rFonts w:ascii="Times New Roman" w:eastAsia="Times New Roman" w:hAnsi="Times New Roman" w:cs="Times New Roman"/>
          <w:color w:val="000000"/>
          <w:sz w:val="20"/>
          <w:szCs w:val="20"/>
          <w:lang w:eastAsia="pt-BR"/>
        </w:rPr>
      </w:pPr>
      <w:bookmarkStart w:id="2" w:name="art20b§3i"/>
      <w:bookmarkEnd w:id="2"/>
      <w:r w:rsidRPr="003E3D1C">
        <w:rPr>
          <w:rFonts w:ascii="Times New Roman" w:eastAsia="Times New Roman" w:hAnsi="Times New Roman" w:cs="Times New Roman"/>
          <w:color w:val="000000"/>
          <w:sz w:val="20"/>
          <w:szCs w:val="20"/>
          <w:lang w:eastAsia="pt-BR"/>
        </w:rPr>
        <w:t>I - comunicar a inscrição em dívida ativa aos órgãos que operam bancos de dados e cadastros relativos a consumidores e aos serviços de proteção ao crédito e congêneres; e     </w:t>
      </w:r>
      <w:hyperlink r:id="rId9" w:anchor="art25" w:history="1">
        <w:r w:rsidRPr="003E3D1C">
          <w:rPr>
            <w:rFonts w:ascii="Times New Roman" w:eastAsia="Times New Roman" w:hAnsi="Times New Roman" w:cs="Times New Roman"/>
            <w:color w:val="0000FF"/>
            <w:sz w:val="20"/>
            <w:szCs w:val="20"/>
            <w:u w:val="single"/>
            <w:lang w:eastAsia="pt-BR"/>
          </w:rPr>
          <w:t>(Incluído pela Lei nº 13.606, de 2018)</w:t>
        </w:r>
      </w:hyperlink>
    </w:p>
    <w:p w14:paraId="1F1638C0" w14:textId="56549C9E" w:rsidR="003E3D1C" w:rsidRPr="003E3D1C" w:rsidRDefault="003E3D1C" w:rsidP="00E777AC">
      <w:pPr>
        <w:shd w:val="clear" w:color="auto" w:fill="FFFFFF"/>
        <w:spacing w:before="100" w:beforeAutospacing="1" w:after="100" w:afterAutospacing="1" w:line="240" w:lineRule="auto"/>
        <w:ind w:left="2268"/>
        <w:jc w:val="both"/>
        <w:rPr>
          <w:rFonts w:ascii="Times New Roman" w:eastAsia="Times New Roman" w:hAnsi="Times New Roman" w:cs="Times New Roman"/>
          <w:color w:val="000000"/>
          <w:sz w:val="20"/>
          <w:szCs w:val="20"/>
          <w:lang w:eastAsia="pt-BR"/>
        </w:rPr>
      </w:pPr>
      <w:bookmarkStart w:id="3" w:name="art20b§3ii"/>
      <w:bookmarkEnd w:id="3"/>
      <w:r w:rsidRPr="003E3D1C">
        <w:rPr>
          <w:rFonts w:ascii="Times New Roman" w:eastAsia="Times New Roman" w:hAnsi="Times New Roman" w:cs="Times New Roman"/>
          <w:color w:val="000000"/>
          <w:sz w:val="20"/>
          <w:szCs w:val="20"/>
          <w:lang w:eastAsia="pt-BR"/>
        </w:rPr>
        <w:lastRenderedPageBreak/>
        <w:t xml:space="preserve">II - </w:t>
      </w:r>
      <w:proofErr w:type="gramStart"/>
      <w:r w:rsidRPr="003E3D1C">
        <w:rPr>
          <w:rFonts w:ascii="Times New Roman" w:eastAsia="Times New Roman" w:hAnsi="Times New Roman" w:cs="Times New Roman"/>
          <w:color w:val="000000"/>
          <w:sz w:val="20"/>
          <w:szCs w:val="20"/>
          <w:lang w:eastAsia="pt-BR"/>
        </w:rPr>
        <w:t>averbar</w:t>
      </w:r>
      <w:proofErr w:type="gramEnd"/>
      <w:r w:rsidRPr="003E3D1C">
        <w:rPr>
          <w:rFonts w:ascii="Times New Roman" w:eastAsia="Times New Roman" w:hAnsi="Times New Roman" w:cs="Times New Roman"/>
          <w:color w:val="000000"/>
          <w:sz w:val="20"/>
          <w:szCs w:val="20"/>
          <w:lang w:eastAsia="pt-BR"/>
        </w:rPr>
        <w:t>, inclusive por meio eletrônico, a certidão de dívida ativa nos órgãos de registro de bens e direitos sujeitos a arresto ou penhora</w:t>
      </w:r>
      <w:r w:rsidRPr="003E3D1C">
        <w:rPr>
          <w:rFonts w:ascii="Times New Roman" w:eastAsia="Times New Roman" w:hAnsi="Times New Roman" w:cs="Times New Roman"/>
          <w:b/>
          <w:bCs/>
          <w:color w:val="000000"/>
          <w:sz w:val="20"/>
          <w:szCs w:val="20"/>
          <w:lang w:eastAsia="pt-BR"/>
        </w:rPr>
        <w:t>, tornando-os indisponíveis</w:t>
      </w:r>
      <w:r w:rsidRPr="003E3D1C">
        <w:rPr>
          <w:rFonts w:ascii="Times New Roman" w:eastAsia="Times New Roman" w:hAnsi="Times New Roman" w:cs="Times New Roman"/>
          <w:color w:val="000000"/>
          <w:sz w:val="20"/>
          <w:szCs w:val="20"/>
          <w:lang w:eastAsia="pt-BR"/>
        </w:rPr>
        <w:t>.  </w:t>
      </w:r>
      <w:hyperlink r:id="rId10" w:anchor="art25" w:history="1">
        <w:r w:rsidRPr="003E3D1C">
          <w:rPr>
            <w:rFonts w:ascii="Times New Roman" w:eastAsia="Times New Roman" w:hAnsi="Times New Roman" w:cs="Times New Roman"/>
            <w:color w:val="0000FF"/>
            <w:sz w:val="20"/>
            <w:szCs w:val="20"/>
            <w:u w:val="single"/>
            <w:lang w:eastAsia="pt-BR"/>
          </w:rPr>
          <w:t>(Incluído pela Lei nº 13.606, de 2018)</w:t>
        </w:r>
      </w:hyperlink>
      <w:r>
        <w:rPr>
          <w:rFonts w:ascii="Times New Roman" w:eastAsia="Times New Roman" w:hAnsi="Times New Roman" w:cs="Times New Roman"/>
          <w:color w:val="000000"/>
          <w:sz w:val="20"/>
          <w:szCs w:val="20"/>
          <w:lang w:eastAsia="pt-BR"/>
        </w:rPr>
        <w:t xml:space="preserve"> </w:t>
      </w:r>
    </w:p>
    <w:p w14:paraId="020BB56B" w14:textId="77777777" w:rsidR="003E3D1C" w:rsidRPr="003E3D1C" w:rsidRDefault="003E3D1C" w:rsidP="003E3D1C">
      <w:pPr>
        <w:spacing w:line="240" w:lineRule="auto"/>
        <w:ind w:left="2268"/>
        <w:jc w:val="both"/>
        <w:rPr>
          <w:rFonts w:ascii="Times New Roman" w:hAnsi="Times New Roman" w:cs="Times New Roman"/>
          <w:sz w:val="20"/>
          <w:szCs w:val="20"/>
        </w:rPr>
      </w:pPr>
    </w:p>
    <w:p w14:paraId="00C94D97" w14:textId="6E800768" w:rsidR="003E3D1C" w:rsidRPr="003B19C0" w:rsidRDefault="003E3D1C" w:rsidP="003B19C0">
      <w:pPr>
        <w:spacing w:line="360" w:lineRule="auto"/>
        <w:ind w:firstLine="851"/>
        <w:jc w:val="both"/>
        <w:rPr>
          <w:rFonts w:ascii="Times New Roman" w:hAnsi="Times New Roman" w:cs="Times New Roman"/>
          <w:szCs w:val="24"/>
        </w:rPr>
      </w:pPr>
      <w:r>
        <w:rPr>
          <w:rFonts w:ascii="Times New Roman" w:hAnsi="Times New Roman" w:cs="Times New Roman"/>
          <w:szCs w:val="24"/>
        </w:rPr>
        <w:t>Como se pode verificar</w:t>
      </w:r>
      <w:r w:rsidR="00B2373F">
        <w:rPr>
          <w:rFonts w:ascii="Times New Roman" w:hAnsi="Times New Roman" w:cs="Times New Roman"/>
          <w:szCs w:val="24"/>
        </w:rPr>
        <w:t>,</w:t>
      </w:r>
      <w:r>
        <w:rPr>
          <w:rFonts w:ascii="Times New Roman" w:hAnsi="Times New Roman" w:cs="Times New Roman"/>
          <w:szCs w:val="24"/>
        </w:rPr>
        <w:t xml:space="preserve"> foram </w:t>
      </w:r>
      <w:proofErr w:type="gramStart"/>
      <w:r>
        <w:rPr>
          <w:rFonts w:ascii="Times New Roman" w:hAnsi="Times New Roman" w:cs="Times New Roman"/>
          <w:szCs w:val="24"/>
        </w:rPr>
        <w:t>algumas</w:t>
      </w:r>
      <w:r w:rsidR="00B2373F">
        <w:rPr>
          <w:rFonts w:ascii="Times New Roman" w:hAnsi="Times New Roman" w:cs="Times New Roman"/>
          <w:szCs w:val="24"/>
        </w:rPr>
        <w:t xml:space="preserve"> </w:t>
      </w:r>
      <w:proofErr w:type="spellStart"/>
      <w:r>
        <w:rPr>
          <w:rFonts w:ascii="Times New Roman" w:hAnsi="Times New Roman" w:cs="Times New Roman"/>
          <w:szCs w:val="24"/>
        </w:rPr>
        <w:t>ADIs</w:t>
      </w:r>
      <w:proofErr w:type="spellEnd"/>
      <w:proofErr w:type="gramEnd"/>
      <w:r>
        <w:rPr>
          <w:rFonts w:ascii="Times New Roman" w:hAnsi="Times New Roman" w:cs="Times New Roman"/>
          <w:szCs w:val="24"/>
        </w:rPr>
        <w:t xml:space="preserve"> </w:t>
      </w:r>
      <w:r w:rsidR="002437B9">
        <w:rPr>
          <w:rFonts w:ascii="Times New Roman" w:hAnsi="Times New Roman" w:cs="Times New Roman"/>
          <w:szCs w:val="24"/>
        </w:rPr>
        <w:t>ajuizadas</w:t>
      </w:r>
      <w:r>
        <w:rPr>
          <w:rFonts w:ascii="Times New Roman" w:hAnsi="Times New Roman" w:cs="Times New Roman"/>
          <w:szCs w:val="24"/>
        </w:rPr>
        <w:t xml:space="preserve"> a propósito da comunicação de inscrição de dívida ativa a órgãos que operam cadastros de inadimplência e da averbação da CDA em órgãos de registro de bens e direitos, com efeito de indisponibilidade, </w:t>
      </w:r>
      <w:r w:rsidR="006707BF">
        <w:rPr>
          <w:rFonts w:ascii="Times New Roman" w:hAnsi="Times New Roman" w:cs="Times New Roman"/>
          <w:szCs w:val="24"/>
        </w:rPr>
        <w:t xml:space="preserve">julgadas em conjunto </w:t>
      </w:r>
      <w:r w:rsidR="0069303B">
        <w:rPr>
          <w:rFonts w:ascii="Times New Roman" w:hAnsi="Times New Roman" w:cs="Times New Roman"/>
          <w:szCs w:val="24"/>
        </w:rPr>
        <w:t xml:space="preserve">com a </w:t>
      </w:r>
      <w:r>
        <w:rPr>
          <w:rFonts w:ascii="Times New Roman" w:hAnsi="Times New Roman" w:cs="Times New Roman"/>
          <w:szCs w:val="24"/>
        </w:rPr>
        <w:t xml:space="preserve">ADI nº 5.886/DF, </w:t>
      </w:r>
      <w:r w:rsidR="0069303B">
        <w:rPr>
          <w:rFonts w:ascii="Times New Roman" w:hAnsi="Times New Roman" w:cs="Times New Roman"/>
          <w:szCs w:val="24"/>
        </w:rPr>
        <w:t xml:space="preserve">cuja ementa restou </w:t>
      </w:r>
      <w:r w:rsidR="006707BF">
        <w:rPr>
          <w:rFonts w:ascii="Times New Roman" w:hAnsi="Times New Roman" w:cs="Times New Roman"/>
          <w:szCs w:val="24"/>
        </w:rPr>
        <w:t xml:space="preserve">assim </w:t>
      </w:r>
      <w:r>
        <w:rPr>
          <w:rFonts w:ascii="Times New Roman" w:hAnsi="Times New Roman" w:cs="Times New Roman"/>
          <w:szCs w:val="24"/>
        </w:rPr>
        <w:t>exarada:</w:t>
      </w:r>
    </w:p>
    <w:p w14:paraId="455E6E2D" w14:textId="77777777" w:rsidR="003B19C0" w:rsidRPr="003B19C0" w:rsidRDefault="003B19C0" w:rsidP="003B19C0">
      <w:pPr>
        <w:spacing w:line="360" w:lineRule="auto"/>
        <w:ind w:left="2268"/>
        <w:jc w:val="both"/>
        <w:rPr>
          <w:rFonts w:ascii="Times New Roman" w:hAnsi="Times New Roman" w:cs="Times New Roman"/>
          <w:b/>
          <w:bCs/>
          <w:sz w:val="20"/>
          <w:szCs w:val="20"/>
        </w:rPr>
      </w:pPr>
    </w:p>
    <w:p w14:paraId="56F239FE" w14:textId="77777777" w:rsidR="003B19C0" w:rsidRDefault="003B19C0" w:rsidP="00E777AC">
      <w:pPr>
        <w:spacing w:line="240" w:lineRule="auto"/>
        <w:ind w:left="2268"/>
        <w:jc w:val="both"/>
        <w:rPr>
          <w:rFonts w:ascii="Times New Roman" w:hAnsi="Times New Roman" w:cs="Times New Roman"/>
          <w:sz w:val="20"/>
          <w:szCs w:val="20"/>
        </w:rPr>
      </w:pPr>
      <w:r w:rsidRPr="003B19C0">
        <w:rPr>
          <w:rFonts w:ascii="Times New Roman" w:hAnsi="Times New Roman" w:cs="Times New Roman"/>
          <w:sz w:val="20"/>
          <w:szCs w:val="20"/>
        </w:rPr>
        <w:t>Ementa: DIREITO CONSTITUCIONAL, TRIBUTÁRIO E PROCESSUAL CIVIL. AÇÕES DIRETAS DE INCONSTITUCIONALIDADE. AVERBAÇÃO DA CERTIDÃO DE DÍVIDA ATIVA (CDA) EM ÓRGÃOS DE REGISTRO E INDISPONIBILIDADE DE BENS DO DEVEDOR EM FASE PRÉ -EXECUTÓRIA.</w:t>
      </w:r>
    </w:p>
    <w:p w14:paraId="40DB9477" w14:textId="77777777" w:rsidR="003B19C0" w:rsidRDefault="003B19C0" w:rsidP="00E777AC">
      <w:pPr>
        <w:spacing w:line="240" w:lineRule="auto"/>
        <w:ind w:left="2268"/>
        <w:jc w:val="both"/>
        <w:rPr>
          <w:rFonts w:ascii="Times New Roman" w:hAnsi="Times New Roman" w:cs="Times New Roman"/>
          <w:sz w:val="20"/>
          <w:szCs w:val="20"/>
        </w:rPr>
      </w:pPr>
      <w:r w:rsidRPr="003B19C0">
        <w:rPr>
          <w:rFonts w:ascii="Times New Roman" w:hAnsi="Times New Roman" w:cs="Times New Roman"/>
          <w:sz w:val="20"/>
          <w:szCs w:val="20"/>
        </w:rPr>
        <w:t xml:space="preserve">1. Ações diretas contra os </w:t>
      </w:r>
      <w:proofErr w:type="spellStart"/>
      <w:r w:rsidRPr="003B19C0">
        <w:rPr>
          <w:rFonts w:ascii="Times New Roman" w:hAnsi="Times New Roman" w:cs="Times New Roman"/>
          <w:sz w:val="20"/>
          <w:szCs w:val="20"/>
        </w:rPr>
        <w:t>arts</w:t>
      </w:r>
      <w:proofErr w:type="spellEnd"/>
      <w:r w:rsidRPr="003B19C0">
        <w:rPr>
          <w:rFonts w:ascii="Times New Roman" w:hAnsi="Times New Roman" w:cs="Times New Roman"/>
          <w:sz w:val="20"/>
          <w:szCs w:val="20"/>
        </w:rPr>
        <w:t>. 20-B, § 3º, II, e 20-E da Lei nº 10.522/2002, com a redação dada pela Lei nº Lei nº 13.606/2018, que (i) possibilitam a averbação da certidão de dívida ativa em órgãos de registros de bens e direitos, tornando-os indisponíveis, após a conclusão do processo administrativo fiscal, mas em momento anterior ao ajuizamento da execução fiscal; e (</w:t>
      </w:r>
      <w:proofErr w:type="spellStart"/>
      <w:r w:rsidRPr="003B19C0">
        <w:rPr>
          <w:rFonts w:ascii="Times New Roman" w:hAnsi="Times New Roman" w:cs="Times New Roman"/>
          <w:sz w:val="20"/>
          <w:szCs w:val="20"/>
        </w:rPr>
        <w:t>ii</w:t>
      </w:r>
      <w:proofErr w:type="spellEnd"/>
      <w:r w:rsidRPr="003B19C0">
        <w:rPr>
          <w:rFonts w:ascii="Times New Roman" w:hAnsi="Times New Roman" w:cs="Times New Roman"/>
          <w:sz w:val="20"/>
          <w:szCs w:val="20"/>
        </w:rPr>
        <w:t>) conferem à Procuradoria-Geral da Fazenda Nacional o poder de editar atos regulamentares.</w:t>
      </w:r>
    </w:p>
    <w:p w14:paraId="49C8F704" w14:textId="77777777" w:rsidR="003B19C0" w:rsidRDefault="003B19C0" w:rsidP="00E777AC">
      <w:pPr>
        <w:spacing w:line="240" w:lineRule="auto"/>
        <w:ind w:left="2268"/>
        <w:jc w:val="both"/>
        <w:rPr>
          <w:rFonts w:ascii="Times New Roman" w:hAnsi="Times New Roman" w:cs="Times New Roman"/>
          <w:sz w:val="20"/>
          <w:szCs w:val="20"/>
        </w:rPr>
      </w:pPr>
      <w:r w:rsidRPr="003B19C0">
        <w:rPr>
          <w:rFonts w:ascii="Times New Roman" w:hAnsi="Times New Roman" w:cs="Times New Roman"/>
          <w:sz w:val="20"/>
          <w:szCs w:val="20"/>
        </w:rPr>
        <w:t>2. Ausência de inconstitucionalidade formal. Matéria não reservada à lei complementar. Os dispositivos impugnados não cuidam de normas gerais atinentes ao crédito tributário, pois não interferem na regulamentação uniforme acerca dos elementos essenciais para a definição de crédito. Trata-se de normas procedimentais, que determinam o modo como a Fazenda Pública federal tratará o crédito tributário após a sua constituição definitiva.</w:t>
      </w:r>
    </w:p>
    <w:p w14:paraId="68466E95" w14:textId="77777777" w:rsidR="003B19C0" w:rsidRDefault="003B19C0" w:rsidP="00E777AC">
      <w:pPr>
        <w:spacing w:line="240" w:lineRule="auto"/>
        <w:ind w:left="2268"/>
        <w:jc w:val="both"/>
        <w:rPr>
          <w:rFonts w:ascii="Times New Roman" w:hAnsi="Times New Roman" w:cs="Times New Roman"/>
          <w:sz w:val="20"/>
          <w:szCs w:val="20"/>
        </w:rPr>
      </w:pPr>
      <w:r w:rsidRPr="003B19C0">
        <w:rPr>
          <w:rFonts w:ascii="Times New Roman" w:hAnsi="Times New Roman" w:cs="Times New Roman"/>
          <w:sz w:val="20"/>
          <w:szCs w:val="20"/>
        </w:rPr>
        <w:t xml:space="preserve">3. Constitucionalidade da averbação da certidão de dívida ativa em registros de bens e direitos em fase anterior ao ajuizamento da execução fiscal. A mera averbação da CDA não viola o devido processo legal, o contraditório e a ampla defesa, a reserva de jurisdição e o direito de propriedade. É medida proporcional que visa à proteção da boa-fé de terceiros adquirentes de bens do devedor, ao dar publicidade à existência da dívida. Além disso, concretiza o comando contido no art. 185, caput, do Código Tributário Nacional, que presume “fraudulenta a alienação ou oneração de bens ou rendas, ou seu começo, por sujeito passivo em débito para com a Fazenda Pública, por crédito tributário regularmente inscrito como dívida ativa”. Tal presunção legal é absoluta, podendo ser afastada apenas “na hipótese de terem sido reservados, pelo devedor, bens ou rendas suficientes ao total pagamento da dívida inscrita”. </w:t>
      </w:r>
    </w:p>
    <w:p w14:paraId="226B78C6" w14:textId="77777777" w:rsidR="003B19C0" w:rsidRDefault="003B19C0" w:rsidP="00E777AC">
      <w:pPr>
        <w:spacing w:line="240" w:lineRule="auto"/>
        <w:ind w:left="2268"/>
        <w:jc w:val="both"/>
        <w:rPr>
          <w:rFonts w:ascii="Times New Roman" w:hAnsi="Times New Roman" w:cs="Times New Roman"/>
          <w:sz w:val="20"/>
          <w:szCs w:val="20"/>
        </w:rPr>
      </w:pPr>
      <w:r w:rsidRPr="003B19C0">
        <w:rPr>
          <w:rFonts w:ascii="Times New Roman" w:hAnsi="Times New Roman" w:cs="Times New Roman"/>
          <w:sz w:val="20"/>
          <w:szCs w:val="20"/>
        </w:rPr>
        <w:t xml:space="preserve">4. </w:t>
      </w:r>
      <w:r w:rsidRPr="00B2373F">
        <w:rPr>
          <w:rFonts w:ascii="Times New Roman" w:hAnsi="Times New Roman" w:cs="Times New Roman"/>
          <w:b/>
          <w:bCs/>
          <w:sz w:val="20"/>
          <w:szCs w:val="20"/>
        </w:rPr>
        <w:t xml:space="preserve">Inconstitucionalidade material da indisponibilidade de bens do devedor na via administrativa. </w:t>
      </w:r>
      <w:r w:rsidRPr="00B2373F">
        <w:rPr>
          <w:rFonts w:ascii="Times New Roman" w:hAnsi="Times New Roman" w:cs="Times New Roman"/>
          <w:b/>
          <w:bCs/>
          <w:sz w:val="20"/>
          <w:szCs w:val="20"/>
          <w:u w:val="single"/>
        </w:rPr>
        <w:t>A indisponibilidade tem por objetivo impedir a dilapidação patrimonial pelo devedor</w:t>
      </w:r>
      <w:r w:rsidRPr="00B2373F">
        <w:rPr>
          <w:rFonts w:ascii="Times New Roman" w:hAnsi="Times New Roman" w:cs="Times New Roman"/>
          <w:b/>
          <w:bCs/>
          <w:sz w:val="20"/>
          <w:szCs w:val="20"/>
        </w:rPr>
        <w:t xml:space="preserve">. </w:t>
      </w:r>
      <w:r w:rsidRPr="00B2373F">
        <w:rPr>
          <w:rFonts w:ascii="Times New Roman" w:hAnsi="Times New Roman" w:cs="Times New Roman"/>
          <w:b/>
          <w:bCs/>
          <w:sz w:val="20"/>
          <w:szCs w:val="20"/>
          <w:u w:val="single"/>
        </w:rPr>
        <w:t>Todavia, tal como prevista, não passa no teste de proporcionalidade, pois há meios menos gravosos a direitos fundamentais do contribuinte que podem ser utilizados para atingir a mesma finalidade, como, por exemplo, o ajuizamento de cautelar fiscal</w:t>
      </w:r>
      <w:r w:rsidRPr="00B2373F">
        <w:rPr>
          <w:rFonts w:ascii="Times New Roman" w:hAnsi="Times New Roman" w:cs="Times New Roman"/>
          <w:b/>
          <w:bCs/>
          <w:sz w:val="20"/>
          <w:szCs w:val="20"/>
        </w:rPr>
        <w:t xml:space="preserve">. </w:t>
      </w:r>
      <w:r w:rsidRPr="00B2373F">
        <w:rPr>
          <w:rFonts w:ascii="Times New Roman" w:hAnsi="Times New Roman" w:cs="Times New Roman"/>
          <w:b/>
          <w:bCs/>
          <w:sz w:val="20"/>
          <w:szCs w:val="20"/>
          <w:u w:val="single"/>
        </w:rPr>
        <w:t>A indisponibilidade deve respeitar a reserva de jurisdição, o contraditório e a ampla defesa, por se tratar de forte intervenção no direito de propriedade</w:t>
      </w:r>
      <w:r w:rsidRPr="003B19C0">
        <w:rPr>
          <w:rFonts w:ascii="Times New Roman" w:hAnsi="Times New Roman" w:cs="Times New Roman"/>
          <w:sz w:val="20"/>
          <w:szCs w:val="20"/>
        </w:rPr>
        <w:t>.</w:t>
      </w:r>
    </w:p>
    <w:p w14:paraId="2A60518A" w14:textId="100506B2" w:rsidR="004779B1" w:rsidRPr="003B19C0" w:rsidRDefault="003B19C0" w:rsidP="00E777AC">
      <w:pPr>
        <w:spacing w:line="240" w:lineRule="auto"/>
        <w:ind w:left="2268"/>
        <w:jc w:val="both"/>
        <w:rPr>
          <w:rFonts w:ascii="Times New Roman" w:hAnsi="Times New Roman" w:cs="Times New Roman"/>
          <w:b/>
          <w:bCs/>
          <w:sz w:val="20"/>
          <w:szCs w:val="20"/>
        </w:rPr>
      </w:pPr>
      <w:r w:rsidRPr="003B19C0">
        <w:rPr>
          <w:rFonts w:ascii="Times New Roman" w:hAnsi="Times New Roman" w:cs="Times New Roman"/>
          <w:sz w:val="20"/>
          <w:szCs w:val="20"/>
        </w:rPr>
        <w:t>5. Procedência parcial dos pedidos, para considerar inconstitucional a parte final do inciso II do § 3º do art. 20-B, onde se lê “tornando-os indisponíveis”, e constitucional o art. 20-E da Lei nº 10.522/2002, ambos na redação dada pela Lei nº 13.606/2018.</w:t>
      </w:r>
    </w:p>
    <w:p w14:paraId="3B5B3897" w14:textId="77777777" w:rsidR="00285FD3" w:rsidRDefault="00285FD3" w:rsidP="00E777AC">
      <w:pPr>
        <w:spacing w:line="240" w:lineRule="auto"/>
        <w:jc w:val="both"/>
        <w:rPr>
          <w:rFonts w:ascii="Times New Roman" w:hAnsi="Times New Roman" w:cs="Times New Roman"/>
          <w:b/>
          <w:bCs/>
          <w:szCs w:val="24"/>
        </w:rPr>
      </w:pPr>
    </w:p>
    <w:p w14:paraId="1CCA8E71" w14:textId="3724DB6F" w:rsidR="00B2373F" w:rsidRPr="00B2373F" w:rsidRDefault="00B2373F" w:rsidP="00B2373F">
      <w:pPr>
        <w:spacing w:line="360" w:lineRule="auto"/>
        <w:ind w:firstLine="851"/>
        <w:jc w:val="both"/>
        <w:rPr>
          <w:rFonts w:ascii="Times New Roman" w:hAnsi="Times New Roman" w:cs="Times New Roman"/>
          <w:szCs w:val="24"/>
        </w:rPr>
      </w:pPr>
      <w:r w:rsidRPr="00B2373F">
        <w:rPr>
          <w:rFonts w:ascii="Times New Roman" w:hAnsi="Times New Roman" w:cs="Times New Roman"/>
          <w:szCs w:val="24"/>
        </w:rPr>
        <w:lastRenderedPageBreak/>
        <w:t xml:space="preserve">Para </w:t>
      </w:r>
      <w:r>
        <w:rPr>
          <w:rFonts w:ascii="Times New Roman" w:hAnsi="Times New Roman" w:cs="Times New Roman"/>
          <w:szCs w:val="24"/>
        </w:rPr>
        <w:t xml:space="preserve">o objetivo da presente tese, nos interessa </w:t>
      </w:r>
      <w:r w:rsidR="00F52A11">
        <w:rPr>
          <w:rFonts w:ascii="Times New Roman" w:hAnsi="Times New Roman" w:cs="Times New Roman"/>
          <w:szCs w:val="24"/>
        </w:rPr>
        <w:t>o capítulo referente ao</w:t>
      </w:r>
      <w:r>
        <w:rPr>
          <w:rFonts w:ascii="Times New Roman" w:hAnsi="Times New Roman" w:cs="Times New Roman"/>
          <w:szCs w:val="24"/>
        </w:rPr>
        <w:t xml:space="preserve"> item “4” da ementa acima transcrita, que expõe, resumidamente, as razões que fundamentaram a declaração de inconstitucionalidade da expressão “</w:t>
      </w:r>
      <w:r w:rsidRPr="00B2373F">
        <w:rPr>
          <w:rFonts w:ascii="Times New Roman" w:hAnsi="Times New Roman" w:cs="Times New Roman"/>
          <w:i/>
          <w:iCs/>
          <w:szCs w:val="24"/>
        </w:rPr>
        <w:t>tornando-os indisponíveis</w:t>
      </w:r>
      <w:r>
        <w:rPr>
          <w:rFonts w:ascii="Times New Roman" w:hAnsi="Times New Roman" w:cs="Times New Roman"/>
          <w:szCs w:val="24"/>
        </w:rPr>
        <w:t>”.</w:t>
      </w:r>
    </w:p>
    <w:p w14:paraId="21A7C61C" w14:textId="79A9B7DB" w:rsidR="00A46AA2" w:rsidRDefault="00A46AA2" w:rsidP="00A46AA2">
      <w:pPr>
        <w:spacing w:line="360" w:lineRule="auto"/>
        <w:ind w:firstLine="851"/>
        <w:jc w:val="both"/>
        <w:rPr>
          <w:rFonts w:ascii="Times New Roman" w:hAnsi="Times New Roman" w:cs="Times New Roman"/>
          <w:szCs w:val="24"/>
        </w:rPr>
      </w:pPr>
      <w:r>
        <w:rPr>
          <w:rFonts w:ascii="Times New Roman" w:hAnsi="Times New Roman" w:cs="Times New Roman"/>
          <w:szCs w:val="24"/>
        </w:rPr>
        <w:t xml:space="preserve">Os fundamentos dos autores das </w:t>
      </w:r>
      <w:proofErr w:type="spellStart"/>
      <w:r>
        <w:rPr>
          <w:rFonts w:ascii="Times New Roman" w:hAnsi="Times New Roman" w:cs="Times New Roman"/>
          <w:szCs w:val="24"/>
        </w:rPr>
        <w:t>ADIs</w:t>
      </w:r>
      <w:proofErr w:type="spellEnd"/>
      <w:r>
        <w:rPr>
          <w:rFonts w:ascii="Times New Roman" w:hAnsi="Times New Roman" w:cs="Times New Roman"/>
          <w:szCs w:val="24"/>
        </w:rPr>
        <w:t xml:space="preserve">, quanto ao ponto em análise (indisponibilidade de bens com </w:t>
      </w:r>
      <w:r w:rsidR="00EF5D77">
        <w:rPr>
          <w:rFonts w:ascii="Times New Roman" w:hAnsi="Times New Roman" w:cs="Times New Roman"/>
          <w:szCs w:val="24"/>
        </w:rPr>
        <w:t>averbação da CDA)</w:t>
      </w:r>
      <w:r>
        <w:rPr>
          <w:rFonts w:ascii="Times New Roman" w:hAnsi="Times New Roman" w:cs="Times New Roman"/>
          <w:szCs w:val="24"/>
        </w:rPr>
        <w:t xml:space="preserve">, </w:t>
      </w:r>
      <w:r w:rsidR="00EF5D77">
        <w:rPr>
          <w:rFonts w:ascii="Times New Roman" w:hAnsi="Times New Roman" w:cs="Times New Roman"/>
          <w:szCs w:val="24"/>
        </w:rPr>
        <w:t>estão assim resumidos no relatório do voto do E. Ministro Roberto Barroso, autor do voto condutor:</w:t>
      </w:r>
    </w:p>
    <w:p w14:paraId="6001EE06" w14:textId="69ECF922" w:rsidR="00EF5D77" w:rsidRDefault="00EF5D77" w:rsidP="00E777AC">
      <w:pPr>
        <w:spacing w:line="240" w:lineRule="auto"/>
        <w:ind w:left="2268"/>
        <w:jc w:val="both"/>
        <w:rPr>
          <w:rFonts w:ascii="Times New Roman" w:hAnsi="Times New Roman" w:cs="Times New Roman"/>
          <w:szCs w:val="24"/>
        </w:rPr>
      </w:pPr>
      <w:r w:rsidRPr="00EF5D77">
        <w:rPr>
          <w:rFonts w:ascii="Times New Roman" w:hAnsi="Times New Roman" w:cs="Times New Roman"/>
          <w:sz w:val="20"/>
          <w:szCs w:val="20"/>
        </w:rPr>
        <w:t xml:space="preserve">21. Quanto à inconstitucionalidade material, os requerentes alegam, resumidamente, que os dispositivos afrontam o </w:t>
      </w:r>
      <w:r w:rsidRPr="00D36FFF">
        <w:rPr>
          <w:rFonts w:ascii="Times New Roman" w:hAnsi="Times New Roman" w:cs="Times New Roman"/>
          <w:b/>
          <w:bCs/>
          <w:sz w:val="20"/>
          <w:szCs w:val="20"/>
          <w:u w:val="single"/>
        </w:rPr>
        <w:t>devido processo legal</w:t>
      </w:r>
      <w:r w:rsidRPr="00EF5D77">
        <w:rPr>
          <w:rFonts w:ascii="Times New Roman" w:hAnsi="Times New Roman" w:cs="Times New Roman"/>
          <w:sz w:val="20"/>
          <w:szCs w:val="20"/>
        </w:rPr>
        <w:t xml:space="preserve">, o </w:t>
      </w:r>
      <w:r w:rsidRPr="00D36FFF">
        <w:rPr>
          <w:rFonts w:ascii="Times New Roman" w:hAnsi="Times New Roman" w:cs="Times New Roman"/>
          <w:b/>
          <w:bCs/>
          <w:sz w:val="20"/>
          <w:szCs w:val="20"/>
          <w:u w:val="single"/>
        </w:rPr>
        <w:t>contraditório e ampla defesa</w:t>
      </w:r>
      <w:r w:rsidRPr="00EF5D77">
        <w:rPr>
          <w:rFonts w:ascii="Times New Roman" w:hAnsi="Times New Roman" w:cs="Times New Roman"/>
          <w:sz w:val="20"/>
          <w:szCs w:val="20"/>
        </w:rPr>
        <w:t xml:space="preserve">, a </w:t>
      </w:r>
      <w:r w:rsidRPr="00D36FFF">
        <w:rPr>
          <w:rFonts w:ascii="Times New Roman" w:hAnsi="Times New Roman" w:cs="Times New Roman"/>
          <w:b/>
          <w:bCs/>
          <w:sz w:val="20"/>
          <w:szCs w:val="20"/>
          <w:u w:val="single"/>
        </w:rPr>
        <w:t>reserva de jurisdição</w:t>
      </w:r>
      <w:r w:rsidRPr="00EF5D77">
        <w:rPr>
          <w:rFonts w:ascii="Times New Roman" w:hAnsi="Times New Roman" w:cs="Times New Roman"/>
          <w:sz w:val="20"/>
          <w:szCs w:val="20"/>
        </w:rPr>
        <w:t xml:space="preserve"> e o </w:t>
      </w:r>
      <w:r w:rsidRPr="00D36FFF">
        <w:rPr>
          <w:rFonts w:ascii="Times New Roman" w:hAnsi="Times New Roman" w:cs="Times New Roman"/>
          <w:b/>
          <w:bCs/>
          <w:sz w:val="20"/>
          <w:szCs w:val="20"/>
          <w:u w:val="single"/>
        </w:rPr>
        <w:t>direito de propriedade</w:t>
      </w:r>
      <w:r>
        <w:t>.</w:t>
      </w:r>
    </w:p>
    <w:p w14:paraId="7B51B453" w14:textId="77777777" w:rsidR="0072025D" w:rsidRDefault="0072025D" w:rsidP="00E777AC">
      <w:pPr>
        <w:spacing w:line="240" w:lineRule="auto"/>
        <w:ind w:firstLine="851"/>
        <w:jc w:val="both"/>
        <w:rPr>
          <w:rFonts w:ascii="Times New Roman" w:hAnsi="Times New Roman" w:cs="Times New Roman"/>
          <w:szCs w:val="24"/>
        </w:rPr>
      </w:pPr>
    </w:p>
    <w:p w14:paraId="2AAC4A72" w14:textId="4A535E33" w:rsidR="00B2373F" w:rsidRDefault="00B2373F" w:rsidP="00A46AA2">
      <w:pPr>
        <w:spacing w:line="360" w:lineRule="auto"/>
        <w:ind w:firstLine="851"/>
        <w:jc w:val="both"/>
        <w:rPr>
          <w:rFonts w:ascii="Times New Roman" w:hAnsi="Times New Roman" w:cs="Times New Roman"/>
          <w:szCs w:val="24"/>
        </w:rPr>
      </w:pPr>
      <w:r w:rsidRPr="00B2373F">
        <w:rPr>
          <w:rFonts w:ascii="Times New Roman" w:hAnsi="Times New Roman" w:cs="Times New Roman"/>
          <w:szCs w:val="24"/>
        </w:rPr>
        <w:t>Colhe-se</w:t>
      </w:r>
      <w:r>
        <w:rPr>
          <w:rFonts w:ascii="Times New Roman" w:hAnsi="Times New Roman" w:cs="Times New Roman"/>
          <w:szCs w:val="24"/>
        </w:rPr>
        <w:t xml:space="preserve"> do voto do Ministro Roberto Barroso</w:t>
      </w:r>
      <w:r w:rsidR="002D037B">
        <w:rPr>
          <w:rFonts w:ascii="Times New Roman" w:hAnsi="Times New Roman" w:cs="Times New Roman"/>
          <w:szCs w:val="24"/>
        </w:rPr>
        <w:t>, que:</w:t>
      </w:r>
      <w:r>
        <w:rPr>
          <w:rFonts w:ascii="Times New Roman" w:hAnsi="Times New Roman" w:cs="Times New Roman"/>
          <w:szCs w:val="24"/>
        </w:rPr>
        <w:t xml:space="preserve"> </w:t>
      </w:r>
    </w:p>
    <w:p w14:paraId="32AD9219" w14:textId="77777777" w:rsidR="0027249A" w:rsidRDefault="0027249A" w:rsidP="00E777AC">
      <w:pPr>
        <w:spacing w:line="240" w:lineRule="auto"/>
        <w:ind w:left="2268"/>
        <w:jc w:val="both"/>
        <w:rPr>
          <w:rFonts w:ascii="Times New Roman" w:hAnsi="Times New Roman" w:cs="Times New Roman"/>
          <w:sz w:val="20"/>
          <w:szCs w:val="20"/>
        </w:rPr>
      </w:pPr>
    </w:p>
    <w:p w14:paraId="42B3D699" w14:textId="77777777" w:rsidR="0027249A" w:rsidRDefault="0027249A" w:rsidP="00E777AC">
      <w:pPr>
        <w:spacing w:line="240" w:lineRule="auto"/>
        <w:ind w:left="2268"/>
        <w:jc w:val="both"/>
        <w:rPr>
          <w:rFonts w:ascii="Times New Roman" w:hAnsi="Times New Roman" w:cs="Times New Roman"/>
          <w:sz w:val="20"/>
          <w:szCs w:val="20"/>
        </w:rPr>
      </w:pPr>
      <w:r w:rsidRPr="0027249A">
        <w:rPr>
          <w:rFonts w:ascii="Times New Roman" w:hAnsi="Times New Roman" w:cs="Times New Roman"/>
          <w:sz w:val="20"/>
          <w:szCs w:val="20"/>
        </w:rPr>
        <w:t xml:space="preserve">22. No que se refere apenas à possibilidade de indisponibilidade de bens do devedor (art. 20-B, § 3º, II, parte final), </w:t>
      </w:r>
      <w:r w:rsidRPr="0027249A">
        <w:rPr>
          <w:rFonts w:ascii="Times New Roman" w:hAnsi="Times New Roman" w:cs="Times New Roman"/>
          <w:b/>
          <w:bCs/>
          <w:sz w:val="20"/>
          <w:szCs w:val="20"/>
        </w:rPr>
        <w:t xml:space="preserve">tenho que a medida </w:t>
      </w:r>
      <w:r w:rsidRPr="002D037B">
        <w:rPr>
          <w:rFonts w:ascii="Times New Roman" w:hAnsi="Times New Roman" w:cs="Times New Roman"/>
          <w:b/>
          <w:bCs/>
          <w:sz w:val="20"/>
          <w:szCs w:val="20"/>
          <w:u w:val="single"/>
        </w:rPr>
        <w:t>não passa no teste de proporcionalidade quanto ao subprincípio da necessidade</w:t>
      </w:r>
      <w:r w:rsidRPr="0027249A">
        <w:rPr>
          <w:rFonts w:ascii="Times New Roman" w:hAnsi="Times New Roman" w:cs="Times New Roman"/>
          <w:b/>
          <w:bCs/>
          <w:sz w:val="20"/>
          <w:szCs w:val="20"/>
        </w:rPr>
        <w:t xml:space="preserve">. Isso porque </w:t>
      </w:r>
      <w:r w:rsidRPr="0027249A">
        <w:rPr>
          <w:rFonts w:ascii="Times New Roman" w:hAnsi="Times New Roman" w:cs="Times New Roman"/>
          <w:b/>
          <w:bCs/>
          <w:sz w:val="20"/>
          <w:szCs w:val="20"/>
          <w:u w:val="single"/>
        </w:rPr>
        <w:t xml:space="preserve">há meios menos </w:t>
      </w:r>
      <w:r w:rsidRPr="00427D53">
        <w:rPr>
          <w:rFonts w:ascii="Times New Roman" w:hAnsi="Times New Roman" w:cs="Times New Roman"/>
          <w:b/>
          <w:bCs/>
          <w:sz w:val="20"/>
          <w:szCs w:val="20"/>
          <w:u w:val="single"/>
        </w:rPr>
        <w:t>gravosos a direitos fundamentais do contribuinte</w:t>
      </w:r>
      <w:r w:rsidRPr="0027249A">
        <w:rPr>
          <w:rFonts w:ascii="Times New Roman" w:hAnsi="Times New Roman" w:cs="Times New Roman"/>
          <w:b/>
          <w:bCs/>
          <w:sz w:val="20"/>
          <w:szCs w:val="20"/>
        </w:rPr>
        <w:t xml:space="preserve"> que podem ser utilizados para atingir o mesmo objetivo: impedir a dilapidação patrimonial pelo devedor</w:t>
      </w:r>
      <w:r w:rsidRPr="0027249A">
        <w:rPr>
          <w:rFonts w:ascii="Times New Roman" w:hAnsi="Times New Roman" w:cs="Times New Roman"/>
          <w:sz w:val="20"/>
          <w:szCs w:val="20"/>
        </w:rPr>
        <w:t>.</w:t>
      </w:r>
    </w:p>
    <w:p w14:paraId="14128FDD" w14:textId="083C8354" w:rsidR="0027249A" w:rsidRPr="0027249A" w:rsidRDefault="0027249A" w:rsidP="00E777AC">
      <w:pPr>
        <w:spacing w:line="240" w:lineRule="auto"/>
        <w:ind w:left="2268"/>
        <w:jc w:val="both"/>
        <w:rPr>
          <w:rFonts w:ascii="Times New Roman" w:hAnsi="Times New Roman" w:cs="Times New Roman"/>
          <w:sz w:val="20"/>
          <w:szCs w:val="20"/>
        </w:rPr>
      </w:pPr>
      <w:r w:rsidRPr="0027249A">
        <w:rPr>
          <w:rFonts w:ascii="Times New Roman" w:hAnsi="Times New Roman" w:cs="Times New Roman"/>
          <w:sz w:val="20"/>
          <w:szCs w:val="20"/>
        </w:rPr>
        <w:t>23. Um exemplo é a possibilidade de ajuizamento da cautelar fiscal, regida pela Lei nº 8.397/92, que pode ser feito, inclusive, antes do fim do processo administrativo fiscal em determinadas hipóteses a fim de tornar indisponíveis os bens do devedor. Entendo que o objetivo de simplificar os procedimentos executórios não pode ser colocado à frente do direito de propriedade, que é ameaçado com a constrição de bens sem indícios de fraude por parte do contribuinte e sem determinação judicial. Nesse ponto, a norma não guarda semelhança com a previsão legal de protesto extrajudicial, chancelada por esta Corte na ADI 5.135, uma vez que, neste último caso, os bens do devedor não sofrem constrição.</w:t>
      </w:r>
    </w:p>
    <w:p w14:paraId="6DB84CFE" w14:textId="77777777" w:rsidR="0027249A" w:rsidRDefault="0027249A" w:rsidP="001D3086">
      <w:pPr>
        <w:spacing w:line="360" w:lineRule="auto"/>
        <w:jc w:val="both"/>
        <w:rPr>
          <w:rFonts w:ascii="Times New Roman" w:hAnsi="Times New Roman" w:cs="Times New Roman"/>
          <w:szCs w:val="24"/>
        </w:rPr>
      </w:pPr>
    </w:p>
    <w:p w14:paraId="2103CD2F" w14:textId="77777777" w:rsidR="004D6CB2" w:rsidRDefault="00A64EA4" w:rsidP="00304A0E">
      <w:pPr>
        <w:spacing w:line="360" w:lineRule="auto"/>
        <w:ind w:firstLine="851"/>
        <w:jc w:val="both"/>
        <w:rPr>
          <w:rFonts w:ascii="Times New Roman" w:hAnsi="Times New Roman" w:cs="Times New Roman"/>
          <w:szCs w:val="24"/>
        </w:rPr>
      </w:pPr>
      <w:r>
        <w:rPr>
          <w:rFonts w:ascii="Times New Roman" w:hAnsi="Times New Roman" w:cs="Times New Roman"/>
          <w:szCs w:val="24"/>
        </w:rPr>
        <w:t>Da leitura das razões de decidir acima</w:t>
      </w:r>
      <w:r w:rsidR="00304A0E">
        <w:rPr>
          <w:rFonts w:ascii="Times New Roman" w:hAnsi="Times New Roman" w:cs="Times New Roman"/>
          <w:szCs w:val="24"/>
        </w:rPr>
        <w:t xml:space="preserve">, vê-se que, fundamentalmente, o STF entendeu que a Administração Pública, mesmo após o procedimento administrativo prévio à inscrição do débito em dívida ativa - por meio do qual já é franqueada ampla defesa e contraditório do administrado -, </w:t>
      </w:r>
      <w:r w:rsidR="002B6221">
        <w:rPr>
          <w:rFonts w:ascii="Times New Roman" w:hAnsi="Times New Roman" w:cs="Times New Roman"/>
          <w:szCs w:val="24"/>
        </w:rPr>
        <w:t>não prescinde da tutela jurisdicional para tornar indisponíveis bens suficientes à garantia do pagamento da dívida fiscal</w:t>
      </w:r>
      <w:r w:rsidR="00071B5E">
        <w:rPr>
          <w:rFonts w:ascii="Times New Roman" w:hAnsi="Times New Roman" w:cs="Times New Roman"/>
          <w:szCs w:val="24"/>
        </w:rPr>
        <w:t>, ao teor de que ao assim proceder os mesmos resultados podem ser alcançados</w:t>
      </w:r>
      <w:r w:rsidR="00882A46">
        <w:rPr>
          <w:rFonts w:ascii="Times New Roman" w:hAnsi="Times New Roman" w:cs="Times New Roman"/>
          <w:szCs w:val="24"/>
        </w:rPr>
        <w:t xml:space="preserve"> pela Fazenda Pública</w:t>
      </w:r>
      <w:r w:rsidR="00071B5E">
        <w:rPr>
          <w:rFonts w:ascii="Times New Roman" w:hAnsi="Times New Roman" w:cs="Times New Roman"/>
          <w:szCs w:val="24"/>
        </w:rPr>
        <w:t xml:space="preserve">, </w:t>
      </w:r>
      <w:r w:rsidR="00882A46">
        <w:rPr>
          <w:rFonts w:ascii="Times New Roman" w:hAnsi="Times New Roman" w:cs="Times New Roman"/>
          <w:szCs w:val="24"/>
        </w:rPr>
        <w:t xml:space="preserve">porém </w:t>
      </w:r>
      <w:r w:rsidR="00071B5E">
        <w:rPr>
          <w:rFonts w:ascii="Times New Roman" w:hAnsi="Times New Roman" w:cs="Times New Roman"/>
          <w:szCs w:val="24"/>
        </w:rPr>
        <w:t>com menor onerosidade ao devedor</w:t>
      </w:r>
      <w:r w:rsidR="002B6221">
        <w:rPr>
          <w:rFonts w:ascii="Times New Roman" w:hAnsi="Times New Roman" w:cs="Times New Roman"/>
          <w:szCs w:val="24"/>
        </w:rPr>
        <w:t>.</w:t>
      </w:r>
      <w:r w:rsidR="00882A46">
        <w:rPr>
          <w:rFonts w:ascii="Times New Roman" w:hAnsi="Times New Roman" w:cs="Times New Roman"/>
          <w:szCs w:val="24"/>
        </w:rPr>
        <w:t xml:space="preserve"> </w:t>
      </w:r>
    </w:p>
    <w:p w14:paraId="1B2F7ABA" w14:textId="2ED79F37" w:rsidR="00304A0E" w:rsidRDefault="00882A46" w:rsidP="00304A0E">
      <w:pPr>
        <w:spacing w:line="360" w:lineRule="auto"/>
        <w:ind w:firstLine="851"/>
        <w:jc w:val="both"/>
        <w:rPr>
          <w:rFonts w:ascii="Times New Roman" w:hAnsi="Times New Roman" w:cs="Times New Roman"/>
          <w:szCs w:val="24"/>
        </w:rPr>
      </w:pPr>
      <w:r>
        <w:rPr>
          <w:rFonts w:ascii="Times New Roman" w:hAnsi="Times New Roman" w:cs="Times New Roman"/>
          <w:szCs w:val="24"/>
        </w:rPr>
        <w:t>É o que compreendemos da fundamentação lançada no voto condutor, acima parcialmente tran</w:t>
      </w:r>
      <w:r w:rsidR="00821339">
        <w:rPr>
          <w:rFonts w:ascii="Times New Roman" w:hAnsi="Times New Roman" w:cs="Times New Roman"/>
          <w:szCs w:val="24"/>
        </w:rPr>
        <w:t>s</w:t>
      </w:r>
      <w:r>
        <w:rPr>
          <w:rFonts w:ascii="Times New Roman" w:hAnsi="Times New Roman" w:cs="Times New Roman"/>
          <w:szCs w:val="24"/>
        </w:rPr>
        <w:t>crita.</w:t>
      </w:r>
    </w:p>
    <w:p w14:paraId="4C2B2C65" w14:textId="75D17761" w:rsidR="00B2373F" w:rsidRPr="00423906" w:rsidRDefault="00A64EA4" w:rsidP="00E61075">
      <w:pPr>
        <w:spacing w:line="360" w:lineRule="auto"/>
        <w:ind w:firstLine="851"/>
        <w:jc w:val="both"/>
        <w:rPr>
          <w:rFonts w:ascii="Times New Roman" w:hAnsi="Times New Roman" w:cs="Times New Roman"/>
          <w:szCs w:val="24"/>
        </w:rPr>
      </w:pPr>
      <w:r>
        <w:rPr>
          <w:rFonts w:ascii="Times New Roman" w:hAnsi="Times New Roman" w:cs="Times New Roman"/>
          <w:szCs w:val="24"/>
        </w:rPr>
        <w:t xml:space="preserve">Assim </w:t>
      </w:r>
      <w:r w:rsidR="007E6392">
        <w:rPr>
          <w:rFonts w:ascii="Times New Roman" w:hAnsi="Times New Roman" w:cs="Times New Roman"/>
          <w:szCs w:val="24"/>
        </w:rPr>
        <w:t>decidindo</w:t>
      </w:r>
      <w:r>
        <w:rPr>
          <w:rFonts w:ascii="Times New Roman" w:hAnsi="Times New Roman" w:cs="Times New Roman"/>
          <w:szCs w:val="24"/>
        </w:rPr>
        <w:t xml:space="preserve">, </w:t>
      </w:r>
      <w:r w:rsidR="0072025D">
        <w:rPr>
          <w:rFonts w:ascii="Times New Roman" w:hAnsi="Times New Roman" w:cs="Times New Roman"/>
          <w:szCs w:val="24"/>
        </w:rPr>
        <w:t xml:space="preserve">somos da opinião de </w:t>
      </w:r>
      <w:r w:rsidR="007E6392">
        <w:rPr>
          <w:rFonts w:ascii="Times New Roman" w:hAnsi="Times New Roman" w:cs="Times New Roman"/>
          <w:szCs w:val="24"/>
        </w:rPr>
        <w:t>que</w:t>
      </w:r>
      <w:r w:rsidR="0072025D">
        <w:rPr>
          <w:rFonts w:ascii="Times New Roman" w:hAnsi="Times New Roman" w:cs="Times New Roman"/>
          <w:szCs w:val="24"/>
        </w:rPr>
        <w:t xml:space="preserve"> o C. STF não andou</w:t>
      </w:r>
      <w:r w:rsidR="004D6CB2">
        <w:rPr>
          <w:rFonts w:ascii="Times New Roman" w:hAnsi="Times New Roman" w:cs="Times New Roman"/>
          <w:szCs w:val="24"/>
        </w:rPr>
        <w:t xml:space="preserve"> bem neste</w:t>
      </w:r>
      <w:r w:rsidR="0072025D">
        <w:rPr>
          <w:rFonts w:ascii="Times New Roman" w:hAnsi="Times New Roman" w:cs="Times New Roman"/>
          <w:szCs w:val="24"/>
        </w:rPr>
        <w:t xml:space="preserve"> </w:t>
      </w:r>
      <w:r w:rsidR="007E6392">
        <w:rPr>
          <w:rFonts w:ascii="Times New Roman" w:hAnsi="Times New Roman" w:cs="Times New Roman"/>
          <w:szCs w:val="24"/>
        </w:rPr>
        <w:t>juízo de valoração</w:t>
      </w:r>
      <w:r w:rsidR="00E61075">
        <w:rPr>
          <w:rFonts w:ascii="Times New Roman" w:hAnsi="Times New Roman" w:cs="Times New Roman"/>
          <w:szCs w:val="24"/>
        </w:rPr>
        <w:t xml:space="preserve"> e sopesamento</w:t>
      </w:r>
      <w:r w:rsidR="007E6392">
        <w:rPr>
          <w:rFonts w:ascii="Times New Roman" w:hAnsi="Times New Roman" w:cs="Times New Roman"/>
          <w:szCs w:val="24"/>
        </w:rPr>
        <w:t xml:space="preserve"> dos direitos em conflito</w:t>
      </w:r>
      <w:r w:rsidR="00423906">
        <w:rPr>
          <w:rFonts w:ascii="Times New Roman" w:hAnsi="Times New Roman" w:cs="Times New Roman"/>
          <w:szCs w:val="24"/>
        </w:rPr>
        <w:t xml:space="preserve"> e,</w:t>
      </w:r>
      <w:r w:rsidR="00E61075">
        <w:rPr>
          <w:rFonts w:ascii="Times New Roman" w:hAnsi="Times New Roman" w:cs="Times New Roman"/>
          <w:szCs w:val="24"/>
        </w:rPr>
        <w:t xml:space="preserve"> </w:t>
      </w:r>
      <w:r w:rsidR="0072025D">
        <w:rPr>
          <w:rFonts w:ascii="Times New Roman" w:hAnsi="Times New Roman" w:cs="Times New Roman"/>
          <w:szCs w:val="24"/>
        </w:rPr>
        <w:t>mais grave</w:t>
      </w:r>
      <w:r w:rsidR="00E61075">
        <w:rPr>
          <w:rFonts w:ascii="Times New Roman" w:hAnsi="Times New Roman" w:cs="Times New Roman"/>
          <w:szCs w:val="24"/>
        </w:rPr>
        <w:t xml:space="preserve">, deixou de ser coerente com a razão de decidir </w:t>
      </w:r>
      <w:r w:rsidR="0072025D">
        <w:rPr>
          <w:rFonts w:ascii="Times New Roman" w:hAnsi="Times New Roman" w:cs="Times New Roman"/>
          <w:szCs w:val="24"/>
        </w:rPr>
        <w:t>utilizada em</w:t>
      </w:r>
      <w:r w:rsidR="00E61075">
        <w:rPr>
          <w:rFonts w:ascii="Times New Roman" w:hAnsi="Times New Roman" w:cs="Times New Roman"/>
          <w:szCs w:val="24"/>
        </w:rPr>
        <w:t xml:space="preserve"> outros precedentes</w:t>
      </w:r>
      <w:r w:rsidR="0072025D">
        <w:rPr>
          <w:rFonts w:ascii="Times New Roman" w:hAnsi="Times New Roman" w:cs="Times New Roman"/>
          <w:szCs w:val="24"/>
        </w:rPr>
        <w:t xml:space="preserve"> daquela Corte</w:t>
      </w:r>
      <w:r w:rsidR="00E61075">
        <w:rPr>
          <w:rFonts w:ascii="Times New Roman" w:hAnsi="Times New Roman" w:cs="Times New Roman"/>
          <w:szCs w:val="24"/>
        </w:rPr>
        <w:t xml:space="preserve">, em especial </w:t>
      </w:r>
      <w:r w:rsidR="0072025D">
        <w:rPr>
          <w:rFonts w:ascii="Times New Roman" w:hAnsi="Times New Roman" w:cs="Times New Roman"/>
          <w:szCs w:val="24"/>
        </w:rPr>
        <w:t>d</w:t>
      </w:r>
      <w:r w:rsidR="00E61075">
        <w:rPr>
          <w:rFonts w:ascii="Times New Roman" w:hAnsi="Times New Roman" w:cs="Times New Roman"/>
          <w:szCs w:val="24"/>
        </w:rPr>
        <w:t xml:space="preserve">o julgamento </w:t>
      </w:r>
      <w:r w:rsidR="00F7640D">
        <w:rPr>
          <w:rFonts w:ascii="Times New Roman" w:hAnsi="Times New Roman" w:cs="Times New Roman"/>
          <w:szCs w:val="24"/>
        </w:rPr>
        <w:t xml:space="preserve">proferido </w:t>
      </w:r>
      <w:r w:rsidR="0072025D">
        <w:rPr>
          <w:rFonts w:ascii="Times New Roman" w:hAnsi="Times New Roman" w:cs="Times New Roman"/>
          <w:szCs w:val="24"/>
        </w:rPr>
        <w:t>no</w:t>
      </w:r>
      <w:r w:rsidR="00E61075">
        <w:rPr>
          <w:rFonts w:ascii="Times New Roman" w:hAnsi="Times New Roman" w:cs="Times New Roman"/>
          <w:szCs w:val="24"/>
        </w:rPr>
        <w:t xml:space="preserve"> Mandado </w:t>
      </w:r>
      <w:r w:rsidR="00E61075" w:rsidRPr="00E61075">
        <w:rPr>
          <w:rFonts w:ascii="Times New Roman" w:hAnsi="Times New Roman" w:cs="Times New Roman"/>
          <w:szCs w:val="24"/>
        </w:rPr>
        <w:t xml:space="preserve">de </w:t>
      </w:r>
      <w:r w:rsidR="00E61075" w:rsidRPr="00E61075">
        <w:rPr>
          <w:rFonts w:ascii="Times New Roman" w:hAnsi="Times New Roman" w:cs="Times New Roman"/>
          <w:szCs w:val="24"/>
        </w:rPr>
        <w:lastRenderedPageBreak/>
        <w:t>Segurança nº 33.092/DF</w:t>
      </w:r>
      <w:r w:rsidR="00F7640D">
        <w:rPr>
          <w:rFonts w:ascii="Times New Roman" w:hAnsi="Times New Roman" w:cs="Times New Roman"/>
          <w:szCs w:val="24"/>
        </w:rPr>
        <w:t>. Neste julgamento</w:t>
      </w:r>
      <w:r w:rsidR="00E61075" w:rsidRPr="00E61075">
        <w:rPr>
          <w:rFonts w:ascii="Times New Roman" w:hAnsi="Times New Roman" w:cs="Times New Roman"/>
          <w:szCs w:val="24"/>
        </w:rPr>
        <w:t xml:space="preserve"> foi declarada válida decisão do TCU, </w:t>
      </w:r>
      <w:r w:rsidR="00E61075" w:rsidRPr="00423906">
        <w:rPr>
          <w:rFonts w:ascii="Times New Roman" w:hAnsi="Times New Roman" w:cs="Times New Roman"/>
          <w:szCs w:val="24"/>
          <w:u w:val="single"/>
        </w:rPr>
        <w:t>em sede cautelar</w:t>
      </w:r>
      <w:r w:rsidR="00E61075" w:rsidRPr="00E61075">
        <w:rPr>
          <w:rFonts w:ascii="Times New Roman" w:hAnsi="Times New Roman" w:cs="Times New Roman"/>
          <w:szCs w:val="24"/>
        </w:rPr>
        <w:t xml:space="preserve">, </w:t>
      </w:r>
      <w:r w:rsidR="00423906">
        <w:rPr>
          <w:rFonts w:ascii="Times New Roman" w:hAnsi="Times New Roman" w:cs="Times New Roman"/>
          <w:szCs w:val="24"/>
        </w:rPr>
        <w:t xml:space="preserve">em processo de Tomada de Contas Especial, </w:t>
      </w:r>
      <w:r w:rsidR="00E61075" w:rsidRPr="00E61075">
        <w:rPr>
          <w:rFonts w:ascii="Times New Roman" w:hAnsi="Times New Roman" w:cs="Times New Roman"/>
          <w:szCs w:val="24"/>
        </w:rPr>
        <w:t xml:space="preserve">de tornar indisponíveis os bens dos investigados, relativa à apuração de possíveis irregularidades na condução do processo de aquisição da refinaria Pasadena </w:t>
      </w:r>
      <w:proofErr w:type="spellStart"/>
      <w:r w:rsidR="00E61075" w:rsidRPr="00423906">
        <w:rPr>
          <w:rFonts w:ascii="Times New Roman" w:hAnsi="Times New Roman" w:cs="Times New Roman"/>
          <w:i/>
          <w:iCs/>
          <w:szCs w:val="24"/>
        </w:rPr>
        <w:t>Refining</w:t>
      </w:r>
      <w:proofErr w:type="spellEnd"/>
      <w:r w:rsidR="00E61075" w:rsidRPr="00423906">
        <w:rPr>
          <w:rFonts w:ascii="Times New Roman" w:hAnsi="Times New Roman" w:cs="Times New Roman"/>
          <w:i/>
          <w:iCs/>
          <w:szCs w:val="24"/>
        </w:rPr>
        <w:t xml:space="preserve"> System Inc.</w:t>
      </w:r>
      <w:r w:rsidR="00E61075" w:rsidRPr="00E61075">
        <w:rPr>
          <w:rFonts w:ascii="Times New Roman" w:hAnsi="Times New Roman" w:cs="Times New Roman"/>
          <w:szCs w:val="24"/>
        </w:rPr>
        <w:t xml:space="preserve"> (PRSI) pela </w:t>
      </w:r>
      <w:r w:rsidR="00E61075" w:rsidRPr="00423906">
        <w:rPr>
          <w:rFonts w:ascii="Times New Roman" w:hAnsi="Times New Roman" w:cs="Times New Roman"/>
          <w:i/>
          <w:iCs/>
          <w:szCs w:val="24"/>
        </w:rPr>
        <w:t xml:space="preserve">Petrobras </w:t>
      </w:r>
      <w:proofErr w:type="spellStart"/>
      <w:r w:rsidR="00E61075" w:rsidRPr="00423906">
        <w:rPr>
          <w:rFonts w:ascii="Times New Roman" w:hAnsi="Times New Roman" w:cs="Times New Roman"/>
          <w:i/>
          <w:iCs/>
          <w:szCs w:val="24"/>
        </w:rPr>
        <w:t>America</w:t>
      </w:r>
      <w:proofErr w:type="spellEnd"/>
      <w:r w:rsidR="00E61075" w:rsidRPr="00423906">
        <w:rPr>
          <w:rFonts w:ascii="Times New Roman" w:hAnsi="Times New Roman" w:cs="Times New Roman"/>
          <w:i/>
          <w:iCs/>
          <w:szCs w:val="24"/>
        </w:rPr>
        <w:t xml:space="preserve"> Inc</w:t>
      </w:r>
      <w:r w:rsidR="00E61075" w:rsidRPr="00E61075">
        <w:rPr>
          <w:rFonts w:ascii="Times New Roman" w:hAnsi="Times New Roman" w:cs="Times New Roman"/>
          <w:szCs w:val="24"/>
        </w:rPr>
        <w:t>. (PAI), sub</w:t>
      </w:r>
      <w:r w:rsidR="00E61075" w:rsidRPr="00423906">
        <w:rPr>
          <w:rFonts w:ascii="Times New Roman" w:hAnsi="Times New Roman" w:cs="Times New Roman"/>
          <w:szCs w:val="24"/>
        </w:rPr>
        <w:t xml:space="preserve">sidiária da Petróleo Brasileiro S.A., perante o grupo belga </w:t>
      </w:r>
      <w:r w:rsidR="00E61075" w:rsidRPr="00423906">
        <w:rPr>
          <w:rFonts w:ascii="Times New Roman" w:hAnsi="Times New Roman" w:cs="Times New Roman"/>
          <w:i/>
          <w:iCs/>
          <w:szCs w:val="24"/>
        </w:rPr>
        <w:t xml:space="preserve">Astra </w:t>
      </w:r>
      <w:proofErr w:type="spellStart"/>
      <w:r w:rsidR="00E61075" w:rsidRPr="00423906">
        <w:rPr>
          <w:rFonts w:ascii="Times New Roman" w:hAnsi="Times New Roman" w:cs="Times New Roman"/>
          <w:i/>
          <w:iCs/>
          <w:szCs w:val="24"/>
        </w:rPr>
        <w:t>Transcor</w:t>
      </w:r>
      <w:proofErr w:type="spellEnd"/>
      <w:r w:rsidR="00E61075" w:rsidRPr="00423906">
        <w:rPr>
          <w:rFonts w:ascii="Times New Roman" w:hAnsi="Times New Roman" w:cs="Times New Roman"/>
          <w:szCs w:val="24"/>
        </w:rPr>
        <w:t>.</w:t>
      </w:r>
    </w:p>
    <w:p w14:paraId="4A1C5B13" w14:textId="5F08C88F" w:rsidR="00423906" w:rsidRPr="00423906" w:rsidRDefault="00423906" w:rsidP="00E61075">
      <w:pPr>
        <w:spacing w:line="360" w:lineRule="auto"/>
        <w:ind w:firstLine="851"/>
        <w:jc w:val="both"/>
        <w:rPr>
          <w:rFonts w:ascii="Times New Roman" w:hAnsi="Times New Roman" w:cs="Times New Roman"/>
          <w:szCs w:val="24"/>
        </w:rPr>
      </w:pPr>
      <w:r w:rsidRPr="00423906">
        <w:rPr>
          <w:rFonts w:ascii="Times New Roman" w:hAnsi="Times New Roman" w:cs="Times New Roman"/>
          <w:szCs w:val="24"/>
        </w:rPr>
        <w:t>A seguir, passaremos a expor as razões pelas quais discordamos da declaração de inconstitucionalidade em testilha e de como pensamos ser possível superar o resultado da ADI 5.886/DF.</w:t>
      </w:r>
    </w:p>
    <w:p w14:paraId="68A9D109" w14:textId="77777777" w:rsidR="00423906" w:rsidRPr="00423906" w:rsidRDefault="00423906" w:rsidP="00E61075">
      <w:pPr>
        <w:spacing w:line="360" w:lineRule="auto"/>
        <w:ind w:firstLine="851"/>
        <w:jc w:val="both"/>
        <w:rPr>
          <w:rFonts w:ascii="Times New Roman" w:hAnsi="Times New Roman" w:cs="Times New Roman"/>
          <w:b/>
          <w:bCs/>
          <w:i/>
          <w:iCs/>
          <w:szCs w:val="24"/>
        </w:rPr>
      </w:pPr>
    </w:p>
    <w:p w14:paraId="7626F039" w14:textId="66E12E40" w:rsidR="004779B1" w:rsidRDefault="00325F25" w:rsidP="008C55D6">
      <w:pPr>
        <w:pBdr>
          <w:top w:val="single" w:sz="4" w:space="1" w:color="auto"/>
          <w:bottom w:val="single" w:sz="4" w:space="1" w:color="auto"/>
        </w:pBdr>
        <w:spacing w:line="360" w:lineRule="auto"/>
        <w:jc w:val="both"/>
        <w:rPr>
          <w:rFonts w:ascii="Times New Roman" w:hAnsi="Times New Roman" w:cs="Times New Roman"/>
          <w:b/>
          <w:bCs/>
          <w:szCs w:val="24"/>
        </w:rPr>
      </w:pPr>
      <w:r>
        <w:rPr>
          <w:rFonts w:ascii="Times New Roman" w:hAnsi="Times New Roman" w:cs="Times New Roman"/>
          <w:b/>
          <w:bCs/>
          <w:szCs w:val="24"/>
        </w:rPr>
        <w:t>I</w:t>
      </w:r>
      <w:r w:rsidR="00A768CE">
        <w:rPr>
          <w:rFonts w:ascii="Times New Roman" w:hAnsi="Times New Roman" w:cs="Times New Roman"/>
          <w:b/>
          <w:bCs/>
          <w:szCs w:val="24"/>
        </w:rPr>
        <w:t>II</w:t>
      </w:r>
      <w:r w:rsidR="004D228B" w:rsidRPr="00BF185E">
        <w:rPr>
          <w:rFonts w:ascii="Times New Roman" w:hAnsi="Times New Roman" w:cs="Times New Roman"/>
          <w:b/>
          <w:bCs/>
          <w:szCs w:val="24"/>
        </w:rPr>
        <w:t xml:space="preserve"> </w:t>
      </w:r>
      <w:r w:rsidR="00423906">
        <w:rPr>
          <w:rFonts w:ascii="Times New Roman" w:hAnsi="Times New Roman" w:cs="Times New Roman"/>
          <w:b/>
          <w:bCs/>
          <w:szCs w:val="24"/>
        </w:rPr>
        <w:t xml:space="preserve">- </w:t>
      </w:r>
      <w:r w:rsidR="004779B1">
        <w:rPr>
          <w:rFonts w:ascii="Times New Roman" w:hAnsi="Times New Roman" w:cs="Times New Roman"/>
          <w:b/>
          <w:bCs/>
          <w:szCs w:val="24"/>
        </w:rPr>
        <w:t>COMO SUPERAR O JULGAMENTO DA ADI 5.886/DF</w:t>
      </w:r>
    </w:p>
    <w:p w14:paraId="221A0962" w14:textId="77777777" w:rsidR="00DF66F6" w:rsidRDefault="00DF66F6" w:rsidP="00DF66F6">
      <w:pPr>
        <w:pBdr>
          <w:bottom w:val="single" w:sz="4" w:space="1" w:color="auto"/>
        </w:pBdr>
        <w:spacing w:line="360" w:lineRule="auto"/>
        <w:ind w:firstLine="851"/>
        <w:jc w:val="both"/>
        <w:rPr>
          <w:rFonts w:ascii="Times New Roman" w:hAnsi="Times New Roman" w:cs="Times New Roman"/>
          <w:b/>
          <w:bCs/>
          <w:szCs w:val="24"/>
        </w:rPr>
      </w:pPr>
    </w:p>
    <w:p w14:paraId="3EBD23A4" w14:textId="53C76873" w:rsidR="004D228B" w:rsidRPr="00BF185E" w:rsidRDefault="0061261A" w:rsidP="00DF66F6">
      <w:pPr>
        <w:pBdr>
          <w:bottom w:val="single" w:sz="4" w:space="1" w:color="auto"/>
        </w:pBdr>
        <w:spacing w:line="360" w:lineRule="auto"/>
        <w:ind w:firstLine="851"/>
        <w:jc w:val="both"/>
        <w:rPr>
          <w:rFonts w:ascii="Times New Roman" w:hAnsi="Times New Roman" w:cs="Times New Roman"/>
          <w:b/>
          <w:bCs/>
          <w:szCs w:val="24"/>
        </w:rPr>
      </w:pPr>
      <w:r>
        <w:rPr>
          <w:rFonts w:ascii="Times New Roman" w:hAnsi="Times New Roman" w:cs="Times New Roman"/>
          <w:b/>
          <w:bCs/>
          <w:szCs w:val="24"/>
        </w:rPr>
        <w:t>I</w:t>
      </w:r>
      <w:r w:rsidR="004779B1">
        <w:rPr>
          <w:rFonts w:ascii="Times New Roman" w:hAnsi="Times New Roman" w:cs="Times New Roman"/>
          <w:b/>
          <w:bCs/>
          <w:szCs w:val="24"/>
        </w:rPr>
        <w:t>II.1 Da</w:t>
      </w:r>
      <w:r w:rsidR="000C441C" w:rsidRPr="000C441C">
        <w:rPr>
          <w:rFonts w:ascii="Times New Roman" w:hAnsi="Times New Roman" w:cs="Times New Roman"/>
          <w:b/>
          <w:bCs/>
          <w:szCs w:val="24"/>
        </w:rPr>
        <w:t xml:space="preserve"> Teoria do</w:t>
      </w:r>
      <w:r w:rsidR="008C55D6">
        <w:rPr>
          <w:rFonts w:ascii="Times New Roman" w:hAnsi="Times New Roman" w:cs="Times New Roman"/>
          <w:b/>
          <w:bCs/>
          <w:szCs w:val="24"/>
        </w:rPr>
        <w:t>s</w:t>
      </w:r>
      <w:r w:rsidR="000C441C" w:rsidRPr="000C441C">
        <w:rPr>
          <w:rFonts w:ascii="Times New Roman" w:hAnsi="Times New Roman" w:cs="Times New Roman"/>
          <w:b/>
          <w:bCs/>
          <w:szCs w:val="24"/>
        </w:rPr>
        <w:t xml:space="preserve"> Poderes Implícitos</w:t>
      </w:r>
    </w:p>
    <w:p w14:paraId="64038CD4" w14:textId="77777777" w:rsidR="008C55D6" w:rsidRDefault="008C55D6" w:rsidP="00A10B93">
      <w:pPr>
        <w:spacing w:line="360" w:lineRule="auto"/>
        <w:ind w:firstLine="709"/>
        <w:jc w:val="both"/>
        <w:rPr>
          <w:rFonts w:ascii="Times New Roman" w:hAnsi="Times New Roman" w:cs="Times New Roman"/>
          <w:szCs w:val="24"/>
        </w:rPr>
      </w:pPr>
    </w:p>
    <w:p w14:paraId="0DEA2791" w14:textId="143F85FA" w:rsidR="00A10B93" w:rsidRPr="00B23CD2" w:rsidRDefault="00B77C96" w:rsidP="00A10B93">
      <w:pPr>
        <w:spacing w:line="360" w:lineRule="auto"/>
        <w:ind w:firstLine="709"/>
        <w:jc w:val="both"/>
        <w:rPr>
          <w:rFonts w:ascii="Times New Roman" w:hAnsi="Times New Roman" w:cs="Times New Roman"/>
          <w:szCs w:val="24"/>
        </w:rPr>
      </w:pPr>
      <w:r w:rsidRPr="00B77C96">
        <w:rPr>
          <w:rFonts w:ascii="Times New Roman" w:hAnsi="Times New Roman" w:cs="Times New Roman"/>
          <w:szCs w:val="24"/>
        </w:rPr>
        <w:t>A teoria dos poderes implícitos</w:t>
      </w:r>
      <w:r w:rsidR="00A10B93">
        <w:rPr>
          <w:rFonts w:ascii="Times New Roman" w:hAnsi="Times New Roman" w:cs="Times New Roman"/>
          <w:szCs w:val="24"/>
        </w:rPr>
        <w:t>,</w:t>
      </w:r>
      <w:r w:rsidRPr="00B77C96">
        <w:rPr>
          <w:rFonts w:ascii="Times New Roman" w:hAnsi="Times New Roman" w:cs="Times New Roman"/>
          <w:szCs w:val="24"/>
        </w:rPr>
        <w:t xml:space="preserve"> </w:t>
      </w:r>
      <w:r w:rsidR="000B0540">
        <w:rPr>
          <w:rFonts w:ascii="Times New Roman" w:hAnsi="Times New Roman" w:cs="Times New Roman"/>
          <w:szCs w:val="24"/>
        </w:rPr>
        <w:t xml:space="preserve">idealizada </w:t>
      </w:r>
      <w:r w:rsidRPr="00B77C96">
        <w:rPr>
          <w:rFonts w:ascii="Times New Roman" w:hAnsi="Times New Roman" w:cs="Times New Roman"/>
          <w:szCs w:val="24"/>
        </w:rPr>
        <w:t xml:space="preserve">pela Suprema Corte dos Estados Unidos no famoso caso </w:t>
      </w:r>
      <w:proofErr w:type="spellStart"/>
      <w:r w:rsidRPr="000B0540">
        <w:rPr>
          <w:rFonts w:ascii="Times New Roman" w:hAnsi="Times New Roman" w:cs="Times New Roman"/>
          <w:i/>
          <w:iCs/>
          <w:szCs w:val="24"/>
        </w:rPr>
        <w:t>McCulloch</w:t>
      </w:r>
      <w:proofErr w:type="spellEnd"/>
      <w:r w:rsidRPr="000B0540">
        <w:rPr>
          <w:rFonts w:ascii="Times New Roman" w:hAnsi="Times New Roman" w:cs="Times New Roman"/>
          <w:i/>
          <w:iCs/>
          <w:szCs w:val="24"/>
        </w:rPr>
        <w:t xml:space="preserve"> v. Maryland</w:t>
      </w:r>
      <w:r w:rsidRPr="00B77C96">
        <w:rPr>
          <w:rFonts w:ascii="Times New Roman" w:hAnsi="Times New Roman" w:cs="Times New Roman"/>
          <w:szCs w:val="24"/>
        </w:rPr>
        <w:t xml:space="preserve"> (1819), </w:t>
      </w:r>
      <w:r w:rsidR="000B0540">
        <w:rPr>
          <w:rFonts w:ascii="Times New Roman" w:hAnsi="Times New Roman" w:cs="Times New Roman"/>
          <w:szCs w:val="24"/>
        </w:rPr>
        <w:t xml:space="preserve">está fundamentada na lógica de </w:t>
      </w:r>
      <w:r w:rsidRPr="00B77C96">
        <w:rPr>
          <w:rFonts w:ascii="Times New Roman" w:hAnsi="Times New Roman" w:cs="Times New Roman"/>
          <w:szCs w:val="24"/>
        </w:rPr>
        <w:t xml:space="preserve">que a outorga de competência </w:t>
      </w:r>
      <w:r w:rsidR="00A10B93">
        <w:rPr>
          <w:rFonts w:ascii="Times New Roman" w:hAnsi="Times New Roman" w:cs="Times New Roman"/>
          <w:szCs w:val="24"/>
        </w:rPr>
        <w:t xml:space="preserve">constitucional </w:t>
      </w:r>
      <w:r w:rsidRPr="00B77C96">
        <w:rPr>
          <w:rFonts w:ascii="Times New Roman" w:hAnsi="Times New Roman" w:cs="Times New Roman"/>
          <w:szCs w:val="24"/>
        </w:rPr>
        <w:t xml:space="preserve">expressa a determinado órgão estatal importa no deferimento implícito, também a ele, dos meios </w:t>
      </w:r>
      <w:r w:rsidR="00A10B93">
        <w:rPr>
          <w:rFonts w:ascii="Times New Roman" w:hAnsi="Times New Roman" w:cs="Times New Roman"/>
          <w:szCs w:val="24"/>
        </w:rPr>
        <w:t xml:space="preserve">necessários </w:t>
      </w:r>
      <w:r w:rsidRPr="00B77C96">
        <w:rPr>
          <w:rFonts w:ascii="Times New Roman" w:hAnsi="Times New Roman" w:cs="Times New Roman"/>
          <w:szCs w:val="24"/>
        </w:rPr>
        <w:t>à integral consecução dos fins prescritos pelo constituinte.</w:t>
      </w:r>
      <w:r w:rsidR="00A10B93">
        <w:rPr>
          <w:rFonts w:ascii="Times New Roman" w:hAnsi="Times New Roman" w:cs="Times New Roman"/>
          <w:szCs w:val="24"/>
        </w:rPr>
        <w:t xml:space="preserve"> </w:t>
      </w:r>
      <w:r w:rsidR="000B0540">
        <w:rPr>
          <w:rFonts w:ascii="Times New Roman" w:hAnsi="Times New Roman" w:cs="Times New Roman"/>
          <w:szCs w:val="24"/>
        </w:rPr>
        <w:t xml:space="preserve">Nesse caso, </w:t>
      </w:r>
      <w:r w:rsidR="000B0540" w:rsidRPr="00B23CD2">
        <w:rPr>
          <w:rFonts w:ascii="Times New Roman" w:hAnsi="Times New Roman" w:cs="Times New Roman"/>
          <w:szCs w:val="24"/>
        </w:rPr>
        <w:t>“s</w:t>
      </w:r>
      <w:r w:rsidR="00A10B93" w:rsidRPr="00B23CD2">
        <w:rPr>
          <w:rFonts w:ascii="Times New Roman" w:hAnsi="Times New Roman" w:cs="Times New Roman"/>
          <w:szCs w:val="24"/>
        </w:rPr>
        <w:t>ob o voto de Marshall, a Corte foi unânime em reconhecer ao Congresso o poder de criar o Banco e declarar inconstitucional a tributação pelos Estados dos instrumentos do governo nacional</w:t>
      </w:r>
      <w:r w:rsidR="00915ABE" w:rsidRPr="00B23CD2">
        <w:rPr>
          <w:rFonts w:ascii="Times New Roman" w:hAnsi="Times New Roman" w:cs="Times New Roman"/>
          <w:szCs w:val="24"/>
        </w:rPr>
        <w:t>”.</w:t>
      </w:r>
      <w:r w:rsidR="00A10B93" w:rsidRPr="00B23CD2">
        <w:rPr>
          <w:rStyle w:val="Refdenotaderodap"/>
          <w:rFonts w:ascii="Times New Roman" w:hAnsi="Times New Roman" w:cs="Times New Roman"/>
          <w:szCs w:val="24"/>
        </w:rPr>
        <w:footnoteReference w:id="2"/>
      </w:r>
    </w:p>
    <w:p w14:paraId="4DD22638" w14:textId="37E5654F" w:rsidR="0009002F" w:rsidRDefault="00B23CD2" w:rsidP="001D3086">
      <w:pPr>
        <w:spacing w:line="360" w:lineRule="auto"/>
        <w:ind w:firstLine="709"/>
        <w:jc w:val="both"/>
        <w:rPr>
          <w:rFonts w:ascii="Times New Roman" w:hAnsi="Times New Roman" w:cs="Times New Roman"/>
          <w:szCs w:val="24"/>
        </w:rPr>
      </w:pPr>
      <w:r>
        <w:rPr>
          <w:rFonts w:ascii="Times New Roman" w:hAnsi="Times New Roman" w:cs="Times New Roman"/>
          <w:szCs w:val="24"/>
        </w:rPr>
        <w:t xml:space="preserve">No </w:t>
      </w:r>
      <w:r w:rsidR="00060C5E">
        <w:rPr>
          <w:rFonts w:ascii="Times New Roman" w:hAnsi="Times New Roman" w:cs="Times New Roman"/>
          <w:szCs w:val="24"/>
        </w:rPr>
        <w:t xml:space="preserve">Brasil, a utilização da referida teoria </w:t>
      </w:r>
      <w:r w:rsidR="00D32AFF">
        <w:rPr>
          <w:rFonts w:ascii="Times New Roman" w:hAnsi="Times New Roman" w:cs="Times New Roman"/>
          <w:szCs w:val="24"/>
        </w:rPr>
        <w:t>desbordou da questão atinente a</w:t>
      </w:r>
      <w:r w:rsidR="00B77C96" w:rsidRPr="00B77C96">
        <w:rPr>
          <w:rFonts w:ascii="Times New Roman" w:hAnsi="Times New Roman" w:cs="Times New Roman"/>
          <w:szCs w:val="24"/>
        </w:rPr>
        <w:t xml:space="preserve"> competências legislativas (implícitas) da União </w:t>
      </w:r>
      <w:r w:rsidR="00D32AFF">
        <w:rPr>
          <w:rFonts w:ascii="Times New Roman" w:hAnsi="Times New Roman" w:cs="Times New Roman"/>
          <w:szCs w:val="24"/>
        </w:rPr>
        <w:t>e imunidade tributária</w:t>
      </w:r>
      <w:r>
        <w:rPr>
          <w:rFonts w:ascii="Times New Roman" w:hAnsi="Times New Roman" w:cs="Times New Roman"/>
          <w:szCs w:val="24"/>
        </w:rPr>
        <w:t xml:space="preserve"> recíproca. Em</w:t>
      </w:r>
      <w:r w:rsidR="0009002F">
        <w:rPr>
          <w:rFonts w:ascii="Times New Roman" w:hAnsi="Times New Roman" w:cs="Times New Roman"/>
          <w:szCs w:val="24"/>
        </w:rPr>
        <w:t xml:space="preserve"> pesquisa </w:t>
      </w:r>
      <w:r>
        <w:rPr>
          <w:rFonts w:ascii="Times New Roman" w:hAnsi="Times New Roman" w:cs="Times New Roman"/>
          <w:szCs w:val="24"/>
        </w:rPr>
        <w:t>no site do Supremo Tribunal Federal</w:t>
      </w:r>
      <w:r>
        <w:rPr>
          <w:rStyle w:val="Refdenotaderodap"/>
          <w:rFonts w:ascii="Times New Roman" w:hAnsi="Times New Roman" w:cs="Times New Roman"/>
          <w:szCs w:val="24"/>
        </w:rPr>
        <w:footnoteReference w:id="3"/>
      </w:r>
      <w:r>
        <w:rPr>
          <w:rFonts w:ascii="Times New Roman" w:hAnsi="Times New Roman" w:cs="Times New Roman"/>
          <w:szCs w:val="24"/>
        </w:rPr>
        <w:t xml:space="preserve"> encontramos 74 resultados para a expressão “</w:t>
      </w:r>
      <w:r w:rsidRPr="00DE3679">
        <w:rPr>
          <w:rFonts w:ascii="Times New Roman" w:hAnsi="Times New Roman" w:cs="Times New Roman"/>
          <w:i/>
          <w:iCs/>
          <w:szCs w:val="24"/>
        </w:rPr>
        <w:t>teoria dos poderes implícitos</w:t>
      </w:r>
      <w:r>
        <w:rPr>
          <w:rFonts w:ascii="Times New Roman" w:hAnsi="Times New Roman" w:cs="Times New Roman"/>
          <w:szCs w:val="24"/>
        </w:rPr>
        <w:t>”</w:t>
      </w:r>
      <w:r w:rsidR="0009002F">
        <w:rPr>
          <w:rFonts w:ascii="Times New Roman" w:hAnsi="Times New Roman" w:cs="Times New Roman"/>
          <w:szCs w:val="24"/>
        </w:rPr>
        <w:t>, sendo três delas de repercussão geral</w:t>
      </w:r>
      <w:r w:rsidR="00354580">
        <w:rPr>
          <w:rFonts w:ascii="Times New Roman" w:hAnsi="Times New Roman" w:cs="Times New Roman"/>
          <w:szCs w:val="24"/>
        </w:rPr>
        <w:t>. A saber</w:t>
      </w:r>
      <w:r w:rsidR="0009002F">
        <w:rPr>
          <w:rFonts w:ascii="Times New Roman" w:hAnsi="Times New Roman" w:cs="Times New Roman"/>
          <w:szCs w:val="24"/>
        </w:rPr>
        <w:t xml:space="preserve">: </w:t>
      </w:r>
    </w:p>
    <w:p w14:paraId="538766E1" w14:textId="494A3311" w:rsidR="00D32AFF" w:rsidRDefault="0009002F" w:rsidP="0009002F">
      <w:pPr>
        <w:spacing w:line="360" w:lineRule="auto"/>
        <w:ind w:left="709"/>
        <w:jc w:val="both"/>
        <w:rPr>
          <w:rFonts w:ascii="Times New Roman" w:hAnsi="Times New Roman" w:cs="Times New Roman"/>
          <w:szCs w:val="24"/>
        </w:rPr>
      </w:pPr>
      <w:r>
        <w:rPr>
          <w:rFonts w:ascii="Times New Roman" w:hAnsi="Times New Roman" w:cs="Times New Roman"/>
          <w:szCs w:val="24"/>
        </w:rPr>
        <w:lastRenderedPageBreak/>
        <w:t xml:space="preserve">Tema 29 – Tese: </w:t>
      </w:r>
      <w:r w:rsidRPr="0009002F">
        <w:rPr>
          <w:rFonts w:ascii="Times New Roman" w:hAnsi="Times New Roman" w:cs="Times New Roman"/>
          <w:szCs w:val="24"/>
        </w:rPr>
        <w:t>Leis que tratam dos casos de vedação a nepotismo não são de iniciativa exclusiva do Chefe do Poder Executiv</w:t>
      </w:r>
      <w:r>
        <w:rPr>
          <w:rFonts w:ascii="Times New Roman" w:hAnsi="Times New Roman" w:cs="Times New Roman"/>
          <w:szCs w:val="24"/>
        </w:rPr>
        <w:t>o;</w:t>
      </w:r>
    </w:p>
    <w:p w14:paraId="2DC92363" w14:textId="0DCEE0E5" w:rsidR="0009002F" w:rsidRPr="00DE3679" w:rsidRDefault="0009002F" w:rsidP="0009002F">
      <w:pPr>
        <w:spacing w:line="360" w:lineRule="auto"/>
        <w:ind w:left="709"/>
        <w:jc w:val="both"/>
        <w:rPr>
          <w:rFonts w:ascii="Times New Roman" w:hAnsi="Times New Roman" w:cs="Times New Roman"/>
          <w:color w:val="000000"/>
          <w:szCs w:val="24"/>
        </w:rPr>
      </w:pPr>
      <w:r>
        <w:rPr>
          <w:rFonts w:ascii="Times New Roman" w:hAnsi="Times New Roman" w:cs="Times New Roman"/>
          <w:szCs w:val="24"/>
        </w:rPr>
        <w:t xml:space="preserve">Tema 184 – Tese: </w:t>
      </w:r>
      <w:r w:rsidRPr="0009002F">
        <w:rPr>
          <w:rFonts w:ascii="Times New Roman" w:hAnsi="Times New Roman" w:cs="Times New Roman"/>
          <w:color w:val="000000"/>
          <w:szCs w:val="24"/>
        </w:rPr>
        <w:t>O Ministério Público dispõe de competência para promover, por autoridade própria, e por prazo razoável, investigações de natureza penal, desde que respeitados os direitos e garantias que assistem a qualquer indiciado ou a qualquer pessoa sob investigação do Estado, observadas, sempre, por seus agentes, as hipóteses de reserva constitucional de jurisdição e, também, as prerrogativas profissionais de que se acham investidos, em nosso País, os Advogados (Lei nº 8.906/94, art. 7º, notadamente os incisos I, II, III, XI, XIII, XIV e XIX), sem prejuízo da possibilidade - sempre presente no Estado democrático de Direito - do permanente controle jurisdicional dos atos, necessariamente documentados (Súmula Vinculante nº 14</w:t>
      </w:r>
      <w:r w:rsidRPr="00DE3679">
        <w:rPr>
          <w:rFonts w:ascii="Times New Roman" w:hAnsi="Times New Roman" w:cs="Times New Roman"/>
          <w:color w:val="000000"/>
          <w:szCs w:val="24"/>
        </w:rPr>
        <w:t>), praticados pelos membros dessa Instituição</w:t>
      </w:r>
      <w:r w:rsidR="00DE3679" w:rsidRPr="00DE3679">
        <w:rPr>
          <w:rFonts w:ascii="Times New Roman" w:hAnsi="Times New Roman" w:cs="Times New Roman"/>
          <w:color w:val="000000"/>
          <w:szCs w:val="24"/>
        </w:rPr>
        <w:t>; e</w:t>
      </w:r>
    </w:p>
    <w:p w14:paraId="2A783096" w14:textId="377A39D6" w:rsidR="00DE3679" w:rsidRDefault="00DE3679" w:rsidP="0009002F">
      <w:pPr>
        <w:spacing w:line="360" w:lineRule="auto"/>
        <w:ind w:left="709"/>
        <w:jc w:val="both"/>
        <w:rPr>
          <w:rFonts w:ascii="Times New Roman" w:hAnsi="Times New Roman" w:cs="Times New Roman"/>
          <w:color w:val="000000"/>
          <w:szCs w:val="24"/>
        </w:rPr>
      </w:pPr>
      <w:r w:rsidRPr="00DE3679">
        <w:rPr>
          <w:rFonts w:ascii="Times New Roman" w:hAnsi="Times New Roman" w:cs="Times New Roman"/>
          <w:color w:val="000000"/>
          <w:szCs w:val="24"/>
        </w:rPr>
        <w:t xml:space="preserve">Tema 241 Tese: O Exame, inicialmente previsto no artigo 48, inciso III, da Lei nº 4.215/63 e hoje no artigo 8º, inciso IV, da Lei nº 8.906/94, mostra-se consentâneo com a Constituição Federal. Com ela é compatível a prerrogativa conferida à Ordem dos Advogados do Brasil para aplicação do exame de suficiência relativo ao acesso à advocacia. </w:t>
      </w:r>
      <w:proofErr w:type="spellStart"/>
      <w:r w:rsidRPr="00DE3679">
        <w:rPr>
          <w:rFonts w:ascii="Times New Roman" w:hAnsi="Times New Roman" w:cs="Times New Roman"/>
          <w:color w:val="000000"/>
          <w:szCs w:val="24"/>
        </w:rPr>
        <w:t>Obs</w:t>
      </w:r>
      <w:proofErr w:type="spellEnd"/>
      <w:r w:rsidRPr="00DE3679">
        <w:rPr>
          <w:rFonts w:ascii="Times New Roman" w:hAnsi="Times New Roman" w:cs="Times New Roman"/>
          <w:color w:val="000000"/>
          <w:szCs w:val="24"/>
        </w:rPr>
        <w:t>: Redação da tese aprovada nos termos do item 2 da Ata da 12ª Sessão Administrativa do STF, realizada em 09/12/2015.</w:t>
      </w:r>
    </w:p>
    <w:p w14:paraId="1BDDF6B3" w14:textId="55501524" w:rsidR="00DE3679" w:rsidRDefault="00DE3679" w:rsidP="00DE3679">
      <w:pPr>
        <w:spacing w:line="360" w:lineRule="auto"/>
        <w:ind w:firstLine="709"/>
        <w:jc w:val="both"/>
        <w:rPr>
          <w:rFonts w:ascii="Times New Roman" w:hAnsi="Times New Roman" w:cs="Times New Roman"/>
          <w:color w:val="000000"/>
          <w:szCs w:val="24"/>
        </w:rPr>
      </w:pPr>
      <w:r>
        <w:rPr>
          <w:rFonts w:ascii="Times New Roman" w:hAnsi="Times New Roman" w:cs="Times New Roman"/>
          <w:color w:val="000000"/>
          <w:szCs w:val="24"/>
        </w:rPr>
        <w:t xml:space="preserve">Deveras, a amostragem acima é suficiente </w:t>
      </w:r>
      <w:r w:rsidR="00354580">
        <w:rPr>
          <w:rFonts w:ascii="Times New Roman" w:hAnsi="Times New Roman" w:cs="Times New Roman"/>
          <w:color w:val="000000"/>
          <w:szCs w:val="24"/>
        </w:rPr>
        <w:t>para</w:t>
      </w:r>
      <w:r>
        <w:rPr>
          <w:rFonts w:ascii="Times New Roman" w:hAnsi="Times New Roman" w:cs="Times New Roman"/>
          <w:color w:val="000000"/>
          <w:szCs w:val="24"/>
        </w:rPr>
        <w:t xml:space="preserve"> demonstrar o apreço do STF pela teoria dos poderes implícitos.</w:t>
      </w:r>
      <w:r w:rsidR="00104F15">
        <w:rPr>
          <w:rFonts w:ascii="Times New Roman" w:hAnsi="Times New Roman" w:cs="Times New Roman"/>
          <w:color w:val="000000"/>
          <w:szCs w:val="24"/>
        </w:rPr>
        <w:t xml:space="preserve"> Neste sentido, Casagrande e Barreira:</w:t>
      </w:r>
      <w:r w:rsidR="00104F15">
        <w:rPr>
          <w:rStyle w:val="Refdenotaderodap"/>
          <w:rFonts w:ascii="Times New Roman" w:hAnsi="Times New Roman" w:cs="Times New Roman"/>
          <w:color w:val="000000"/>
          <w:szCs w:val="24"/>
        </w:rPr>
        <w:footnoteReference w:id="4"/>
      </w:r>
    </w:p>
    <w:p w14:paraId="3CCF5B27" w14:textId="77777777" w:rsidR="00104F15" w:rsidRDefault="00104F15" w:rsidP="00DE3679">
      <w:pPr>
        <w:spacing w:line="360" w:lineRule="auto"/>
        <w:ind w:firstLine="709"/>
        <w:jc w:val="both"/>
        <w:rPr>
          <w:rFonts w:ascii="Times New Roman" w:hAnsi="Times New Roman" w:cs="Times New Roman"/>
          <w:color w:val="000000"/>
          <w:szCs w:val="24"/>
        </w:rPr>
      </w:pPr>
    </w:p>
    <w:p w14:paraId="6E221F59" w14:textId="3C813CC6" w:rsidR="00104F15" w:rsidRPr="00104F15" w:rsidRDefault="00104F15" w:rsidP="00E777AC">
      <w:pPr>
        <w:spacing w:line="240" w:lineRule="auto"/>
        <w:ind w:left="2268"/>
        <w:jc w:val="both"/>
        <w:rPr>
          <w:rFonts w:ascii="Times New Roman" w:hAnsi="Times New Roman" w:cs="Times New Roman"/>
          <w:color w:val="000000"/>
          <w:sz w:val="20"/>
          <w:szCs w:val="20"/>
        </w:rPr>
      </w:pPr>
      <w:r w:rsidRPr="00104F15">
        <w:rPr>
          <w:rFonts w:ascii="Times New Roman" w:hAnsi="Times New Roman" w:cs="Times New Roman"/>
          <w:sz w:val="20"/>
          <w:szCs w:val="20"/>
        </w:rPr>
        <w:t xml:space="preserve">A decisão </w:t>
      </w:r>
      <w:proofErr w:type="spellStart"/>
      <w:r w:rsidRPr="00104F15">
        <w:rPr>
          <w:rFonts w:ascii="Times New Roman" w:hAnsi="Times New Roman" w:cs="Times New Roman"/>
          <w:i/>
          <w:iCs/>
          <w:sz w:val="20"/>
          <w:szCs w:val="20"/>
        </w:rPr>
        <w:t>McCulloch</w:t>
      </w:r>
      <w:proofErr w:type="spellEnd"/>
      <w:r w:rsidRPr="00104F15">
        <w:rPr>
          <w:rFonts w:ascii="Times New Roman" w:hAnsi="Times New Roman" w:cs="Times New Roman"/>
          <w:i/>
          <w:iCs/>
          <w:sz w:val="20"/>
          <w:szCs w:val="20"/>
        </w:rPr>
        <w:t xml:space="preserve"> v. Maryland</w:t>
      </w:r>
      <w:r w:rsidRPr="00104F15">
        <w:rPr>
          <w:rFonts w:ascii="Times New Roman" w:hAnsi="Times New Roman" w:cs="Times New Roman"/>
          <w:sz w:val="20"/>
          <w:szCs w:val="20"/>
        </w:rPr>
        <w:t xml:space="preserve"> foi muito significativa para a consolidação do governo federal norte-americano e um passo importante na formação da identidade dos EUA como nação. Além disso, a decisão consolidou algumas teorias como a dos poderes implícitos, a da limitação do poder de tributar dos Estados e da visão da Constituição como um texto de diretrizes gerais, cujos pormenores são deduzidos por meio de sua interpretação. O STF, como se verificou, utilizou tais teorias em suas decisões. Entre elas, destacam-se as relativas ao poder investigatório do MP, em especial o RE 593.727, que julgou a questão com repercussão geral. Embora a teoria dos poderes implícitos, em </w:t>
      </w:r>
      <w:proofErr w:type="spellStart"/>
      <w:r w:rsidRPr="00104F15">
        <w:rPr>
          <w:rFonts w:ascii="Times New Roman" w:hAnsi="Times New Roman" w:cs="Times New Roman"/>
          <w:i/>
          <w:iCs/>
          <w:sz w:val="20"/>
          <w:szCs w:val="20"/>
        </w:rPr>
        <w:t>McCulloch</w:t>
      </w:r>
      <w:proofErr w:type="spellEnd"/>
      <w:r w:rsidRPr="00104F15">
        <w:rPr>
          <w:rFonts w:ascii="Times New Roman" w:hAnsi="Times New Roman" w:cs="Times New Roman"/>
          <w:i/>
          <w:iCs/>
          <w:sz w:val="20"/>
          <w:szCs w:val="20"/>
        </w:rPr>
        <w:t xml:space="preserve"> v. Maryland</w:t>
      </w:r>
      <w:r w:rsidRPr="00104F15">
        <w:rPr>
          <w:rFonts w:ascii="Times New Roman" w:hAnsi="Times New Roman" w:cs="Times New Roman"/>
          <w:sz w:val="20"/>
          <w:szCs w:val="20"/>
        </w:rPr>
        <w:t xml:space="preserve">, estivesse mais relacionada à repartição de competência relativamente à estrutura federativa dos EUA, foi utilizada num problema constitucional brasileiro que nada tinha a ver com a forma de Estado. Isso demonstra a plasticidade das teorias jurídicas, que podem adquirir, em outro lugar do mundo, aplicabilidade muito diferente da encontrada em seu lugar de origem. Entendemos, inclusive, que a aplicação da teoria apresenta pertinência. Por conseguinte, o caso </w:t>
      </w:r>
      <w:proofErr w:type="spellStart"/>
      <w:r w:rsidRPr="00104F15">
        <w:rPr>
          <w:rFonts w:ascii="Times New Roman" w:hAnsi="Times New Roman" w:cs="Times New Roman"/>
          <w:i/>
          <w:iCs/>
          <w:sz w:val="20"/>
          <w:szCs w:val="20"/>
        </w:rPr>
        <w:t>McCulloch</w:t>
      </w:r>
      <w:proofErr w:type="spellEnd"/>
      <w:r w:rsidRPr="00104F15">
        <w:rPr>
          <w:rFonts w:ascii="Times New Roman" w:hAnsi="Times New Roman" w:cs="Times New Roman"/>
          <w:i/>
          <w:iCs/>
          <w:sz w:val="20"/>
          <w:szCs w:val="20"/>
        </w:rPr>
        <w:t xml:space="preserve"> v. Maryland </w:t>
      </w:r>
      <w:r w:rsidRPr="00104F15">
        <w:rPr>
          <w:rFonts w:ascii="Times New Roman" w:hAnsi="Times New Roman" w:cs="Times New Roman"/>
          <w:sz w:val="20"/>
          <w:szCs w:val="20"/>
        </w:rPr>
        <w:t>constitui enorme contribuição à história dos EUA e demonstra a força do constitucionalismo norte-americano para influir em outras tradições jurídicas, como na nossa.</w:t>
      </w:r>
    </w:p>
    <w:p w14:paraId="127B338F" w14:textId="77777777" w:rsidR="00B8070A" w:rsidRPr="00DE3679" w:rsidRDefault="00B8070A" w:rsidP="002B6401">
      <w:pPr>
        <w:spacing w:line="360" w:lineRule="auto"/>
        <w:ind w:left="2268"/>
        <w:jc w:val="both"/>
        <w:rPr>
          <w:rFonts w:ascii="Times New Roman" w:hAnsi="Times New Roman" w:cs="Times New Roman"/>
          <w:szCs w:val="24"/>
        </w:rPr>
      </w:pPr>
    </w:p>
    <w:p w14:paraId="3A95345D" w14:textId="0F12B031" w:rsidR="00B77C96" w:rsidRDefault="00E1145F" w:rsidP="001D3086">
      <w:pPr>
        <w:spacing w:line="360" w:lineRule="auto"/>
        <w:ind w:firstLine="709"/>
        <w:jc w:val="both"/>
        <w:rPr>
          <w:rFonts w:ascii="Times New Roman" w:hAnsi="Times New Roman" w:cs="Times New Roman"/>
          <w:szCs w:val="24"/>
        </w:rPr>
      </w:pPr>
      <w:r>
        <w:rPr>
          <w:rFonts w:ascii="Times New Roman" w:hAnsi="Times New Roman" w:cs="Times New Roman"/>
          <w:szCs w:val="24"/>
        </w:rPr>
        <w:t xml:space="preserve">Em verdade, </w:t>
      </w:r>
      <w:r w:rsidR="002B6401" w:rsidRPr="002B6401">
        <w:rPr>
          <w:rFonts w:ascii="Times New Roman" w:hAnsi="Times New Roman" w:cs="Times New Roman"/>
          <w:szCs w:val="24"/>
        </w:rPr>
        <w:t xml:space="preserve">fato é que </w:t>
      </w:r>
      <w:r w:rsidR="002B6401">
        <w:rPr>
          <w:rFonts w:ascii="Times New Roman" w:hAnsi="Times New Roman" w:cs="Times New Roman"/>
          <w:szCs w:val="24"/>
        </w:rPr>
        <w:t xml:space="preserve">a teoria em tela </w:t>
      </w:r>
      <w:r w:rsidR="002B6401" w:rsidRPr="002B6401">
        <w:rPr>
          <w:rFonts w:ascii="Times New Roman" w:hAnsi="Times New Roman" w:cs="Times New Roman"/>
          <w:szCs w:val="24"/>
        </w:rPr>
        <w:t>já foi largamente utilizada pelo STF para justificar poderes escondidos de órgãos como o Ministério Público, o Conselho Nacional de Justiça e o Tribunal de Contas</w:t>
      </w:r>
      <w:r w:rsidR="002B6401">
        <w:rPr>
          <w:rFonts w:ascii="Times New Roman" w:hAnsi="Times New Roman" w:cs="Times New Roman"/>
          <w:szCs w:val="24"/>
        </w:rPr>
        <w:t xml:space="preserve"> e, quanto a este último,</w:t>
      </w:r>
      <w:r w:rsidR="00104F15">
        <w:rPr>
          <w:rFonts w:ascii="Times New Roman" w:hAnsi="Times New Roman" w:cs="Times New Roman"/>
          <w:szCs w:val="24"/>
        </w:rPr>
        <w:t xml:space="preserve"> importa analisar o precedente fixado no Mandado de Segurança nº 33.092, no qual se lavrou a tese de que</w:t>
      </w:r>
      <w:r w:rsidR="00174FDF">
        <w:rPr>
          <w:rFonts w:ascii="Times New Roman" w:hAnsi="Times New Roman" w:cs="Times New Roman"/>
          <w:szCs w:val="24"/>
        </w:rPr>
        <w:t>, com base na teoria dos poderes implícitos, deve-se reconhecer</w:t>
      </w:r>
      <w:r w:rsidR="002B6401">
        <w:rPr>
          <w:rFonts w:ascii="Times New Roman" w:hAnsi="Times New Roman" w:cs="Times New Roman"/>
          <w:szCs w:val="24"/>
        </w:rPr>
        <w:t xml:space="preserve"> a </w:t>
      </w:r>
      <w:r w:rsidR="002B6401" w:rsidRPr="007D0260">
        <w:rPr>
          <w:rFonts w:ascii="Times New Roman" w:hAnsi="Times New Roman" w:cs="Times New Roman"/>
          <w:b/>
          <w:bCs/>
          <w:szCs w:val="24"/>
        </w:rPr>
        <w:t>competência do tribunal de Contas</w:t>
      </w:r>
      <w:r w:rsidR="002B6401">
        <w:rPr>
          <w:rFonts w:ascii="Times New Roman" w:hAnsi="Times New Roman" w:cs="Times New Roman"/>
          <w:szCs w:val="24"/>
        </w:rPr>
        <w:t xml:space="preserve"> da </w:t>
      </w:r>
      <w:r w:rsidR="007D0260">
        <w:rPr>
          <w:rFonts w:ascii="Times New Roman" w:hAnsi="Times New Roman" w:cs="Times New Roman"/>
          <w:szCs w:val="24"/>
        </w:rPr>
        <w:t>u</w:t>
      </w:r>
      <w:r w:rsidR="002B6401">
        <w:rPr>
          <w:rFonts w:ascii="Times New Roman" w:hAnsi="Times New Roman" w:cs="Times New Roman"/>
          <w:szCs w:val="24"/>
        </w:rPr>
        <w:t xml:space="preserve">nião em </w:t>
      </w:r>
      <w:r w:rsidR="002B6401" w:rsidRPr="007D0260">
        <w:rPr>
          <w:rFonts w:ascii="Times New Roman" w:hAnsi="Times New Roman" w:cs="Times New Roman"/>
          <w:b/>
          <w:bCs/>
          <w:szCs w:val="24"/>
        </w:rPr>
        <w:t>decretar</w:t>
      </w:r>
      <w:r w:rsidR="002B6401">
        <w:rPr>
          <w:rFonts w:ascii="Times New Roman" w:hAnsi="Times New Roman" w:cs="Times New Roman"/>
          <w:szCs w:val="24"/>
        </w:rPr>
        <w:t xml:space="preserve">, </w:t>
      </w:r>
      <w:r w:rsidR="002B6401" w:rsidRPr="007D0260">
        <w:rPr>
          <w:rFonts w:ascii="Times New Roman" w:hAnsi="Times New Roman" w:cs="Times New Roman"/>
          <w:b/>
          <w:bCs/>
          <w:szCs w:val="24"/>
        </w:rPr>
        <w:t>por meio de decisão cautelar</w:t>
      </w:r>
      <w:r w:rsidR="002B6401">
        <w:rPr>
          <w:rFonts w:ascii="Times New Roman" w:hAnsi="Times New Roman" w:cs="Times New Roman"/>
          <w:szCs w:val="24"/>
        </w:rPr>
        <w:t xml:space="preserve">, a </w:t>
      </w:r>
      <w:r w:rsidR="002B6401" w:rsidRPr="007D0260">
        <w:rPr>
          <w:rFonts w:ascii="Times New Roman" w:hAnsi="Times New Roman" w:cs="Times New Roman"/>
          <w:b/>
          <w:bCs/>
          <w:szCs w:val="24"/>
        </w:rPr>
        <w:t>indisponibilidade de bens</w:t>
      </w:r>
      <w:r w:rsidR="002B6401">
        <w:rPr>
          <w:rFonts w:ascii="Times New Roman" w:hAnsi="Times New Roman" w:cs="Times New Roman"/>
          <w:szCs w:val="24"/>
        </w:rPr>
        <w:t xml:space="preserve"> de pessoa física ou jurídica, sujeita a investigação. O acórdão do caso referido foi assim ementado:</w:t>
      </w:r>
    </w:p>
    <w:p w14:paraId="4905AB46" w14:textId="77777777" w:rsidR="007D0260" w:rsidRDefault="007D0260" w:rsidP="002B6401">
      <w:pPr>
        <w:spacing w:line="360" w:lineRule="auto"/>
        <w:ind w:left="2268"/>
        <w:jc w:val="both"/>
        <w:rPr>
          <w:rFonts w:ascii="Times New Roman" w:hAnsi="Times New Roman" w:cs="Times New Roman"/>
          <w:sz w:val="20"/>
          <w:szCs w:val="20"/>
        </w:rPr>
      </w:pPr>
    </w:p>
    <w:p w14:paraId="74FF7410" w14:textId="4939C9F6" w:rsidR="002B6401" w:rsidRPr="002B6401" w:rsidRDefault="002B6401" w:rsidP="00E777AC">
      <w:pPr>
        <w:spacing w:line="240" w:lineRule="auto"/>
        <w:ind w:left="2268"/>
        <w:jc w:val="both"/>
        <w:rPr>
          <w:rFonts w:ascii="Times New Roman" w:hAnsi="Times New Roman" w:cs="Times New Roman"/>
          <w:sz w:val="20"/>
          <w:szCs w:val="20"/>
        </w:rPr>
      </w:pPr>
      <w:r w:rsidRPr="002B6401">
        <w:rPr>
          <w:rFonts w:ascii="Times New Roman" w:hAnsi="Times New Roman" w:cs="Times New Roman"/>
          <w:sz w:val="20"/>
          <w:szCs w:val="20"/>
        </w:rPr>
        <w:t>Mandado de Segurança. 2. Tribunal de Contas da União. Tomada de contas especial. 3. Dano ao patrimônio da Petrobras. Medida cautelar de indisponibilidade de bens dos responsáveis. 4. Poder geral de cautela reconhecido ao TCU como decorrência de suas atribuições constitucionais. 5. Observância dos requisitos legais para decretação da indisponibilidade de bens. 6. Medida que se impõe pela excepcional gravidade dos fatos apurados. Segurança denegada.</w:t>
      </w:r>
    </w:p>
    <w:p w14:paraId="3622B9B0" w14:textId="77777777" w:rsidR="002B6401" w:rsidRDefault="002B6401" w:rsidP="001D3086">
      <w:pPr>
        <w:spacing w:line="360" w:lineRule="auto"/>
        <w:ind w:firstLine="709"/>
        <w:jc w:val="both"/>
        <w:rPr>
          <w:rFonts w:ascii="Times New Roman" w:hAnsi="Times New Roman" w:cs="Times New Roman"/>
          <w:szCs w:val="24"/>
        </w:rPr>
      </w:pPr>
    </w:p>
    <w:p w14:paraId="3C3D37FF" w14:textId="0A8F9F1A" w:rsidR="000F2ABF" w:rsidRDefault="000F2ABF" w:rsidP="001D3086">
      <w:pPr>
        <w:spacing w:line="360" w:lineRule="auto"/>
        <w:ind w:firstLine="709"/>
        <w:jc w:val="both"/>
        <w:rPr>
          <w:rFonts w:ascii="Times New Roman" w:hAnsi="Times New Roman" w:cs="Times New Roman"/>
          <w:szCs w:val="24"/>
        </w:rPr>
      </w:pPr>
      <w:r>
        <w:rPr>
          <w:rFonts w:ascii="Times New Roman" w:hAnsi="Times New Roman" w:cs="Times New Roman"/>
          <w:szCs w:val="24"/>
        </w:rPr>
        <w:t>Vale a transcrição de trecho do voto do Ministro Gilmar Mendes</w:t>
      </w:r>
      <w:r w:rsidR="00B35534">
        <w:rPr>
          <w:rFonts w:ascii="Times New Roman" w:hAnsi="Times New Roman" w:cs="Times New Roman"/>
          <w:szCs w:val="24"/>
        </w:rPr>
        <w:t xml:space="preserve"> no referido precedente</w:t>
      </w:r>
      <w:r>
        <w:rPr>
          <w:rFonts w:ascii="Times New Roman" w:hAnsi="Times New Roman" w:cs="Times New Roman"/>
          <w:szCs w:val="24"/>
        </w:rPr>
        <w:t xml:space="preserve">, </w:t>
      </w:r>
      <w:r w:rsidR="00B35534">
        <w:rPr>
          <w:rFonts w:ascii="Times New Roman" w:hAnsi="Times New Roman" w:cs="Times New Roman"/>
          <w:szCs w:val="24"/>
        </w:rPr>
        <w:t xml:space="preserve">no ponto em </w:t>
      </w:r>
      <w:r>
        <w:rPr>
          <w:rFonts w:ascii="Times New Roman" w:hAnsi="Times New Roman" w:cs="Times New Roman"/>
          <w:szCs w:val="24"/>
        </w:rPr>
        <w:t xml:space="preserve">que dá destaque à consistente jurisprudência daquela Corte Constitucional </w:t>
      </w:r>
      <w:r w:rsidR="00B35534">
        <w:rPr>
          <w:rFonts w:ascii="Times New Roman" w:hAnsi="Times New Roman" w:cs="Times New Roman"/>
          <w:szCs w:val="24"/>
        </w:rPr>
        <w:t>em reconhecer os poderes implícitos do TCU - decorrentes de suas competências constitucionais expressas – necessários ao alcance das finalidades próprias às suas atividades</w:t>
      </w:r>
      <w:r w:rsidR="00E66E0D">
        <w:rPr>
          <w:rFonts w:ascii="Times New Roman" w:hAnsi="Times New Roman" w:cs="Times New Roman"/>
          <w:szCs w:val="24"/>
        </w:rPr>
        <w:t>. Argumento o eminente Relator para o MS nº 33.092 que</w:t>
      </w:r>
      <w:r w:rsidR="00B35534">
        <w:rPr>
          <w:rFonts w:ascii="Times New Roman" w:hAnsi="Times New Roman" w:cs="Times New Roman"/>
          <w:szCs w:val="24"/>
        </w:rPr>
        <w:t xml:space="preserve">: </w:t>
      </w:r>
    </w:p>
    <w:p w14:paraId="6B4844C7" w14:textId="77777777" w:rsidR="00B35534" w:rsidRDefault="00B35534" w:rsidP="0015479C">
      <w:pPr>
        <w:spacing w:line="360" w:lineRule="auto"/>
        <w:ind w:left="2268"/>
        <w:jc w:val="both"/>
        <w:rPr>
          <w:rFonts w:ascii="Times New Roman" w:hAnsi="Times New Roman" w:cs="Times New Roman"/>
          <w:sz w:val="20"/>
          <w:szCs w:val="20"/>
        </w:rPr>
      </w:pPr>
    </w:p>
    <w:p w14:paraId="49D01028" w14:textId="1348CF60" w:rsidR="00092F51" w:rsidRDefault="0015479C" w:rsidP="00E777AC">
      <w:pPr>
        <w:spacing w:line="240" w:lineRule="auto"/>
        <w:ind w:left="2268"/>
        <w:jc w:val="both"/>
        <w:rPr>
          <w:rFonts w:ascii="Times New Roman" w:hAnsi="Times New Roman" w:cs="Times New Roman"/>
          <w:sz w:val="20"/>
          <w:szCs w:val="20"/>
        </w:rPr>
      </w:pPr>
      <w:r w:rsidRPr="0015479C">
        <w:rPr>
          <w:rFonts w:ascii="Times New Roman" w:hAnsi="Times New Roman" w:cs="Times New Roman"/>
          <w:sz w:val="20"/>
          <w:szCs w:val="20"/>
        </w:rPr>
        <w:t xml:space="preserve">Quanto ao mérito, </w:t>
      </w:r>
      <w:r w:rsidRPr="00E66E0D">
        <w:rPr>
          <w:rFonts w:ascii="Times New Roman" w:hAnsi="Times New Roman" w:cs="Times New Roman"/>
          <w:b/>
          <w:bCs/>
          <w:sz w:val="20"/>
          <w:szCs w:val="20"/>
        </w:rPr>
        <w:t>não há que se falar em ilegalidade ou abuso de poder em relação à atuação do TCU</w:t>
      </w:r>
      <w:r w:rsidRPr="0015479C">
        <w:rPr>
          <w:rFonts w:ascii="Times New Roman" w:hAnsi="Times New Roman" w:cs="Times New Roman"/>
          <w:sz w:val="20"/>
          <w:szCs w:val="20"/>
        </w:rPr>
        <w:t xml:space="preserve"> que, ao </w:t>
      </w:r>
      <w:r w:rsidRPr="00E66E0D">
        <w:rPr>
          <w:rFonts w:ascii="Times New Roman" w:hAnsi="Times New Roman" w:cs="Times New Roman"/>
          <w:b/>
          <w:bCs/>
          <w:sz w:val="20"/>
          <w:szCs w:val="20"/>
        </w:rPr>
        <w:t>determinar a indisponibilidade dos bens</w:t>
      </w:r>
      <w:r w:rsidRPr="0015479C">
        <w:rPr>
          <w:rFonts w:ascii="Times New Roman" w:hAnsi="Times New Roman" w:cs="Times New Roman"/>
          <w:sz w:val="20"/>
          <w:szCs w:val="20"/>
        </w:rPr>
        <w:t xml:space="preserve">, </w:t>
      </w:r>
      <w:r w:rsidRPr="00E66E0D">
        <w:rPr>
          <w:rFonts w:ascii="Times New Roman" w:hAnsi="Times New Roman" w:cs="Times New Roman"/>
          <w:b/>
          <w:bCs/>
          <w:sz w:val="20"/>
          <w:szCs w:val="20"/>
        </w:rPr>
        <w:t>agiu em consonância com suas atribuições constitucionais</w:t>
      </w:r>
      <w:r w:rsidRPr="0015479C">
        <w:rPr>
          <w:rFonts w:ascii="Times New Roman" w:hAnsi="Times New Roman" w:cs="Times New Roman"/>
          <w:sz w:val="20"/>
          <w:szCs w:val="20"/>
        </w:rPr>
        <w:t xml:space="preserve">, com disposições legais e com a jurisprudência desta Corte. </w:t>
      </w:r>
    </w:p>
    <w:p w14:paraId="552417D2" w14:textId="50939BE2" w:rsidR="00092F51" w:rsidRDefault="0015479C" w:rsidP="00E777AC">
      <w:pPr>
        <w:spacing w:line="240" w:lineRule="auto"/>
        <w:ind w:left="2268"/>
        <w:jc w:val="both"/>
        <w:rPr>
          <w:rFonts w:ascii="Times New Roman" w:hAnsi="Times New Roman" w:cs="Times New Roman"/>
          <w:sz w:val="20"/>
          <w:szCs w:val="20"/>
        </w:rPr>
      </w:pPr>
      <w:r w:rsidRPr="0015479C">
        <w:rPr>
          <w:rFonts w:ascii="Times New Roman" w:hAnsi="Times New Roman" w:cs="Times New Roman"/>
          <w:sz w:val="20"/>
          <w:szCs w:val="20"/>
        </w:rPr>
        <w:t xml:space="preserve">Em primeiro lugar, verifico que o ato impugnado – inclusive no que tange à ordem cautelar de indisponibilidade de bens – está inserido no campo das atribuições constitucionais de controle externo exercido pelo Tribunal de Contas da União (art. 71, CF/88), pois são investigadas possíveis irregularidades, apontadas pelo Ministério Público junto ao TCU, quanto à operação de compra da refinaria mencionada. </w:t>
      </w:r>
    </w:p>
    <w:p w14:paraId="30F4D8C8" w14:textId="77777777" w:rsidR="00092F51" w:rsidRDefault="0015479C" w:rsidP="00E777AC">
      <w:pPr>
        <w:spacing w:line="240" w:lineRule="auto"/>
        <w:ind w:left="2268"/>
        <w:jc w:val="both"/>
        <w:rPr>
          <w:rFonts w:ascii="Times New Roman" w:hAnsi="Times New Roman" w:cs="Times New Roman"/>
          <w:sz w:val="20"/>
          <w:szCs w:val="20"/>
        </w:rPr>
      </w:pPr>
      <w:r w:rsidRPr="0015479C">
        <w:rPr>
          <w:rFonts w:ascii="Times New Roman" w:hAnsi="Times New Roman" w:cs="Times New Roman"/>
          <w:sz w:val="20"/>
          <w:szCs w:val="20"/>
        </w:rPr>
        <w:t xml:space="preserve">Nesse ponto, vale destacar </w:t>
      </w:r>
      <w:r w:rsidRPr="00E66E0D">
        <w:rPr>
          <w:rFonts w:ascii="Times New Roman" w:hAnsi="Times New Roman" w:cs="Times New Roman"/>
          <w:b/>
          <w:bCs/>
          <w:sz w:val="20"/>
          <w:szCs w:val="20"/>
        </w:rPr>
        <w:t>que a jurisprudência desta Corte reconhece assistir ao Tribunal de Contas um poder geral de cautela</w:t>
      </w:r>
      <w:r w:rsidRPr="0015479C">
        <w:rPr>
          <w:rFonts w:ascii="Times New Roman" w:hAnsi="Times New Roman" w:cs="Times New Roman"/>
          <w:sz w:val="20"/>
          <w:szCs w:val="20"/>
        </w:rPr>
        <w:t xml:space="preserve">, que se consubstancia em </w:t>
      </w:r>
      <w:r w:rsidRPr="00E66E0D">
        <w:rPr>
          <w:rFonts w:ascii="Times New Roman" w:hAnsi="Times New Roman" w:cs="Times New Roman"/>
          <w:b/>
          <w:bCs/>
          <w:sz w:val="20"/>
          <w:szCs w:val="20"/>
          <w:u w:val="single"/>
        </w:rPr>
        <w:t>prerrogativa institucional</w:t>
      </w:r>
      <w:r w:rsidRPr="00E66E0D">
        <w:rPr>
          <w:rFonts w:ascii="Times New Roman" w:hAnsi="Times New Roman" w:cs="Times New Roman"/>
          <w:b/>
          <w:bCs/>
          <w:sz w:val="20"/>
          <w:szCs w:val="20"/>
        </w:rPr>
        <w:t xml:space="preserve"> </w:t>
      </w:r>
      <w:r w:rsidRPr="00E66E0D">
        <w:rPr>
          <w:rFonts w:ascii="Times New Roman" w:hAnsi="Times New Roman" w:cs="Times New Roman"/>
          <w:b/>
          <w:bCs/>
          <w:sz w:val="20"/>
          <w:szCs w:val="20"/>
          <w:u w:val="single"/>
        </w:rPr>
        <w:t>decorrente das própria</w:t>
      </w:r>
      <w:r w:rsidR="00092F51" w:rsidRPr="00E66E0D">
        <w:rPr>
          <w:rFonts w:ascii="Times New Roman" w:hAnsi="Times New Roman" w:cs="Times New Roman"/>
          <w:b/>
          <w:bCs/>
          <w:sz w:val="20"/>
          <w:szCs w:val="20"/>
          <w:u w:val="single"/>
        </w:rPr>
        <w:t>s</w:t>
      </w:r>
      <w:r w:rsidRPr="00E66E0D">
        <w:rPr>
          <w:rFonts w:ascii="Times New Roman" w:hAnsi="Times New Roman" w:cs="Times New Roman"/>
          <w:b/>
          <w:bCs/>
          <w:sz w:val="20"/>
          <w:szCs w:val="20"/>
          <w:u w:val="single"/>
        </w:rPr>
        <w:t xml:space="preserve"> atribuições que a Constituição expressamente outorgou</w:t>
      </w:r>
      <w:r w:rsidRPr="00E66E0D">
        <w:rPr>
          <w:rFonts w:ascii="Times New Roman" w:hAnsi="Times New Roman" w:cs="Times New Roman"/>
          <w:b/>
          <w:bCs/>
          <w:sz w:val="20"/>
          <w:szCs w:val="20"/>
        </w:rPr>
        <w:t xml:space="preserve"> à Corte de Contas para seu </w:t>
      </w:r>
      <w:r w:rsidRPr="00E66E0D">
        <w:rPr>
          <w:rFonts w:ascii="Times New Roman" w:hAnsi="Times New Roman" w:cs="Times New Roman"/>
          <w:b/>
          <w:bCs/>
          <w:sz w:val="20"/>
          <w:szCs w:val="20"/>
          <w:u w:val="single"/>
        </w:rPr>
        <w:t>adequado funcionamento</w:t>
      </w:r>
      <w:r w:rsidRPr="00E66E0D">
        <w:rPr>
          <w:rFonts w:ascii="Times New Roman" w:hAnsi="Times New Roman" w:cs="Times New Roman"/>
          <w:b/>
          <w:bCs/>
          <w:sz w:val="20"/>
          <w:szCs w:val="20"/>
        </w:rPr>
        <w:t xml:space="preserve"> e </w:t>
      </w:r>
      <w:r w:rsidRPr="00E66E0D">
        <w:rPr>
          <w:rFonts w:ascii="Times New Roman" w:hAnsi="Times New Roman" w:cs="Times New Roman"/>
          <w:b/>
          <w:bCs/>
          <w:sz w:val="20"/>
          <w:szCs w:val="20"/>
          <w:u w:val="single"/>
        </w:rPr>
        <w:t>alcance de suas finalidades</w:t>
      </w:r>
      <w:r w:rsidRPr="0015479C">
        <w:rPr>
          <w:rFonts w:ascii="Times New Roman" w:hAnsi="Times New Roman" w:cs="Times New Roman"/>
          <w:sz w:val="20"/>
          <w:szCs w:val="20"/>
        </w:rPr>
        <w:t>.</w:t>
      </w:r>
      <w:r w:rsidR="00092F51">
        <w:rPr>
          <w:rFonts w:ascii="Times New Roman" w:hAnsi="Times New Roman" w:cs="Times New Roman"/>
          <w:sz w:val="20"/>
          <w:szCs w:val="20"/>
        </w:rPr>
        <w:t xml:space="preserve"> </w:t>
      </w:r>
      <w:r w:rsidRPr="0015479C">
        <w:rPr>
          <w:rFonts w:ascii="Times New Roman" w:hAnsi="Times New Roman" w:cs="Times New Roman"/>
          <w:sz w:val="20"/>
          <w:szCs w:val="20"/>
        </w:rPr>
        <w:t xml:space="preserve">É o que restou consignado por esta Corte, por exemplo, no julgamento do MS 24.510/DF, Plenário, rel. min. ELLEN GRACIE, DJ, 19.03.2004. </w:t>
      </w:r>
    </w:p>
    <w:p w14:paraId="5637E3C1" w14:textId="77777777" w:rsidR="00092F51" w:rsidRDefault="0015479C" w:rsidP="00E777AC">
      <w:pPr>
        <w:spacing w:line="240" w:lineRule="auto"/>
        <w:ind w:left="2268"/>
        <w:jc w:val="both"/>
        <w:rPr>
          <w:rFonts w:ascii="Times New Roman" w:hAnsi="Times New Roman" w:cs="Times New Roman"/>
          <w:sz w:val="20"/>
          <w:szCs w:val="20"/>
        </w:rPr>
      </w:pPr>
      <w:r w:rsidRPr="0015479C">
        <w:rPr>
          <w:rFonts w:ascii="Times New Roman" w:hAnsi="Times New Roman" w:cs="Times New Roman"/>
          <w:sz w:val="20"/>
          <w:szCs w:val="20"/>
        </w:rPr>
        <w:t xml:space="preserve">Nesse julgado, o ministro Celso de Mello acentuou, com propriedade, a importância da legitimidade constitucional dada ao TCU para </w:t>
      </w:r>
      <w:r w:rsidRPr="00E66E0D">
        <w:rPr>
          <w:rFonts w:ascii="Times New Roman" w:hAnsi="Times New Roman" w:cs="Times New Roman"/>
          <w:b/>
          <w:bCs/>
          <w:sz w:val="20"/>
          <w:szCs w:val="20"/>
        </w:rPr>
        <w:t>adotar medidas cautelares destinadas a conferir real efetividade às suas deliberações finais</w:t>
      </w:r>
      <w:r w:rsidRPr="0015479C">
        <w:rPr>
          <w:rFonts w:ascii="Times New Roman" w:hAnsi="Times New Roman" w:cs="Times New Roman"/>
          <w:sz w:val="20"/>
          <w:szCs w:val="20"/>
        </w:rPr>
        <w:t xml:space="preserve">, </w:t>
      </w:r>
      <w:r w:rsidRPr="00E66E0D">
        <w:rPr>
          <w:rFonts w:ascii="Times New Roman" w:hAnsi="Times New Roman" w:cs="Times New Roman"/>
          <w:b/>
          <w:bCs/>
          <w:sz w:val="20"/>
          <w:szCs w:val="20"/>
        </w:rPr>
        <w:t xml:space="preserve">de modo a permitir que possam ser </w:t>
      </w:r>
      <w:r w:rsidRPr="00E66E0D">
        <w:rPr>
          <w:rFonts w:ascii="Times New Roman" w:hAnsi="Times New Roman" w:cs="Times New Roman"/>
          <w:b/>
          <w:bCs/>
          <w:sz w:val="20"/>
          <w:szCs w:val="20"/>
        </w:rPr>
        <w:lastRenderedPageBreak/>
        <w:t>neutralizadas situações de lesividade, atual ou iminente, ao erário</w:t>
      </w:r>
      <w:r w:rsidRPr="0015479C">
        <w:rPr>
          <w:rFonts w:ascii="Times New Roman" w:hAnsi="Times New Roman" w:cs="Times New Roman"/>
          <w:sz w:val="20"/>
          <w:szCs w:val="20"/>
        </w:rPr>
        <w:t>. Vale ressaltar o seguinte excerto do voto, no que aqui in</w:t>
      </w:r>
      <w:r w:rsidR="00092F51">
        <w:rPr>
          <w:rFonts w:ascii="Times New Roman" w:hAnsi="Times New Roman" w:cs="Times New Roman"/>
          <w:sz w:val="20"/>
          <w:szCs w:val="20"/>
        </w:rPr>
        <w:t>teressa</w:t>
      </w:r>
    </w:p>
    <w:p w14:paraId="19AB427E" w14:textId="05B6E0C2" w:rsidR="000F2ABF" w:rsidRPr="0015479C" w:rsidRDefault="0015479C" w:rsidP="00E777AC">
      <w:pPr>
        <w:spacing w:line="240" w:lineRule="auto"/>
        <w:ind w:left="2552"/>
        <w:jc w:val="both"/>
        <w:rPr>
          <w:rFonts w:ascii="Times New Roman" w:hAnsi="Times New Roman" w:cs="Times New Roman"/>
          <w:sz w:val="20"/>
          <w:szCs w:val="20"/>
        </w:rPr>
      </w:pPr>
      <w:r w:rsidRPr="0015479C">
        <w:rPr>
          <w:rFonts w:ascii="Times New Roman" w:hAnsi="Times New Roman" w:cs="Times New Roman"/>
          <w:sz w:val="20"/>
          <w:szCs w:val="20"/>
        </w:rPr>
        <w:t xml:space="preserve">“(...) </w:t>
      </w:r>
      <w:r w:rsidRPr="00E66E0D">
        <w:rPr>
          <w:rFonts w:ascii="Times New Roman" w:hAnsi="Times New Roman" w:cs="Times New Roman"/>
          <w:b/>
          <w:bCs/>
          <w:sz w:val="20"/>
          <w:szCs w:val="20"/>
        </w:rPr>
        <w:t>a atribuição de poderes expl</w:t>
      </w:r>
      <w:r w:rsidR="00E66E0D" w:rsidRPr="00E66E0D">
        <w:rPr>
          <w:rFonts w:ascii="Times New Roman" w:hAnsi="Times New Roman" w:cs="Times New Roman"/>
          <w:b/>
          <w:bCs/>
          <w:sz w:val="20"/>
          <w:szCs w:val="20"/>
        </w:rPr>
        <w:t>í</w:t>
      </w:r>
      <w:r w:rsidRPr="00E66E0D">
        <w:rPr>
          <w:rFonts w:ascii="Times New Roman" w:hAnsi="Times New Roman" w:cs="Times New Roman"/>
          <w:b/>
          <w:bCs/>
          <w:sz w:val="20"/>
          <w:szCs w:val="20"/>
        </w:rPr>
        <w:t>citos, ao Tribunal de Contas, tais como enunciados no art. 71 da Lei Fundamental da Republica, sup</w:t>
      </w:r>
      <w:r w:rsidR="00E66E0D" w:rsidRPr="00E66E0D">
        <w:rPr>
          <w:rFonts w:ascii="Times New Roman" w:hAnsi="Times New Roman" w:cs="Times New Roman"/>
          <w:b/>
          <w:bCs/>
          <w:sz w:val="20"/>
          <w:szCs w:val="20"/>
        </w:rPr>
        <w:t>õ</w:t>
      </w:r>
      <w:r w:rsidRPr="00E66E0D">
        <w:rPr>
          <w:rFonts w:ascii="Times New Roman" w:hAnsi="Times New Roman" w:cs="Times New Roman"/>
          <w:b/>
          <w:bCs/>
          <w:sz w:val="20"/>
          <w:szCs w:val="20"/>
        </w:rPr>
        <w:t xml:space="preserve">e que se lhe reconheça, a essa Corte, ainda que por </w:t>
      </w:r>
      <w:proofErr w:type="spellStart"/>
      <w:r w:rsidRPr="00E66E0D">
        <w:rPr>
          <w:rFonts w:ascii="Times New Roman" w:hAnsi="Times New Roman" w:cs="Times New Roman"/>
          <w:b/>
          <w:bCs/>
          <w:sz w:val="20"/>
          <w:szCs w:val="20"/>
        </w:rPr>
        <w:t>implicitude</w:t>
      </w:r>
      <w:proofErr w:type="spellEnd"/>
      <w:r w:rsidRPr="00E66E0D">
        <w:rPr>
          <w:rFonts w:ascii="Times New Roman" w:hAnsi="Times New Roman" w:cs="Times New Roman"/>
          <w:b/>
          <w:bCs/>
          <w:sz w:val="20"/>
          <w:szCs w:val="20"/>
        </w:rPr>
        <w:t>, a titularidade de meios destinados a viabilizar a adoção de medidas cautelares vocacionadas a conferir real efetividade às suas deliberações finais, permitindo, assim, que se neutralizem situações de lesividade, atual ou iminente, ao er</w:t>
      </w:r>
      <w:r w:rsidR="00E66E0D">
        <w:rPr>
          <w:rFonts w:ascii="Times New Roman" w:hAnsi="Times New Roman" w:cs="Times New Roman"/>
          <w:b/>
          <w:bCs/>
          <w:sz w:val="20"/>
          <w:szCs w:val="20"/>
        </w:rPr>
        <w:t>á</w:t>
      </w:r>
      <w:r w:rsidRPr="00E66E0D">
        <w:rPr>
          <w:rFonts w:ascii="Times New Roman" w:hAnsi="Times New Roman" w:cs="Times New Roman"/>
          <w:b/>
          <w:bCs/>
          <w:sz w:val="20"/>
          <w:szCs w:val="20"/>
        </w:rPr>
        <w:t>rio</w:t>
      </w:r>
      <w:r w:rsidRPr="0015479C">
        <w:rPr>
          <w:rFonts w:ascii="Times New Roman" w:hAnsi="Times New Roman" w:cs="Times New Roman"/>
          <w:sz w:val="20"/>
          <w:szCs w:val="20"/>
        </w:rPr>
        <w:t>. (…</w:t>
      </w:r>
      <w:proofErr w:type="gramStart"/>
      <w:r w:rsidRPr="0015479C">
        <w:rPr>
          <w:rFonts w:ascii="Times New Roman" w:hAnsi="Times New Roman" w:cs="Times New Roman"/>
          <w:sz w:val="20"/>
          <w:szCs w:val="20"/>
        </w:rPr>
        <w:t>) É</w:t>
      </w:r>
      <w:proofErr w:type="gramEnd"/>
      <w:r w:rsidRPr="0015479C">
        <w:rPr>
          <w:rFonts w:ascii="Times New Roman" w:hAnsi="Times New Roman" w:cs="Times New Roman"/>
          <w:sz w:val="20"/>
          <w:szCs w:val="20"/>
        </w:rPr>
        <w:t xml:space="preserve"> por isso que entendo revestir-se de integral legitimidade constitucional a atribuição de índole cautelar, que, </w:t>
      </w:r>
      <w:r w:rsidRPr="00E66E0D">
        <w:rPr>
          <w:rFonts w:ascii="Times New Roman" w:hAnsi="Times New Roman" w:cs="Times New Roman"/>
          <w:b/>
          <w:bCs/>
          <w:sz w:val="20"/>
          <w:szCs w:val="20"/>
          <w:u w:val="single"/>
        </w:rPr>
        <w:t>reconhecida com apoio na teoria dos poderes implícitos</w:t>
      </w:r>
      <w:r w:rsidRPr="0015479C">
        <w:rPr>
          <w:rFonts w:ascii="Times New Roman" w:hAnsi="Times New Roman" w:cs="Times New Roman"/>
          <w:sz w:val="20"/>
          <w:szCs w:val="20"/>
        </w:rPr>
        <w:t xml:space="preserve">, </w:t>
      </w:r>
      <w:r w:rsidRPr="00E66E0D">
        <w:rPr>
          <w:rFonts w:ascii="Times New Roman" w:hAnsi="Times New Roman" w:cs="Times New Roman"/>
          <w:b/>
          <w:bCs/>
          <w:sz w:val="20"/>
          <w:szCs w:val="20"/>
        </w:rPr>
        <w:t>permite, ao Tribunal de Contas da União, adotar as medidas necessárias ao fiel cumprimento de suas funções institucionais e ao pleno exercício das competências que lhe foram outorgadas, diretamente, pela própria Constituição da República</w:t>
      </w:r>
      <w:r w:rsidRPr="0015479C">
        <w:rPr>
          <w:rFonts w:ascii="Times New Roman" w:hAnsi="Times New Roman" w:cs="Times New Roman"/>
          <w:sz w:val="20"/>
          <w:szCs w:val="20"/>
        </w:rPr>
        <w:t xml:space="preserve">. Não fora assim, e desde que adotada, na espécie, uma indevida perspectiva reducionista, esvaziar-se-iam, por completo, as atribuições constitucionais expressamente conferidas ao Tribunal de Contas da União. </w:t>
      </w:r>
    </w:p>
    <w:p w14:paraId="59178441" w14:textId="77777777" w:rsidR="00092F51" w:rsidRDefault="0015479C" w:rsidP="00E777AC">
      <w:pPr>
        <w:spacing w:line="240" w:lineRule="auto"/>
        <w:ind w:left="2552"/>
        <w:jc w:val="both"/>
        <w:rPr>
          <w:rFonts w:ascii="Times New Roman" w:hAnsi="Times New Roman" w:cs="Times New Roman"/>
          <w:sz w:val="20"/>
          <w:szCs w:val="20"/>
        </w:rPr>
      </w:pPr>
      <w:r w:rsidRPr="0015479C">
        <w:rPr>
          <w:rFonts w:ascii="Times New Roman" w:hAnsi="Times New Roman" w:cs="Times New Roman"/>
          <w:sz w:val="20"/>
          <w:szCs w:val="20"/>
        </w:rPr>
        <w:t xml:space="preserve">(…) Na realidade, o exercício do poder de cautela, pelo Tribunal de Contas, destina-se a garantir a própria utilidade da deliberação final a ser por ele tomada, em ordem a impedir que o eventual retardamento na apreciação do mérito da questão suscitada culmine por afetar, comprometer e frustrar o resultado definitivo do exame da controvérsia. (…) Assentada tal premissa, que confere especial ênfase ao binômio utilidade/necessidade, torna-se essencial reconhecer - especialmente em função do próprio modelo brasileiro de fiscalização financeira e orçamentária, e considerada, ainda, a doutrina dos poderes implícitos - que a tutela cautelar apresenta-se como instrumento processual necessário e compatível com o sistema de controle externo, em cuja concretização o Tribunal de Contas desempenha, como protagonista autônomo, um dos mais relevantes papéis constitucionais deferidos aos órgãos e às instituições estatais”. </w:t>
      </w:r>
    </w:p>
    <w:p w14:paraId="1C901432" w14:textId="77777777" w:rsidR="00092F51" w:rsidRDefault="0015479C" w:rsidP="00E777AC">
      <w:pPr>
        <w:spacing w:line="240" w:lineRule="auto"/>
        <w:ind w:left="2268"/>
        <w:jc w:val="both"/>
        <w:rPr>
          <w:rFonts w:ascii="Times New Roman" w:hAnsi="Times New Roman" w:cs="Times New Roman"/>
          <w:sz w:val="20"/>
          <w:szCs w:val="20"/>
        </w:rPr>
      </w:pPr>
      <w:r w:rsidRPr="0015479C">
        <w:rPr>
          <w:rFonts w:ascii="Times New Roman" w:hAnsi="Times New Roman" w:cs="Times New Roman"/>
          <w:sz w:val="20"/>
          <w:szCs w:val="20"/>
        </w:rPr>
        <w:t xml:space="preserve">Esse entendimento tem sido reafirmado por este Tribunal em reiteradas decisões que envolvem, em maior ou menor medida, a discussão cautelar e meritória da abrangência do poder geral de cautela do TCU, a saber: MS 23.983, rel. min. Eros Grau, DJ 30.08.2004; MS 26.263 MC/DF, proferida pela ministra Ellen Gracie no exercício da Presidência (RISTF, art. 13, VIII), DJ 02.02.2007; MS 25481 </w:t>
      </w:r>
      <w:proofErr w:type="spellStart"/>
      <w:r w:rsidRPr="0015479C">
        <w:rPr>
          <w:rFonts w:ascii="Times New Roman" w:hAnsi="Times New Roman" w:cs="Times New Roman"/>
          <w:sz w:val="20"/>
          <w:szCs w:val="20"/>
        </w:rPr>
        <w:t>AgR</w:t>
      </w:r>
      <w:proofErr w:type="spellEnd"/>
      <w:r w:rsidRPr="0015479C">
        <w:rPr>
          <w:rFonts w:ascii="Times New Roman" w:hAnsi="Times New Roman" w:cs="Times New Roman"/>
          <w:sz w:val="20"/>
          <w:szCs w:val="20"/>
        </w:rPr>
        <w:t xml:space="preserve">/DF, rel. min. Dias Toffoli, 1ª Turma, </w:t>
      </w:r>
      <w:proofErr w:type="spellStart"/>
      <w:r w:rsidRPr="0015479C">
        <w:rPr>
          <w:rFonts w:ascii="Times New Roman" w:hAnsi="Times New Roman" w:cs="Times New Roman"/>
          <w:sz w:val="20"/>
          <w:szCs w:val="20"/>
        </w:rPr>
        <w:t>DJe</w:t>
      </w:r>
      <w:proofErr w:type="spellEnd"/>
      <w:r w:rsidRPr="0015479C">
        <w:rPr>
          <w:rFonts w:ascii="Times New Roman" w:hAnsi="Times New Roman" w:cs="Times New Roman"/>
          <w:sz w:val="20"/>
          <w:szCs w:val="20"/>
        </w:rPr>
        <w:t xml:space="preserve"> 25.10.2011). </w:t>
      </w:r>
    </w:p>
    <w:p w14:paraId="065D1EA2" w14:textId="77777777" w:rsidR="00092F51" w:rsidRPr="0015479C" w:rsidRDefault="00092F51" w:rsidP="0015479C">
      <w:pPr>
        <w:spacing w:line="360" w:lineRule="auto"/>
        <w:ind w:left="2268"/>
        <w:jc w:val="both"/>
        <w:rPr>
          <w:rFonts w:ascii="Times New Roman" w:hAnsi="Times New Roman" w:cs="Times New Roman"/>
          <w:sz w:val="20"/>
          <w:szCs w:val="20"/>
        </w:rPr>
      </w:pPr>
    </w:p>
    <w:p w14:paraId="6A4E3D45" w14:textId="171C1CFB" w:rsidR="0015479C" w:rsidRDefault="007E3B4D" w:rsidP="007E3B4D">
      <w:pPr>
        <w:spacing w:line="360" w:lineRule="auto"/>
        <w:ind w:firstLine="851"/>
        <w:jc w:val="both"/>
        <w:rPr>
          <w:rFonts w:ascii="Times New Roman" w:hAnsi="Times New Roman" w:cs="Times New Roman"/>
          <w:color w:val="1A1A1A"/>
          <w:szCs w:val="24"/>
          <w:shd w:val="clear" w:color="auto" w:fill="FFFFFF"/>
        </w:rPr>
      </w:pPr>
      <w:r>
        <w:rPr>
          <w:rFonts w:ascii="Times New Roman" w:hAnsi="Times New Roman" w:cs="Times New Roman"/>
          <w:color w:val="1A1A1A"/>
          <w:szCs w:val="24"/>
          <w:shd w:val="clear" w:color="auto" w:fill="FFFFFF"/>
        </w:rPr>
        <w:t>Francamente</w:t>
      </w:r>
      <w:r w:rsidR="002E5A74" w:rsidRPr="007E3B4D">
        <w:rPr>
          <w:rFonts w:ascii="Times New Roman" w:hAnsi="Times New Roman" w:cs="Times New Roman"/>
          <w:color w:val="1A1A1A"/>
          <w:szCs w:val="24"/>
          <w:shd w:val="clear" w:color="auto" w:fill="FFFFFF"/>
        </w:rPr>
        <w:t>, o reconhecimento pelo STF de implícitas competências a partir do texto constitucional a determinado órgão estatal não há de ser seletivo e deve baldear também para sítios em que haja patente afinidade temática e lógica aos precedentes: </w:t>
      </w:r>
      <w:proofErr w:type="spellStart"/>
      <w:r w:rsidR="002E5A74" w:rsidRPr="007E3B4D">
        <w:rPr>
          <w:rStyle w:val="nfase"/>
          <w:rFonts w:ascii="Times New Roman" w:hAnsi="Times New Roman" w:cs="Times New Roman"/>
          <w:color w:val="1A1A1A"/>
          <w:szCs w:val="24"/>
          <w:shd w:val="clear" w:color="auto" w:fill="FFFFFF"/>
        </w:rPr>
        <w:t>ubi</w:t>
      </w:r>
      <w:proofErr w:type="spellEnd"/>
      <w:r w:rsidR="002E5A74" w:rsidRPr="007E3B4D">
        <w:rPr>
          <w:rStyle w:val="nfase"/>
          <w:rFonts w:ascii="Times New Roman" w:hAnsi="Times New Roman" w:cs="Times New Roman"/>
          <w:color w:val="1A1A1A"/>
          <w:szCs w:val="24"/>
          <w:shd w:val="clear" w:color="auto" w:fill="FFFFFF"/>
        </w:rPr>
        <w:t xml:space="preserve"> </w:t>
      </w:r>
      <w:proofErr w:type="spellStart"/>
      <w:r w:rsidR="002E5A74" w:rsidRPr="007E3B4D">
        <w:rPr>
          <w:rStyle w:val="nfase"/>
          <w:rFonts w:ascii="Times New Roman" w:hAnsi="Times New Roman" w:cs="Times New Roman"/>
          <w:color w:val="1A1A1A"/>
          <w:szCs w:val="24"/>
          <w:shd w:val="clear" w:color="auto" w:fill="FFFFFF"/>
        </w:rPr>
        <w:t>eadem</w:t>
      </w:r>
      <w:proofErr w:type="spellEnd"/>
      <w:r w:rsidR="002E5A74" w:rsidRPr="007E3B4D">
        <w:rPr>
          <w:rStyle w:val="nfase"/>
          <w:rFonts w:ascii="Times New Roman" w:hAnsi="Times New Roman" w:cs="Times New Roman"/>
          <w:color w:val="1A1A1A"/>
          <w:szCs w:val="24"/>
          <w:shd w:val="clear" w:color="auto" w:fill="FFFFFF"/>
        </w:rPr>
        <w:t xml:space="preserve"> </w:t>
      </w:r>
      <w:proofErr w:type="spellStart"/>
      <w:r w:rsidR="002E5A74" w:rsidRPr="007E3B4D">
        <w:rPr>
          <w:rStyle w:val="nfase"/>
          <w:rFonts w:ascii="Times New Roman" w:hAnsi="Times New Roman" w:cs="Times New Roman"/>
          <w:color w:val="1A1A1A"/>
          <w:szCs w:val="24"/>
          <w:shd w:val="clear" w:color="auto" w:fill="FFFFFF"/>
        </w:rPr>
        <w:t>ratio</w:t>
      </w:r>
      <w:proofErr w:type="spellEnd"/>
      <w:r w:rsidR="002E5A74" w:rsidRPr="007E3B4D">
        <w:rPr>
          <w:rStyle w:val="nfase"/>
          <w:rFonts w:ascii="Times New Roman" w:hAnsi="Times New Roman" w:cs="Times New Roman"/>
          <w:color w:val="1A1A1A"/>
          <w:szCs w:val="24"/>
          <w:shd w:val="clear" w:color="auto" w:fill="FFFFFF"/>
        </w:rPr>
        <w:t xml:space="preserve"> </w:t>
      </w:r>
      <w:proofErr w:type="spellStart"/>
      <w:r w:rsidR="002E5A74" w:rsidRPr="007E3B4D">
        <w:rPr>
          <w:rStyle w:val="nfase"/>
          <w:rFonts w:ascii="Times New Roman" w:hAnsi="Times New Roman" w:cs="Times New Roman"/>
          <w:color w:val="1A1A1A"/>
          <w:szCs w:val="24"/>
          <w:shd w:val="clear" w:color="auto" w:fill="FFFFFF"/>
        </w:rPr>
        <w:t>ibi</w:t>
      </w:r>
      <w:proofErr w:type="spellEnd"/>
      <w:r w:rsidR="002E5A74" w:rsidRPr="007E3B4D">
        <w:rPr>
          <w:rStyle w:val="nfase"/>
          <w:rFonts w:ascii="Times New Roman" w:hAnsi="Times New Roman" w:cs="Times New Roman"/>
          <w:color w:val="1A1A1A"/>
          <w:szCs w:val="24"/>
          <w:shd w:val="clear" w:color="auto" w:fill="FFFFFF"/>
        </w:rPr>
        <w:t xml:space="preserve"> </w:t>
      </w:r>
      <w:proofErr w:type="spellStart"/>
      <w:r w:rsidR="002E5A74" w:rsidRPr="007E3B4D">
        <w:rPr>
          <w:rStyle w:val="nfase"/>
          <w:rFonts w:ascii="Times New Roman" w:hAnsi="Times New Roman" w:cs="Times New Roman"/>
          <w:color w:val="1A1A1A"/>
          <w:szCs w:val="24"/>
          <w:shd w:val="clear" w:color="auto" w:fill="FFFFFF"/>
        </w:rPr>
        <w:t>eadem</w:t>
      </w:r>
      <w:proofErr w:type="spellEnd"/>
      <w:r w:rsidR="002E5A74" w:rsidRPr="007E3B4D">
        <w:rPr>
          <w:rStyle w:val="nfase"/>
          <w:rFonts w:ascii="Times New Roman" w:hAnsi="Times New Roman" w:cs="Times New Roman"/>
          <w:color w:val="1A1A1A"/>
          <w:szCs w:val="24"/>
          <w:shd w:val="clear" w:color="auto" w:fill="FFFFFF"/>
        </w:rPr>
        <w:t xml:space="preserve"> legis </w:t>
      </w:r>
      <w:proofErr w:type="spellStart"/>
      <w:r w:rsidR="002E5A74" w:rsidRPr="007E3B4D">
        <w:rPr>
          <w:rStyle w:val="nfase"/>
          <w:rFonts w:ascii="Times New Roman" w:hAnsi="Times New Roman" w:cs="Times New Roman"/>
          <w:color w:val="1A1A1A"/>
          <w:szCs w:val="24"/>
          <w:shd w:val="clear" w:color="auto" w:fill="FFFFFF"/>
        </w:rPr>
        <w:t>dispositio</w:t>
      </w:r>
      <w:proofErr w:type="spellEnd"/>
      <w:r w:rsidR="002E5A74" w:rsidRPr="007E3B4D">
        <w:rPr>
          <w:rFonts w:ascii="Times New Roman" w:hAnsi="Times New Roman" w:cs="Times New Roman"/>
          <w:color w:val="1A1A1A"/>
          <w:szCs w:val="24"/>
          <w:shd w:val="clear" w:color="auto" w:fill="FFFFFF"/>
        </w:rPr>
        <w:t>.</w:t>
      </w:r>
    </w:p>
    <w:p w14:paraId="58D709D2" w14:textId="5758A373" w:rsidR="00F5235E" w:rsidRDefault="007E3B4D" w:rsidP="007E3B4D">
      <w:pPr>
        <w:spacing w:line="360" w:lineRule="auto"/>
        <w:ind w:firstLine="851"/>
        <w:jc w:val="both"/>
        <w:rPr>
          <w:rFonts w:ascii="Times New Roman" w:hAnsi="Times New Roman" w:cs="Times New Roman"/>
          <w:color w:val="1A1A1A"/>
          <w:szCs w:val="24"/>
          <w:shd w:val="clear" w:color="auto" w:fill="FFFFFF"/>
        </w:rPr>
      </w:pPr>
      <w:r>
        <w:rPr>
          <w:rFonts w:ascii="Times New Roman" w:hAnsi="Times New Roman" w:cs="Times New Roman"/>
          <w:color w:val="1A1A1A"/>
          <w:szCs w:val="24"/>
          <w:shd w:val="clear" w:color="auto" w:fill="FFFFFF"/>
        </w:rPr>
        <w:t>Com efeito</w:t>
      </w:r>
      <w:r w:rsidR="00D36FFF">
        <w:rPr>
          <w:rFonts w:ascii="Times New Roman" w:hAnsi="Times New Roman" w:cs="Times New Roman"/>
          <w:color w:val="1A1A1A"/>
          <w:szCs w:val="24"/>
          <w:shd w:val="clear" w:color="auto" w:fill="FFFFFF"/>
        </w:rPr>
        <w:t>, comparando os argumentos dos autores e impetrantes, na ADI 5.886 e MS 33.092, nota-se, na prática, verdadeira identidade de causa de pedir (contraditório, ampla defesa e direito de propriedade), com exceção da</w:t>
      </w:r>
      <w:r w:rsidR="00F5235E">
        <w:rPr>
          <w:rFonts w:ascii="Times New Roman" w:hAnsi="Times New Roman" w:cs="Times New Roman"/>
          <w:color w:val="1A1A1A"/>
          <w:szCs w:val="24"/>
          <w:shd w:val="clear" w:color="auto" w:fill="FFFFFF"/>
        </w:rPr>
        <w:t xml:space="preserve"> alegação de violação da</w:t>
      </w:r>
      <w:r w:rsidR="00D36FFF">
        <w:rPr>
          <w:rFonts w:ascii="Times New Roman" w:hAnsi="Times New Roman" w:cs="Times New Roman"/>
          <w:color w:val="1A1A1A"/>
          <w:szCs w:val="24"/>
          <w:shd w:val="clear" w:color="auto" w:fill="FFFFFF"/>
        </w:rPr>
        <w:t xml:space="preserve"> reserva de jurisdição, que aparece apenas na ADI</w:t>
      </w:r>
      <w:r w:rsidR="00F5235E">
        <w:rPr>
          <w:rFonts w:ascii="Times New Roman" w:hAnsi="Times New Roman" w:cs="Times New Roman"/>
          <w:color w:val="1A1A1A"/>
          <w:szCs w:val="24"/>
          <w:shd w:val="clear" w:color="auto" w:fill="FFFFFF"/>
        </w:rPr>
        <w:t>. Do voto do Min. Gilmar Mendes no MS 32.092/DF, conta que:</w:t>
      </w:r>
    </w:p>
    <w:p w14:paraId="0EC4E88C" w14:textId="77777777" w:rsidR="009F5C13" w:rsidRDefault="009F5C13" w:rsidP="00E777AC">
      <w:pPr>
        <w:spacing w:line="240" w:lineRule="auto"/>
        <w:ind w:left="2268"/>
        <w:jc w:val="both"/>
        <w:rPr>
          <w:rFonts w:ascii="Times New Roman" w:hAnsi="Times New Roman" w:cs="Times New Roman"/>
          <w:b/>
          <w:bCs/>
          <w:sz w:val="20"/>
          <w:szCs w:val="20"/>
        </w:rPr>
      </w:pPr>
    </w:p>
    <w:p w14:paraId="486EA136" w14:textId="0F1E0C27" w:rsidR="00F5235E" w:rsidRPr="007E3B4D" w:rsidRDefault="00F5235E" w:rsidP="00E777AC">
      <w:pPr>
        <w:spacing w:line="240" w:lineRule="auto"/>
        <w:ind w:left="2268"/>
        <w:jc w:val="both"/>
        <w:rPr>
          <w:rFonts w:ascii="Times New Roman" w:hAnsi="Times New Roman" w:cs="Times New Roman"/>
          <w:szCs w:val="24"/>
        </w:rPr>
      </w:pPr>
      <w:r w:rsidRPr="00FA5A31">
        <w:rPr>
          <w:rFonts w:ascii="Times New Roman" w:hAnsi="Times New Roman" w:cs="Times New Roman"/>
          <w:b/>
          <w:bCs/>
          <w:sz w:val="20"/>
          <w:szCs w:val="20"/>
        </w:rPr>
        <w:t xml:space="preserve">É especificamente contra a decretação de </w:t>
      </w:r>
      <w:r w:rsidRPr="00FA5A31">
        <w:rPr>
          <w:rFonts w:ascii="Times New Roman" w:hAnsi="Times New Roman" w:cs="Times New Roman"/>
          <w:b/>
          <w:bCs/>
          <w:sz w:val="20"/>
          <w:szCs w:val="20"/>
          <w:u w:val="single"/>
        </w:rPr>
        <w:t>indisponibilidade de seus bens</w:t>
      </w:r>
      <w:r w:rsidRPr="00FA5A31">
        <w:rPr>
          <w:rFonts w:ascii="Times New Roman" w:hAnsi="Times New Roman" w:cs="Times New Roman"/>
          <w:b/>
          <w:bCs/>
          <w:sz w:val="20"/>
          <w:szCs w:val="20"/>
        </w:rPr>
        <w:t xml:space="preserve"> que os impetrantes se insurgem</w:t>
      </w:r>
      <w:r w:rsidRPr="00FA5A31">
        <w:rPr>
          <w:rFonts w:ascii="Times New Roman" w:hAnsi="Times New Roman" w:cs="Times New Roman"/>
          <w:sz w:val="20"/>
          <w:szCs w:val="20"/>
        </w:rPr>
        <w:t xml:space="preserve">, </w:t>
      </w:r>
      <w:r w:rsidRPr="00FA5A31">
        <w:rPr>
          <w:rFonts w:ascii="Times New Roman" w:hAnsi="Times New Roman" w:cs="Times New Roman"/>
          <w:b/>
          <w:bCs/>
          <w:sz w:val="20"/>
          <w:szCs w:val="20"/>
          <w:u w:val="single"/>
        </w:rPr>
        <w:t>apontando violação</w:t>
      </w:r>
      <w:r w:rsidRPr="00FA5A31">
        <w:rPr>
          <w:rFonts w:ascii="Times New Roman" w:hAnsi="Times New Roman" w:cs="Times New Roman"/>
          <w:sz w:val="20"/>
          <w:szCs w:val="20"/>
        </w:rPr>
        <w:t xml:space="preserve"> do </w:t>
      </w:r>
      <w:r w:rsidRPr="00FA5A31">
        <w:rPr>
          <w:rFonts w:ascii="Times New Roman" w:hAnsi="Times New Roman" w:cs="Times New Roman"/>
          <w:b/>
          <w:bCs/>
          <w:sz w:val="20"/>
          <w:szCs w:val="20"/>
          <w:u w:val="single"/>
        </w:rPr>
        <w:t>contraditório</w:t>
      </w:r>
      <w:r w:rsidRPr="00FA5A31">
        <w:rPr>
          <w:rFonts w:ascii="Times New Roman" w:hAnsi="Times New Roman" w:cs="Times New Roman"/>
          <w:sz w:val="20"/>
          <w:szCs w:val="20"/>
        </w:rPr>
        <w:t xml:space="preserve">, da </w:t>
      </w:r>
      <w:r w:rsidRPr="00FA5A31">
        <w:rPr>
          <w:rFonts w:ascii="Times New Roman" w:hAnsi="Times New Roman" w:cs="Times New Roman"/>
          <w:b/>
          <w:bCs/>
          <w:sz w:val="20"/>
          <w:szCs w:val="20"/>
          <w:u w:val="single"/>
        </w:rPr>
        <w:t>ampla defesa</w:t>
      </w:r>
      <w:r w:rsidRPr="00FA5A31">
        <w:rPr>
          <w:rFonts w:ascii="Times New Roman" w:hAnsi="Times New Roman" w:cs="Times New Roman"/>
          <w:sz w:val="20"/>
          <w:szCs w:val="20"/>
        </w:rPr>
        <w:t xml:space="preserve"> e do </w:t>
      </w:r>
      <w:r w:rsidRPr="00FA5A31">
        <w:rPr>
          <w:rFonts w:ascii="Times New Roman" w:hAnsi="Times New Roman" w:cs="Times New Roman"/>
          <w:b/>
          <w:bCs/>
          <w:sz w:val="20"/>
          <w:szCs w:val="20"/>
          <w:u w:val="single"/>
        </w:rPr>
        <w:t>direito de propriedade</w:t>
      </w:r>
      <w:r w:rsidRPr="00FA5A31">
        <w:rPr>
          <w:rFonts w:ascii="Times New Roman" w:hAnsi="Times New Roman" w:cs="Times New Roman"/>
          <w:sz w:val="20"/>
          <w:szCs w:val="20"/>
        </w:rPr>
        <w:t xml:space="preserve">, assim como nulidade da decisão impugnada, por inexistência de fundamentação, ausência de individualização das condutas supostamente irregulares dos </w:t>
      </w:r>
      <w:r w:rsidRPr="00FA5A31">
        <w:rPr>
          <w:rFonts w:ascii="Times New Roman" w:hAnsi="Times New Roman" w:cs="Times New Roman"/>
          <w:sz w:val="20"/>
          <w:szCs w:val="20"/>
        </w:rPr>
        <w:lastRenderedPageBreak/>
        <w:t>impetrantes e por falta de demonstração dos requisitos legais autorizadores da medida constritiva</w:t>
      </w:r>
      <w:r>
        <w:rPr>
          <w:rFonts w:ascii="Times New Roman" w:hAnsi="Times New Roman" w:cs="Times New Roman"/>
          <w:sz w:val="20"/>
          <w:szCs w:val="20"/>
        </w:rPr>
        <w:t>.</w:t>
      </w:r>
    </w:p>
    <w:p w14:paraId="25737A87" w14:textId="77777777" w:rsidR="00F5235E" w:rsidRDefault="00F5235E" w:rsidP="007E3B4D">
      <w:pPr>
        <w:spacing w:line="360" w:lineRule="auto"/>
        <w:ind w:firstLine="851"/>
        <w:jc w:val="both"/>
        <w:rPr>
          <w:rFonts w:ascii="Times New Roman" w:hAnsi="Times New Roman" w:cs="Times New Roman"/>
          <w:color w:val="1A1A1A"/>
          <w:szCs w:val="24"/>
          <w:shd w:val="clear" w:color="auto" w:fill="FFFFFF"/>
        </w:rPr>
      </w:pPr>
    </w:p>
    <w:p w14:paraId="565CDABB" w14:textId="3712DF93" w:rsidR="00AF11E6" w:rsidRDefault="00A3468C" w:rsidP="007E3B4D">
      <w:pPr>
        <w:spacing w:line="360" w:lineRule="auto"/>
        <w:ind w:firstLine="851"/>
        <w:jc w:val="both"/>
        <w:rPr>
          <w:rFonts w:ascii="Times New Roman" w:hAnsi="Times New Roman" w:cs="Times New Roman"/>
          <w:color w:val="1A1A1A"/>
          <w:szCs w:val="24"/>
          <w:shd w:val="clear" w:color="auto" w:fill="FFFFFF"/>
        </w:rPr>
      </w:pPr>
      <w:r>
        <w:rPr>
          <w:rFonts w:ascii="Times New Roman" w:hAnsi="Times New Roman" w:cs="Times New Roman"/>
          <w:color w:val="1A1A1A"/>
          <w:szCs w:val="24"/>
          <w:shd w:val="clear" w:color="auto" w:fill="FFFFFF"/>
        </w:rPr>
        <w:t>Deveras, e</w:t>
      </w:r>
      <w:r w:rsidR="00F5235E">
        <w:rPr>
          <w:rFonts w:ascii="Times New Roman" w:hAnsi="Times New Roman" w:cs="Times New Roman"/>
          <w:color w:val="1A1A1A"/>
          <w:szCs w:val="24"/>
          <w:shd w:val="clear" w:color="auto" w:fill="FFFFFF"/>
        </w:rPr>
        <w:t>mbora</w:t>
      </w:r>
      <w:r w:rsidR="00D36FFF">
        <w:rPr>
          <w:rFonts w:ascii="Times New Roman" w:hAnsi="Times New Roman" w:cs="Times New Roman"/>
          <w:color w:val="1A1A1A"/>
          <w:szCs w:val="24"/>
          <w:shd w:val="clear" w:color="auto" w:fill="FFFFFF"/>
        </w:rPr>
        <w:t xml:space="preserve"> </w:t>
      </w:r>
      <w:r w:rsidR="00F5235E">
        <w:rPr>
          <w:rFonts w:ascii="Times New Roman" w:hAnsi="Times New Roman" w:cs="Times New Roman"/>
          <w:color w:val="1A1A1A"/>
          <w:szCs w:val="24"/>
          <w:shd w:val="clear" w:color="auto" w:fill="FFFFFF"/>
        </w:rPr>
        <w:t xml:space="preserve">a violação </w:t>
      </w:r>
      <w:r>
        <w:rPr>
          <w:rFonts w:ascii="Times New Roman" w:hAnsi="Times New Roman" w:cs="Times New Roman"/>
          <w:color w:val="1A1A1A"/>
          <w:szCs w:val="24"/>
          <w:shd w:val="clear" w:color="auto" w:fill="FFFFFF"/>
        </w:rPr>
        <w:t xml:space="preserve">à reserva de jurisdição não apareça no Mandado de Segurança acima mencionado, nos aprece </w:t>
      </w:r>
      <w:r w:rsidR="00D36FFF">
        <w:rPr>
          <w:rFonts w:ascii="Times New Roman" w:hAnsi="Times New Roman" w:cs="Times New Roman"/>
          <w:color w:val="1A1A1A"/>
          <w:szCs w:val="24"/>
          <w:shd w:val="clear" w:color="auto" w:fill="FFFFFF"/>
        </w:rPr>
        <w:t>óbvio</w:t>
      </w:r>
      <w:r>
        <w:rPr>
          <w:rFonts w:ascii="Times New Roman" w:hAnsi="Times New Roman" w:cs="Times New Roman"/>
          <w:color w:val="1A1A1A"/>
          <w:szCs w:val="24"/>
          <w:shd w:val="clear" w:color="auto" w:fill="FFFFFF"/>
        </w:rPr>
        <w:t xml:space="preserve"> que este tema</w:t>
      </w:r>
      <w:r w:rsidR="00D36FFF">
        <w:rPr>
          <w:rFonts w:ascii="Times New Roman" w:hAnsi="Times New Roman" w:cs="Times New Roman"/>
          <w:color w:val="1A1A1A"/>
          <w:szCs w:val="24"/>
          <w:shd w:val="clear" w:color="auto" w:fill="FFFFFF"/>
        </w:rPr>
        <w:t xml:space="preserve"> </w:t>
      </w:r>
      <w:r>
        <w:rPr>
          <w:rFonts w:ascii="Times New Roman" w:hAnsi="Times New Roman" w:cs="Times New Roman"/>
          <w:color w:val="1A1A1A"/>
          <w:szCs w:val="24"/>
          <w:shd w:val="clear" w:color="auto" w:fill="FFFFFF"/>
        </w:rPr>
        <w:t>é</w:t>
      </w:r>
      <w:r w:rsidR="00F5235E">
        <w:rPr>
          <w:rFonts w:ascii="Times New Roman" w:hAnsi="Times New Roman" w:cs="Times New Roman"/>
          <w:color w:val="1A1A1A"/>
          <w:szCs w:val="24"/>
          <w:shd w:val="clear" w:color="auto" w:fill="FFFFFF"/>
        </w:rPr>
        <w:t xml:space="preserve"> </w:t>
      </w:r>
      <w:r w:rsidR="00D832B9">
        <w:rPr>
          <w:rFonts w:ascii="Times New Roman" w:hAnsi="Times New Roman" w:cs="Times New Roman"/>
          <w:color w:val="1A1A1A"/>
          <w:szCs w:val="24"/>
          <w:shd w:val="clear" w:color="auto" w:fill="FFFFFF"/>
        </w:rPr>
        <w:t>o próprio pano de fundo da análise de constitucionalidade da declaração de indisponibilidade de bens pelo TCU, porquanto</w:t>
      </w:r>
      <w:r w:rsidR="00931F10">
        <w:rPr>
          <w:rFonts w:ascii="Times New Roman" w:hAnsi="Times New Roman" w:cs="Times New Roman"/>
          <w:color w:val="1A1A1A"/>
          <w:szCs w:val="24"/>
          <w:shd w:val="clear" w:color="auto" w:fill="FFFFFF"/>
        </w:rPr>
        <w:t xml:space="preserve"> as decisões deste órgão que</w:t>
      </w:r>
      <w:r w:rsidR="00DA5161">
        <w:rPr>
          <w:rFonts w:ascii="Times New Roman" w:hAnsi="Times New Roman" w:cs="Times New Roman"/>
          <w:color w:val="1A1A1A"/>
          <w:szCs w:val="24"/>
          <w:shd w:val="clear" w:color="auto" w:fill="FFFFFF"/>
        </w:rPr>
        <w:t xml:space="preserve"> importem constituição de crédito,</w:t>
      </w:r>
      <w:r w:rsidR="00931F10" w:rsidRPr="00931F10">
        <w:rPr>
          <w:rFonts w:ascii="Times New Roman" w:hAnsi="Times New Roman" w:cs="Times New Roman"/>
          <w:color w:val="1A1A1A"/>
          <w:szCs w:val="24"/>
          <w:shd w:val="clear" w:color="auto" w:fill="FFFFFF"/>
        </w:rPr>
        <w:t xml:space="preserve"> </w:t>
      </w:r>
      <w:r w:rsidR="00931F10">
        <w:rPr>
          <w:rFonts w:ascii="Times New Roman" w:hAnsi="Times New Roman" w:cs="Times New Roman"/>
          <w:color w:val="1A1A1A"/>
          <w:szCs w:val="24"/>
          <w:shd w:val="clear" w:color="auto" w:fill="FFFFFF"/>
        </w:rPr>
        <w:t xml:space="preserve">têm natureza de título executivo (CF, §3º do art. 71), assim como </w:t>
      </w:r>
      <w:r w:rsidR="00DA5161">
        <w:rPr>
          <w:rFonts w:ascii="Times New Roman" w:hAnsi="Times New Roman" w:cs="Times New Roman"/>
          <w:color w:val="1A1A1A"/>
          <w:szCs w:val="24"/>
          <w:shd w:val="clear" w:color="auto" w:fill="FFFFFF"/>
        </w:rPr>
        <w:t>a</w:t>
      </w:r>
      <w:r w:rsidR="00931F10">
        <w:rPr>
          <w:rFonts w:ascii="Times New Roman" w:hAnsi="Times New Roman" w:cs="Times New Roman"/>
          <w:color w:val="1A1A1A"/>
          <w:szCs w:val="24"/>
          <w:shd w:val="clear" w:color="auto" w:fill="FFFFFF"/>
        </w:rPr>
        <w:t xml:space="preserve"> inscrição de débito em dívida ativa, de sorte que</w:t>
      </w:r>
      <w:r w:rsidR="00F5235E">
        <w:rPr>
          <w:rFonts w:ascii="Times New Roman" w:hAnsi="Times New Roman" w:cs="Times New Roman"/>
          <w:color w:val="1A1A1A"/>
          <w:szCs w:val="24"/>
          <w:shd w:val="clear" w:color="auto" w:fill="FFFFFF"/>
        </w:rPr>
        <w:t xml:space="preserve"> ambos</w:t>
      </w:r>
      <w:r w:rsidR="00931F10">
        <w:rPr>
          <w:rFonts w:ascii="Times New Roman" w:hAnsi="Times New Roman" w:cs="Times New Roman"/>
          <w:color w:val="1A1A1A"/>
          <w:szCs w:val="24"/>
          <w:shd w:val="clear" w:color="auto" w:fill="FFFFFF"/>
        </w:rPr>
        <w:t xml:space="preserve"> não prescindem da via judicial</w:t>
      </w:r>
      <w:r w:rsidR="009076F1">
        <w:rPr>
          <w:rFonts w:ascii="Times New Roman" w:hAnsi="Times New Roman" w:cs="Times New Roman"/>
          <w:color w:val="1A1A1A"/>
          <w:szCs w:val="24"/>
          <w:shd w:val="clear" w:color="auto" w:fill="FFFFFF"/>
        </w:rPr>
        <w:t xml:space="preserve"> (</w:t>
      </w:r>
      <w:r w:rsidR="009076F1" w:rsidRPr="009076F1">
        <w:rPr>
          <w:rFonts w:ascii="Times New Roman" w:hAnsi="Times New Roman" w:cs="Times New Roman"/>
          <w:color w:val="1A1A1A"/>
          <w:szCs w:val="24"/>
          <w:u w:val="single"/>
          <w:shd w:val="clear" w:color="auto" w:fill="FFFFFF"/>
        </w:rPr>
        <w:t>reserva de jurisdição</w:t>
      </w:r>
      <w:r w:rsidR="009076F1">
        <w:rPr>
          <w:rFonts w:ascii="Times New Roman" w:hAnsi="Times New Roman" w:cs="Times New Roman"/>
          <w:color w:val="1A1A1A"/>
          <w:szCs w:val="24"/>
          <w:shd w:val="clear" w:color="auto" w:fill="FFFFFF"/>
        </w:rPr>
        <w:t>)</w:t>
      </w:r>
      <w:r w:rsidR="00931F10">
        <w:rPr>
          <w:rFonts w:ascii="Times New Roman" w:hAnsi="Times New Roman" w:cs="Times New Roman"/>
          <w:color w:val="1A1A1A"/>
          <w:szCs w:val="24"/>
          <w:shd w:val="clear" w:color="auto" w:fill="FFFFFF"/>
        </w:rPr>
        <w:t xml:space="preserve"> para sua </w:t>
      </w:r>
      <w:r w:rsidR="00931F10" w:rsidRPr="009076F1">
        <w:rPr>
          <w:rFonts w:ascii="Times New Roman" w:hAnsi="Times New Roman" w:cs="Times New Roman"/>
          <w:color w:val="1A1A1A"/>
          <w:szCs w:val="24"/>
          <w:u w:val="single"/>
          <w:shd w:val="clear" w:color="auto" w:fill="FFFFFF"/>
        </w:rPr>
        <w:t>satisfação forçada</w:t>
      </w:r>
      <w:r w:rsidR="009076F1" w:rsidRPr="009076F1">
        <w:rPr>
          <w:rFonts w:ascii="Times New Roman" w:hAnsi="Times New Roman" w:cs="Times New Roman"/>
          <w:color w:val="1A1A1A"/>
          <w:szCs w:val="24"/>
          <w:shd w:val="clear" w:color="auto" w:fill="FFFFFF"/>
        </w:rPr>
        <w:t xml:space="preserve">. </w:t>
      </w:r>
      <w:r w:rsidR="009076F1">
        <w:rPr>
          <w:rFonts w:ascii="Times New Roman" w:hAnsi="Times New Roman" w:cs="Times New Roman"/>
          <w:color w:val="1A1A1A"/>
          <w:szCs w:val="24"/>
          <w:shd w:val="clear" w:color="auto" w:fill="FFFFFF"/>
        </w:rPr>
        <w:t xml:space="preserve">Dessarte, </w:t>
      </w:r>
      <w:r w:rsidR="00E02EB3">
        <w:rPr>
          <w:rFonts w:ascii="Times New Roman" w:hAnsi="Times New Roman" w:cs="Times New Roman"/>
          <w:color w:val="1A1A1A"/>
          <w:szCs w:val="24"/>
          <w:shd w:val="clear" w:color="auto" w:fill="FFFFFF"/>
        </w:rPr>
        <w:t>n</w:t>
      </w:r>
      <w:r w:rsidR="009076F1">
        <w:rPr>
          <w:rFonts w:ascii="Times New Roman" w:hAnsi="Times New Roman" w:cs="Times New Roman"/>
          <w:color w:val="1A1A1A"/>
          <w:szCs w:val="24"/>
          <w:shd w:val="clear" w:color="auto" w:fill="FFFFFF"/>
        </w:rPr>
        <w:t xml:space="preserve">o reconhecimento da </w:t>
      </w:r>
      <w:r w:rsidR="00AF11E6">
        <w:rPr>
          <w:rFonts w:ascii="Times New Roman" w:hAnsi="Times New Roman" w:cs="Times New Roman"/>
          <w:color w:val="1A1A1A"/>
          <w:szCs w:val="24"/>
          <w:shd w:val="clear" w:color="auto" w:fill="FFFFFF"/>
        </w:rPr>
        <w:t xml:space="preserve">constitucionalidade do TCU em </w:t>
      </w:r>
      <w:r w:rsidR="00F5235E">
        <w:rPr>
          <w:rFonts w:ascii="Times New Roman" w:hAnsi="Times New Roman" w:cs="Times New Roman"/>
          <w:color w:val="1A1A1A"/>
          <w:szCs w:val="24"/>
          <w:shd w:val="clear" w:color="auto" w:fill="FFFFFF"/>
        </w:rPr>
        <w:t>decretar a indisponibilidade de bens suficientes à garantia da dívida</w:t>
      </w:r>
      <w:r w:rsidR="00AF11E6">
        <w:rPr>
          <w:rFonts w:ascii="Times New Roman" w:hAnsi="Times New Roman" w:cs="Times New Roman"/>
          <w:color w:val="1A1A1A"/>
          <w:szCs w:val="24"/>
          <w:shd w:val="clear" w:color="auto" w:fill="FFFFFF"/>
        </w:rPr>
        <w:t xml:space="preserve"> futura</w:t>
      </w:r>
      <w:r w:rsidR="00F5235E">
        <w:rPr>
          <w:rFonts w:ascii="Times New Roman" w:hAnsi="Times New Roman" w:cs="Times New Roman"/>
          <w:color w:val="1A1A1A"/>
          <w:szCs w:val="24"/>
          <w:shd w:val="clear" w:color="auto" w:fill="FFFFFF"/>
        </w:rPr>
        <w:t>,</w:t>
      </w:r>
      <w:r w:rsidR="00AF11E6">
        <w:rPr>
          <w:rFonts w:ascii="Times New Roman" w:hAnsi="Times New Roman" w:cs="Times New Roman"/>
          <w:color w:val="1A1A1A"/>
          <w:szCs w:val="24"/>
          <w:shd w:val="clear" w:color="auto" w:fill="FFFFFF"/>
        </w:rPr>
        <w:t xml:space="preserve"> está contido o pressuposto de que</w:t>
      </w:r>
      <w:r w:rsidR="00622C30">
        <w:rPr>
          <w:rFonts w:ascii="Times New Roman" w:hAnsi="Times New Roman" w:cs="Times New Roman"/>
          <w:color w:val="1A1A1A"/>
          <w:szCs w:val="24"/>
          <w:shd w:val="clear" w:color="auto" w:fill="FFFFFF"/>
        </w:rPr>
        <w:t>,</w:t>
      </w:r>
      <w:r w:rsidR="00AF11E6">
        <w:rPr>
          <w:rFonts w:ascii="Times New Roman" w:hAnsi="Times New Roman" w:cs="Times New Roman"/>
          <w:color w:val="1A1A1A"/>
          <w:szCs w:val="24"/>
          <w:shd w:val="clear" w:color="auto" w:fill="FFFFFF"/>
        </w:rPr>
        <w:t xml:space="preserve"> em tal situação</w:t>
      </w:r>
      <w:r w:rsidR="00622C30">
        <w:rPr>
          <w:rFonts w:ascii="Times New Roman" w:hAnsi="Times New Roman" w:cs="Times New Roman"/>
          <w:color w:val="1A1A1A"/>
          <w:szCs w:val="24"/>
          <w:shd w:val="clear" w:color="auto" w:fill="FFFFFF"/>
        </w:rPr>
        <w:t>,</w:t>
      </w:r>
      <w:r w:rsidR="00AF11E6">
        <w:rPr>
          <w:rFonts w:ascii="Times New Roman" w:hAnsi="Times New Roman" w:cs="Times New Roman"/>
          <w:color w:val="1A1A1A"/>
          <w:szCs w:val="24"/>
          <w:shd w:val="clear" w:color="auto" w:fill="FFFFFF"/>
        </w:rPr>
        <w:t xml:space="preserve"> não incide a reserva de jurisdição.</w:t>
      </w:r>
    </w:p>
    <w:p w14:paraId="16C48852" w14:textId="2754C30F" w:rsidR="0016576F" w:rsidRDefault="00A3468C" w:rsidP="007E3B4D">
      <w:pPr>
        <w:spacing w:line="360" w:lineRule="auto"/>
        <w:ind w:firstLine="851"/>
        <w:jc w:val="both"/>
        <w:rPr>
          <w:rFonts w:ascii="Times New Roman" w:hAnsi="Times New Roman" w:cs="Times New Roman"/>
          <w:color w:val="1A1A1A"/>
          <w:szCs w:val="24"/>
          <w:shd w:val="clear" w:color="auto" w:fill="FFFFFF"/>
        </w:rPr>
      </w:pPr>
      <w:r>
        <w:rPr>
          <w:rFonts w:ascii="Times New Roman" w:hAnsi="Times New Roman" w:cs="Times New Roman"/>
          <w:color w:val="1A1A1A"/>
          <w:szCs w:val="24"/>
          <w:shd w:val="clear" w:color="auto" w:fill="FFFFFF"/>
        </w:rPr>
        <w:t>Todavia, o Supremo encontrou soluções diferentes, para situações análogas.</w:t>
      </w:r>
      <w:r w:rsidR="0016576F">
        <w:rPr>
          <w:rFonts w:ascii="Times New Roman" w:hAnsi="Times New Roman" w:cs="Times New Roman"/>
          <w:color w:val="1A1A1A"/>
          <w:szCs w:val="24"/>
          <w:shd w:val="clear" w:color="auto" w:fill="FFFFFF"/>
        </w:rPr>
        <w:t xml:space="preserve"> </w:t>
      </w:r>
      <w:r w:rsidR="00E02EB3">
        <w:rPr>
          <w:rFonts w:ascii="Times New Roman" w:hAnsi="Times New Roman" w:cs="Times New Roman"/>
          <w:color w:val="1A1A1A"/>
          <w:szCs w:val="24"/>
          <w:shd w:val="clear" w:color="auto" w:fill="FFFFFF"/>
        </w:rPr>
        <w:t>Até p</w:t>
      </w:r>
      <w:r w:rsidR="0016576F">
        <w:rPr>
          <w:rFonts w:ascii="Times New Roman" w:hAnsi="Times New Roman" w:cs="Times New Roman"/>
          <w:color w:val="1A1A1A"/>
          <w:szCs w:val="24"/>
          <w:shd w:val="clear" w:color="auto" w:fill="FFFFFF"/>
        </w:rPr>
        <w:t>ior, pois reconheceu competência ao TCU para decretar a indisponibilidade de bens ainda em fase cautelar, vale dizer, antes da existência de decisão imputando a dívida que se pretende garantir satisfeita com a oneração do patrimônio do futuro devedor, ao passo que negou tal competência ao Fisco, mesmo com decisão</w:t>
      </w:r>
      <w:r w:rsidR="00E02EB3">
        <w:rPr>
          <w:rFonts w:ascii="Times New Roman" w:hAnsi="Times New Roman" w:cs="Times New Roman"/>
          <w:color w:val="1A1A1A"/>
          <w:szCs w:val="24"/>
          <w:shd w:val="clear" w:color="auto" w:fill="FFFFFF"/>
        </w:rPr>
        <w:t xml:space="preserve"> definitiva</w:t>
      </w:r>
      <w:r w:rsidR="0016576F">
        <w:rPr>
          <w:rFonts w:ascii="Times New Roman" w:hAnsi="Times New Roman" w:cs="Times New Roman"/>
          <w:color w:val="1A1A1A"/>
          <w:szCs w:val="24"/>
          <w:shd w:val="clear" w:color="auto" w:fill="FFFFFF"/>
        </w:rPr>
        <w:t xml:space="preserve"> </w:t>
      </w:r>
      <w:r w:rsidR="00E02EB3">
        <w:rPr>
          <w:rFonts w:ascii="Times New Roman" w:hAnsi="Times New Roman" w:cs="Times New Roman"/>
          <w:color w:val="1A1A1A"/>
          <w:szCs w:val="24"/>
          <w:shd w:val="clear" w:color="auto" w:fill="FFFFFF"/>
        </w:rPr>
        <w:t>que constitui o crédito fiscal</w:t>
      </w:r>
      <w:r w:rsidR="0016576F">
        <w:rPr>
          <w:rFonts w:ascii="Times New Roman" w:hAnsi="Times New Roman" w:cs="Times New Roman"/>
          <w:color w:val="1A1A1A"/>
          <w:szCs w:val="24"/>
          <w:shd w:val="clear" w:color="auto" w:fill="FFFFFF"/>
        </w:rPr>
        <w:t>, inclusive com o débito devidamente convolado em título executivo, mediante inscrição em dívida ativa.</w:t>
      </w:r>
    </w:p>
    <w:p w14:paraId="4D10EA56" w14:textId="5DB7BA70" w:rsidR="0016576F" w:rsidRDefault="007A5FD9" w:rsidP="007E3B4D">
      <w:pPr>
        <w:spacing w:line="360" w:lineRule="auto"/>
        <w:ind w:firstLine="851"/>
        <w:jc w:val="both"/>
        <w:rPr>
          <w:rFonts w:ascii="Times New Roman" w:hAnsi="Times New Roman" w:cs="Times New Roman"/>
          <w:color w:val="000000"/>
          <w:szCs w:val="24"/>
          <w:shd w:val="clear" w:color="auto" w:fill="FFFFFF"/>
        </w:rPr>
      </w:pPr>
      <w:r>
        <w:rPr>
          <w:rFonts w:ascii="Times New Roman" w:hAnsi="Times New Roman" w:cs="Times New Roman"/>
          <w:color w:val="1A1A1A"/>
          <w:szCs w:val="24"/>
          <w:shd w:val="clear" w:color="auto" w:fill="FFFFFF"/>
        </w:rPr>
        <w:t xml:space="preserve">No MS 33.092/DF o Min. Gilmar Mendes, </w:t>
      </w:r>
      <w:r w:rsidR="00B37FCC">
        <w:rPr>
          <w:rFonts w:ascii="Times New Roman" w:hAnsi="Times New Roman" w:cs="Times New Roman"/>
          <w:color w:val="1A1A1A"/>
          <w:szCs w:val="24"/>
          <w:shd w:val="clear" w:color="auto" w:fill="FFFFFF"/>
        </w:rPr>
        <w:t xml:space="preserve">considerando que </w:t>
      </w:r>
      <w:r w:rsidR="0016576F">
        <w:rPr>
          <w:rFonts w:ascii="Times New Roman" w:hAnsi="Times New Roman" w:cs="Times New Roman"/>
          <w:color w:val="1A1A1A"/>
          <w:szCs w:val="24"/>
          <w:shd w:val="clear" w:color="auto" w:fill="FFFFFF"/>
        </w:rPr>
        <w:t xml:space="preserve">ao TCU </w:t>
      </w:r>
      <w:r w:rsidR="0016576F" w:rsidRPr="0016576F">
        <w:rPr>
          <w:rFonts w:ascii="Times New Roman" w:hAnsi="Times New Roman" w:cs="Times New Roman"/>
          <w:color w:val="1A1A1A"/>
          <w:szCs w:val="24"/>
          <w:shd w:val="clear" w:color="auto" w:fill="FFFFFF"/>
        </w:rPr>
        <w:t xml:space="preserve">compete </w:t>
      </w:r>
      <w:r w:rsidR="00B37FCC">
        <w:rPr>
          <w:rFonts w:ascii="Times New Roman" w:hAnsi="Times New Roman" w:cs="Times New Roman"/>
          <w:color w:val="1A1A1A"/>
          <w:szCs w:val="24"/>
          <w:shd w:val="clear" w:color="auto" w:fill="FFFFFF"/>
        </w:rPr>
        <w:t xml:space="preserve">o controle externos de contas </w:t>
      </w:r>
      <w:r w:rsidR="0016576F">
        <w:rPr>
          <w:rFonts w:ascii="Times New Roman" w:hAnsi="Times New Roman" w:cs="Times New Roman"/>
          <w:color w:val="000000"/>
          <w:szCs w:val="24"/>
          <w:shd w:val="clear" w:color="auto" w:fill="FFFFFF"/>
        </w:rPr>
        <w:t xml:space="preserve">(CF, art. 71), </w:t>
      </w:r>
      <w:r w:rsidR="00B37FCC">
        <w:rPr>
          <w:rFonts w:ascii="Times New Roman" w:hAnsi="Times New Roman" w:cs="Times New Roman"/>
          <w:color w:val="000000"/>
          <w:szCs w:val="24"/>
          <w:shd w:val="clear" w:color="auto" w:fill="FFFFFF"/>
        </w:rPr>
        <w:t>sustentou, com base da teoria dos poderes implícitos, que a imposição de inalienabilidade de bens de investigados é decorrência (implícita) daquela competência expressa. Pois bem. Se ao TCU compete fiscalizar as contas públicas, à Fazenda Pública</w:t>
      </w:r>
      <w:r w:rsidR="0016576F">
        <w:rPr>
          <w:rFonts w:ascii="Times New Roman" w:hAnsi="Times New Roman" w:cs="Times New Roman"/>
          <w:color w:val="000000"/>
          <w:szCs w:val="24"/>
          <w:shd w:val="clear" w:color="auto" w:fill="FFFFFF"/>
        </w:rPr>
        <w:t xml:space="preserve"> compete a execução da dívida ativa (CF, art. 131 e 132).</w:t>
      </w:r>
    </w:p>
    <w:p w14:paraId="1AA04FC3" w14:textId="0F4FDF18" w:rsidR="00F5537E" w:rsidRDefault="0095642D" w:rsidP="007E3B4D">
      <w:pPr>
        <w:spacing w:line="360" w:lineRule="auto"/>
        <w:ind w:firstLine="851"/>
        <w:jc w:val="both"/>
        <w:rPr>
          <w:rFonts w:ascii="Times New Roman" w:hAnsi="Times New Roman" w:cs="Times New Roman"/>
          <w:color w:val="000000"/>
          <w:szCs w:val="24"/>
          <w:shd w:val="clear" w:color="auto" w:fill="FFFFFF"/>
        </w:rPr>
      </w:pPr>
      <w:r>
        <w:rPr>
          <w:rFonts w:ascii="Times New Roman" w:hAnsi="Times New Roman" w:cs="Times New Roman"/>
          <w:color w:val="000000"/>
          <w:szCs w:val="24"/>
          <w:shd w:val="clear" w:color="auto" w:fill="FFFFFF"/>
        </w:rPr>
        <w:t>Assim, se a teoria dos poderes implícitos serv</w:t>
      </w:r>
      <w:r w:rsidR="00E02EB3">
        <w:rPr>
          <w:rFonts w:ascii="Times New Roman" w:hAnsi="Times New Roman" w:cs="Times New Roman"/>
          <w:color w:val="000000"/>
          <w:szCs w:val="24"/>
          <w:shd w:val="clear" w:color="auto" w:fill="FFFFFF"/>
        </w:rPr>
        <w:t>iu para</w:t>
      </w:r>
      <w:r>
        <w:rPr>
          <w:rFonts w:ascii="Times New Roman" w:hAnsi="Times New Roman" w:cs="Times New Roman"/>
          <w:color w:val="000000"/>
          <w:szCs w:val="24"/>
          <w:shd w:val="clear" w:color="auto" w:fill="FFFFFF"/>
        </w:rPr>
        <w:t xml:space="preserve"> fundamentar a competência do TCU para promover a indisponibilidade de bens, ainda em sede cautelar, </w:t>
      </w:r>
      <w:r w:rsidR="00F5537E">
        <w:rPr>
          <w:rFonts w:ascii="Times New Roman" w:hAnsi="Times New Roman" w:cs="Times New Roman"/>
          <w:color w:val="000000"/>
          <w:szCs w:val="24"/>
          <w:shd w:val="clear" w:color="auto" w:fill="FFFFFF"/>
        </w:rPr>
        <w:t xml:space="preserve">visando assegurar eficácia e utilidade da sua decisão ao final, </w:t>
      </w:r>
      <w:r>
        <w:rPr>
          <w:rFonts w:ascii="Times New Roman" w:hAnsi="Times New Roman" w:cs="Times New Roman"/>
          <w:color w:val="000000"/>
          <w:szCs w:val="24"/>
          <w:shd w:val="clear" w:color="auto" w:fill="FFFFFF"/>
        </w:rPr>
        <w:t>com</w:t>
      </w:r>
      <w:r w:rsidR="00AD4E0D">
        <w:rPr>
          <w:rFonts w:ascii="Times New Roman" w:hAnsi="Times New Roman" w:cs="Times New Roman"/>
          <w:color w:val="000000"/>
          <w:szCs w:val="24"/>
          <w:shd w:val="clear" w:color="auto" w:fill="FFFFFF"/>
        </w:rPr>
        <w:t xml:space="preserve"> a mesma ou até maior </w:t>
      </w:r>
      <w:r>
        <w:rPr>
          <w:rFonts w:ascii="Times New Roman" w:hAnsi="Times New Roman" w:cs="Times New Roman"/>
          <w:color w:val="000000"/>
          <w:szCs w:val="24"/>
          <w:shd w:val="clear" w:color="auto" w:fill="FFFFFF"/>
        </w:rPr>
        <w:t xml:space="preserve">razão </w:t>
      </w:r>
      <w:r w:rsidR="00AD4E0D">
        <w:rPr>
          <w:rFonts w:ascii="Times New Roman" w:hAnsi="Times New Roman" w:cs="Times New Roman"/>
          <w:color w:val="000000"/>
          <w:szCs w:val="24"/>
          <w:shd w:val="clear" w:color="auto" w:fill="FFFFFF"/>
        </w:rPr>
        <w:t xml:space="preserve">(dívida líquida e certa), </w:t>
      </w:r>
      <w:r>
        <w:rPr>
          <w:rFonts w:ascii="Times New Roman" w:hAnsi="Times New Roman" w:cs="Times New Roman"/>
          <w:color w:val="000000"/>
          <w:szCs w:val="24"/>
          <w:shd w:val="clear" w:color="auto" w:fill="FFFFFF"/>
        </w:rPr>
        <w:t xml:space="preserve">deveria autorizar </w:t>
      </w:r>
      <w:r w:rsidR="00AD4E0D">
        <w:rPr>
          <w:rFonts w:ascii="Times New Roman" w:hAnsi="Times New Roman" w:cs="Times New Roman"/>
          <w:color w:val="000000"/>
          <w:szCs w:val="24"/>
          <w:shd w:val="clear" w:color="auto" w:fill="FFFFFF"/>
        </w:rPr>
        <w:t>a Fazenda Pública</w:t>
      </w:r>
      <w:r>
        <w:rPr>
          <w:rFonts w:ascii="Times New Roman" w:hAnsi="Times New Roman" w:cs="Times New Roman"/>
          <w:color w:val="000000"/>
          <w:szCs w:val="24"/>
          <w:shd w:val="clear" w:color="auto" w:fill="FFFFFF"/>
        </w:rPr>
        <w:t xml:space="preserve"> que, pela averbação da CDA em órgão de registro de bens e direitos, </w:t>
      </w:r>
      <w:r w:rsidR="00F5537E">
        <w:rPr>
          <w:rFonts w:ascii="Times New Roman" w:hAnsi="Times New Roman" w:cs="Times New Roman"/>
          <w:color w:val="000000"/>
          <w:szCs w:val="24"/>
          <w:shd w:val="clear" w:color="auto" w:fill="FFFFFF"/>
        </w:rPr>
        <w:t>também imponha referida indisponibilidade, visando aquelas</w:t>
      </w:r>
      <w:r w:rsidR="00AD4E0D">
        <w:rPr>
          <w:rFonts w:ascii="Times New Roman" w:hAnsi="Times New Roman" w:cs="Times New Roman"/>
          <w:color w:val="000000"/>
          <w:szCs w:val="24"/>
          <w:shd w:val="clear" w:color="auto" w:fill="FFFFFF"/>
        </w:rPr>
        <w:t xml:space="preserve"> às</w:t>
      </w:r>
      <w:r w:rsidR="00F5537E">
        <w:rPr>
          <w:rFonts w:ascii="Times New Roman" w:hAnsi="Times New Roman" w:cs="Times New Roman"/>
          <w:color w:val="000000"/>
          <w:szCs w:val="24"/>
          <w:shd w:val="clear" w:color="auto" w:fill="FFFFFF"/>
        </w:rPr>
        <w:t xml:space="preserve"> mesmas finalidades</w:t>
      </w:r>
      <w:r w:rsidR="00AD4E0D">
        <w:rPr>
          <w:rFonts w:ascii="Times New Roman" w:hAnsi="Times New Roman" w:cs="Times New Roman"/>
          <w:color w:val="000000"/>
          <w:szCs w:val="24"/>
          <w:shd w:val="clear" w:color="auto" w:fill="FFFFFF"/>
        </w:rPr>
        <w:t xml:space="preserve"> do TCU</w:t>
      </w:r>
      <w:r w:rsidR="00F5537E">
        <w:rPr>
          <w:rFonts w:ascii="Times New Roman" w:hAnsi="Times New Roman" w:cs="Times New Roman"/>
          <w:color w:val="000000"/>
          <w:szCs w:val="24"/>
          <w:shd w:val="clear" w:color="auto" w:fill="FFFFFF"/>
        </w:rPr>
        <w:t>.</w:t>
      </w:r>
    </w:p>
    <w:p w14:paraId="429E8BED" w14:textId="260E7376" w:rsidR="00E8194E" w:rsidRDefault="00616D68" w:rsidP="007E3B4D">
      <w:pPr>
        <w:spacing w:line="360" w:lineRule="auto"/>
        <w:ind w:firstLine="851"/>
        <w:jc w:val="both"/>
        <w:rPr>
          <w:rFonts w:ascii="Times New Roman" w:hAnsi="Times New Roman" w:cs="Times New Roman"/>
          <w:color w:val="000000"/>
          <w:szCs w:val="24"/>
          <w:shd w:val="clear" w:color="auto" w:fill="FFFFFF"/>
        </w:rPr>
      </w:pPr>
      <w:r>
        <w:rPr>
          <w:rFonts w:ascii="Times New Roman" w:hAnsi="Times New Roman" w:cs="Times New Roman"/>
          <w:color w:val="000000"/>
          <w:szCs w:val="24"/>
          <w:shd w:val="clear" w:color="auto" w:fill="FFFFFF"/>
        </w:rPr>
        <w:t xml:space="preserve">   </w:t>
      </w:r>
    </w:p>
    <w:p w14:paraId="7073C44B" w14:textId="67B838B2" w:rsidR="00DF66F6" w:rsidRPr="00BF185E" w:rsidRDefault="00325F25" w:rsidP="00501319">
      <w:pPr>
        <w:pBdr>
          <w:bottom w:val="single" w:sz="4" w:space="1" w:color="auto"/>
        </w:pBdr>
        <w:spacing w:line="360" w:lineRule="auto"/>
        <w:ind w:firstLine="851"/>
        <w:jc w:val="both"/>
        <w:rPr>
          <w:rFonts w:ascii="Times New Roman" w:hAnsi="Times New Roman" w:cs="Times New Roman"/>
          <w:b/>
          <w:bCs/>
          <w:szCs w:val="24"/>
        </w:rPr>
      </w:pPr>
      <w:r>
        <w:rPr>
          <w:rFonts w:ascii="Times New Roman" w:hAnsi="Times New Roman" w:cs="Times New Roman"/>
          <w:b/>
          <w:bCs/>
          <w:szCs w:val="24"/>
        </w:rPr>
        <w:t>I</w:t>
      </w:r>
      <w:r w:rsidR="00DF66F6">
        <w:rPr>
          <w:rFonts w:ascii="Times New Roman" w:hAnsi="Times New Roman" w:cs="Times New Roman"/>
          <w:b/>
          <w:bCs/>
          <w:szCs w:val="24"/>
        </w:rPr>
        <w:t>II.</w:t>
      </w:r>
      <w:r w:rsidR="00501319">
        <w:rPr>
          <w:rFonts w:ascii="Times New Roman" w:hAnsi="Times New Roman" w:cs="Times New Roman"/>
          <w:b/>
          <w:bCs/>
          <w:szCs w:val="24"/>
        </w:rPr>
        <w:t>1.1</w:t>
      </w:r>
      <w:r w:rsidR="00DF66F6">
        <w:rPr>
          <w:rFonts w:ascii="Times New Roman" w:hAnsi="Times New Roman" w:cs="Times New Roman"/>
          <w:b/>
          <w:bCs/>
          <w:szCs w:val="24"/>
        </w:rPr>
        <w:t xml:space="preserve"> Da</w:t>
      </w:r>
      <w:r w:rsidR="00DF66F6" w:rsidRPr="000C441C">
        <w:rPr>
          <w:rFonts w:ascii="Times New Roman" w:hAnsi="Times New Roman" w:cs="Times New Roman"/>
          <w:b/>
          <w:bCs/>
          <w:szCs w:val="24"/>
        </w:rPr>
        <w:t xml:space="preserve"> </w:t>
      </w:r>
      <w:r w:rsidR="00DF66F6">
        <w:rPr>
          <w:rFonts w:ascii="Times New Roman" w:hAnsi="Times New Roman" w:cs="Times New Roman"/>
          <w:b/>
          <w:bCs/>
          <w:szCs w:val="24"/>
        </w:rPr>
        <w:t>Dever de Coerência das Decisões para Integridade do Direito</w:t>
      </w:r>
    </w:p>
    <w:p w14:paraId="25FD98E1" w14:textId="77777777" w:rsidR="00DF66F6" w:rsidRPr="00DF66F6" w:rsidRDefault="00DF66F6" w:rsidP="001D3086">
      <w:pPr>
        <w:spacing w:line="360" w:lineRule="auto"/>
        <w:ind w:firstLine="709"/>
        <w:jc w:val="both"/>
        <w:rPr>
          <w:rFonts w:ascii="Times New Roman" w:hAnsi="Times New Roman" w:cs="Times New Roman"/>
          <w:szCs w:val="24"/>
        </w:rPr>
      </w:pPr>
    </w:p>
    <w:p w14:paraId="374318F9" w14:textId="56EDF752" w:rsidR="001D2249" w:rsidRDefault="001D2249" w:rsidP="001D3086">
      <w:pPr>
        <w:spacing w:line="360" w:lineRule="auto"/>
        <w:ind w:firstLine="709"/>
        <w:jc w:val="both"/>
        <w:rPr>
          <w:rFonts w:ascii="Times New Roman" w:hAnsi="Times New Roman" w:cs="Times New Roman"/>
          <w:szCs w:val="24"/>
        </w:rPr>
      </w:pPr>
      <w:r>
        <w:rPr>
          <w:rFonts w:ascii="Times New Roman" w:hAnsi="Times New Roman" w:cs="Times New Roman"/>
          <w:szCs w:val="24"/>
        </w:rPr>
        <w:lastRenderedPageBreak/>
        <w:t>Sem exagero, o dever de</w:t>
      </w:r>
      <w:r w:rsidR="00DF66F6">
        <w:rPr>
          <w:rFonts w:ascii="Times New Roman" w:hAnsi="Times New Roman" w:cs="Times New Roman"/>
          <w:szCs w:val="24"/>
        </w:rPr>
        <w:t xml:space="preserve"> coerência</w:t>
      </w:r>
      <w:r>
        <w:rPr>
          <w:rFonts w:ascii="Times New Roman" w:hAnsi="Times New Roman" w:cs="Times New Roman"/>
          <w:szCs w:val="24"/>
        </w:rPr>
        <w:t xml:space="preserve"> </w:t>
      </w:r>
      <w:r w:rsidR="00DF66F6">
        <w:rPr>
          <w:rFonts w:ascii="Times New Roman" w:hAnsi="Times New Roman" w:cs="Times New Roman"/>
          <w:szCs w:val="24"/>
        </w:rPr>
        <w:t>das decisões judiciais</w:t>
      </w:r>
      <w:r>
        <w:rPr>
          <w:rFonts w:ascii="Times New Roman" w:hAnsi="Times New Roman" w:cs="Times New Roman"/>
          <w:szCs w:val="24"/>
        </w:rPr>
        <w:t>, entre si,</w:t>
      </w:r>
      <w:r w:rsidR="00C6389E">
        <w:rPr>
          <w:rFonts w:ascii="Times New Roman" w:hAnsi="Times New Roman" w:cs="Times New Roman"/>
          <w:szCs w:val="24"/>
        </w:rPr>
        <w:t xml:space="preserve"> pode ser considerada tarefa</w:t>
      </w:r>
      <w:r>
        <w:rPr>
          <w:rFonts w:ascii="Times New Roman" w:hAnsi="Times New Roman" w:cs="Times New Roman"/>
          <w:szCs w:val="24"/>
        </w:rPr>
        <w:t xml:space="preserve"> das</w:t>
      </w:r>
      <w:r w:rsidR="00C6389E">
        <w:rPr>
          <w:rFonts w:ascii="Times New Roman" w:hAnsi="Times New Roman" w:cs="Times New Roman"/>
          <w:szCs w:val="24"/>
        </w:rPr>
        <w:t xml:space="preserve"> mais importantes </w:t>
      </w:r>
      <w:r>
        <w:rPr>
          <w:rFonts w:ascii="Times New Roman" w:hAnsi="Times New Roman" w:cs="Times New Roman"/>
          <w:szCs w:val="24"/>
        </w:rPr>
        <w:t xml:space="preserve">no </w:t>
      </w:r>
      <w:r w:rsidR="00C6389E">
        <w:rPr>
          <w:rFonts w:ascii="Times New Roman" w:hAnsi="Times New Roman" w:cs="Times New Roman"/>
          <w:szCs w:val="24"/>
        </w:rPr>
        <w:t>Estado Democrático de Direito,</w:t>
      </w:r>
      <w:r>
        <w:rPr>
          <w:rFonts w:ascii="Times New Roman" w:hAnsi="Times New Roman" w:cs="Times New Roman"/>
          <w:szCs w:val="24"/>
        </w:rPr>
        <w:t xml:space="preserve"> assim entendidas as Democracias Constitucionais que têm</w:t>
      </w:r>
      <w:r w:rsidR="006D59F4">
        <w:rPr>
          <w:rFonts w:ascii="Times New Roman" w:hAnsi="Times New Roman" w:cs="Times New Roman"/>
          <w:szCs w:val="24"/>
        </w:rPr>
        <w:t xml:space="preserve"> entre os principais paradigmas, o da igualdade</w:t>
      </w:r>
      <w:r>
        <w:rPr>
          <w:rFonts w:ascii="Times New Roman" w:hAnsi="Times New Roman" w:cs="Times New Roman"/>
          <w:szCs w:val="24"/>
        </w:rPr>
        <w:t>.</w:t>
      </w:r>
    </w:p>
    <w:p w14:paraId="6CBA2303" w14:textId="75435D3D" w:rsidR="001D2249" w:rsidRDefault="001D2249" w:rsidP="001D3086">
      <w:pPr>
        <w:spacing w:line="360" w:lineRule="auto"/>
        <w:ind w:firstLine="709"/>
        <w:jc w:val="both"/>
        <w:rPr>
          <w:rFonts w:ascii="Times New Roman" w:hAnsi="Times New Roman" w:cs="Times New Roman"/>
          <w:szCs w:val="24"/>
        </w:rPr>
      </w:pPr>
      <w:r>
        <w:rPr>
          <w:rFonts w:ascii="Times New Roman" w:hAnsi="Times New Roman" w:cs="Times New Roman"/>
          <w:szCs w:val="24"/>
        </w:rPr>
        <w:t xml:space="preserve">A demonstrar tal importância, a Constituição Federal consagrou o princípio da isonomia no artigo </w:t>
      </w:r>
      <w:r w:rsidR="006D59F4">
        <w:rPr>
          <w:rFonts w:ascii="Times New Roman" w:hAnsi="Times New Roman" w:cs="Times New Roman"/>
          <w:szCs w:val="24"/>
        </w:rPr>
        <w:t>“</w:t>
      </w:r>
      <w:r>
        <w:rPr>
          <w:rFonts w:ascii="Times New Roman" w:hAnsi="Times New Roman" w:cs="Times New Roman"/>
          <w:szCs w:val="24"/>
        </w:rPr>
        <w:t>abre alas</w:t>
      </w:r>
      <w:r w:rsidR="006D59F4">
        <w:rPr>
          <w:rFonts w:ascii="Times New Roman" w:hAnsi="Times New Roman" w:cs="Times New Roman"/>
          <w:szCs w:val="24"/>
        </w:rPr>
        <w:t>”</w:t>
      </w:r>
      <w:r>
        <w:rPr>
          <w:rFonts w:ascii="Times New Roman" w:hAnsi="Times New Roman" w:cs="Times New Roman"/>
          <w:szCs w:val="24"/>
        </w:rPr>
        <w:t xml:space="preserve"> do Título destinado aos Direitos e Garantias Fundamentais (CF, art. 5º, </w:t>
      </w:r>
      <w:r w:rsidRPr="001D2249">
        <w:rPr>
          <w:rFonts w:ascii="Times New Roman" w:hAnsi="Times New Roman" w:cs="Times New Roman"/>
          <w:i/>
          <w:iCs/>
          <w:szCs w:val="24"/>
        </w:rPr>
        <w:t>caput</w:t>
      </w:r>
      <w:r>
        <w:rPr>
          <w:rFonts w:ascii="Times New Roman" w:hAnsi="Times New Roman" w:cs="Times New Roman"/>
          <w:szCs w:val="24"/>
        </w:rPr>
        <w:t>).</w:t>
      </w:r>
    </w:p>
    <w:p w14:paraId="58B15CA8" w14:textId="52C0AC1C" w:rsidR="0084210F" w:rsidRDefault="001D2249" w:rsidP="001D3086">
      <w:pPr>
        <w:spacing w:line="360" w:lineRule="auto"/>
        <w:ind w:firstLine="709"/>
        <w:jc w:val="both"/>
        <w:rPr>
          <w:rFonts w:ascii="Times New Roman" w:hAnsi="Times New Roman" w:cs="Times New Roman"/>
          <w:szCs w:val="24"/>
        </w:rPr>
      </w:pPr>
      <w:r>
        <w:rPr>
          <w:rFonts w:ascii="Times New Roman" w:hAnsi="Times New Roman" w:cs="Times New Roman"/>
          <w:szCs w:val="24"/>
        </w:rPr>
        <w:t xml:space="preserve">A valer, </w:t>
      </w:r>
      <w:r w:rsidR="0084210F">
        <w:rPr>
          <w:rFonts w:ascii="Times New Roman" w:hAnsi="Times New Roman" w:cs="Times New Roman"/>
          <w:szCs w:val="24"/>
        </w:rPr>
        <w:t xml:space="preserve">estando o Poder Judiciário, em especial do Supremo Tribunal Federal, dotado da competência para dar a última palavra sobre o sentido de aplicação da lei, o dever de coerência deste órgão para com suas próprias decisões deve ser elevado ao grau </w:t>
      </w:r>
      <w:r w:rsidR="00426E36">
        <w:rPr>
          <w:rFonts w:ascii="Times New Roman" w:hAnsi="Times New Roman" w:cs="Times New Roman"/>
          <w:szCs w:val="24"/>
        </w:rPr>
        <w:t xml:space="preserve">máximo </w:t>
      </w:r>
      <w:r w:rsidR="0084210F">
        <w:rPr>
          <w:rFonts w:ascii="Times New Roman" w:hAnsi="Times New Roman" w:cs="Times New Roman"/>
          <w:szCs w:val="24"/>
        </w:rPr>
        <w:t>de importância.</w:t>
      </w:r>
    </w:p>
    <w:p w14:paraId="6B683ED1" w14:textId="344BC7E7" w:rsidR="00896CF1" w:rsidRDefault="00896CF1" w:rsidP="00896CF1">
      <w:pPr>
        <w:spacing w:line="360" w:lineRule="auto"/>
        <w:ind w:firstLine="709"/>
        <w:jc w:val="both"/>
        <w:rPr>
          <w:rFonts w:ascii="Times New Roman" w:hAnsi="Times New Roman" w:cs="Times New Roman"/>
          <w:szCs w:val="24"/>
        </w:rPr>
      </w:pPr>
      <w:r>
        <w:rPr>
          <w:rFonts w:ascii="Times New Roman" w:hAnsi="Times New Roman" w:cs="Times New Roman"/>
          <w:szCs w:val="24"/>
        </w:rPr>
        <w:t xml:space="preserve">Colhemos das abalizadas reflexões do professor </w:t>
      </w:r>
      <w:proofErr w:type="spellStart"/>
      <w:r>
        <w:rPr>
          <w:rFonts w:ascii="Times New Roman" w:hAnsi="Times New Roman" w:cs="Times New Roman"/>
          <w:szCs w:val="24"/>
        </w:rPr>
        <w:t>Lênio</w:t>
      </w:r>
      <w:proofErr w:type="spellEnd"/>
      <w:r>
        <w:rPr>
          <w:rFonts w:ascii="Times New Roman" w:hAnsi="Times New Roman" w:cs="Times New Roman"/>
          <w:szCs w:val="24"/>
        </w:rPr>
        <w:t xml:space="preserve"> </w:t>
      </w:r>
      <w:proofErr w:type="spellStart"/>
      <w:r>
        <w:rPr>
          <w:rFonts w:ascii="Times New Roman" w:hAnsi="Times New Roman" w:cs="Times New Roman"/>
          <w:szCs w:val="24"/>
        </w:rPr>
        <w:t>Streck</w:t>
      </w:r>
      <w:proofErr w:type="spellEnd"/>
      <w:r>
        <w:rPr>
          <w:rFonts w:ascii="Times New Roman" w:hAnsi="Times New Roman" w:cs="Times New Roman"/>
          <w:szCs w:val="24"/>
        </w:rPr>
        <w:t xml:space="preserve"> que:</w:t>
      </w:r>
      <w:r>
        <w:rPr>
          <w:rStyle w:val="Refdenotaderodap"/>
          <w:rFonts w:ascii="Times New Roman" w:hAnsi="Times New Roman" w:cs="Times New Roman"/>
          <w:szCs w:val="24"/>
        </w:rPr>
        <w:footnoteReference w:id="5"/>
      </w:r>
      <w:r>
        <w:rPr>
          <w:rFonts w:ascii="Times New Roman" w:hAnsi="Times New Roman" w:cs="Times New Roman"/>
          <w:szCs w:val="24"/>
        </w:rPr>
        <w:t xml:space="preserve">  </w:t>
      </w:r>
    </w:p>
    <w:p w14:paraId="193ED61C" w14:textId="77777777" w:rsidR="00896CF1" w:rsidRDefault="00896CF1" w:rsidP="00896CF1">
      <w:pPr>
        <w:spacing w:line="240" w:lineRule="auto"/>
        <w:ind w:left="2268"/>
        <w:jc w:val="both"/>
        <w:rPr>
          <w:rFonts w:ascii="Times New Roman" w:eastAsia="Times New Roman" w:hAnsi="Times New Roman" w:cs="Times New Roman"/>
          <w:color w:val="1A1A1A"/>
          <w:sz w:val="20"/>
          <w:szCs w:val="20"/>
          <w:lang w:eastAsia="pt-BR"/>
        </w:rPr>
      </w:pPr>
      <w:r>
        <w:rPr>
          <w:rFonts w:ascii="Times New Roman" w:eastAsia="Times New Roman" w:hAnsi="Times New Roman" w:cs="Times New Roman"/>
          <w:color w:val="1A1A1A"/>
          <w:sz w:val="20"/>
          <w:szCs w:val="20"/>
          <w:lang w:eastAsia="pt-BR"/>
        </w:rPr>
        <w:t xml:space="preserve">Para alcançar a resposta correta – denominada na CHD de resposta adequada à Constituição – utilizou-se o caminho promissor desenhado a partir da imbricação da hermenêutica filosófica </w:t>
      </w:r>
      <w:proofErr w:type="spellStart"/>
      <w:r>
        <w:rPr>
          <w:rFonts w:ascii="Times New Roman" w:eastAsia="Times New Roman" w:hAnsi="Times New Roman" w:cs="Times New Roman"/>
          <w:color w:val="1A1A1A"/>
          <w:sz w:val="20"/>
          <w:szCs w:val="20"/>
          <w:lang w:eastAsia="pt-BR"/>
        </w:rPr>
        <w:t>gadameriana</w:t>
      </w:r>
      <w:proofErr w:type="spellEnd"/>
      <w:r>
        <w:rPr>
          <w:rFonts w:ascii="Times New Roman" w:eastAsia="Times New Roman" w:hAnsi="Times New Roman" w:cs="Times New Roman"/>
          <w:color w:val="1A1A1A"/>
          <w:sz w:val="20"/>
          <w:szCs w:val="20"/>
          <w:lang w:eastAsia="pt-BR"/>
        </w:rPr>
        <w:t xml:space="preserve"> coma teoria da “</w:t>
      </w:r>
      <w:proofErr w:type="spellStart"/>
      <w:r w:rsidRPr="00B11C4C">
        <w:rPr>
          <w:rFonts w:ascii="Times New Roman" w:eastAsia="Times New Roman" w:hAnsi="Times New Roman" w:cs="Times New Roman"/>
          <w:i/>
          <w:iCs/>
          <w:color w:val="1A1A1A"/>
          <w:sz w:val="20"/>
          <w:szCs w:val="20"/>
          <w:lang w:eastAsia="pt-BR"/>
        </w:rPr>
        <w:t>law</w:t>
      </w:r>
      <w:proofErr w:type="spellEnd"/>
      <w:r w:rsidRPr="00B11C4C">
        <w:rPr>
          <w:rFonts w:ascii="Times New Roman" w:eastAsia="Times New Roman" w:hAnsi="Times New Roman" w:cs="Times New Roman"/>
          <w:i/>
          <w:iCs/>
          <w:color w:val="1A1A1A"/>
          <w:sz w:val="20"/>
          <w:szCs w:val="20"/>
          <w:lang w:eastAsia="pt-BR"/>
        </w:rPr>
        <w:t xml:space="preserve"> as </w:t>
      </w:r>
      <w:proofErr w:type="spellStart"/>
      <w:r w:rsidRPr="00B11C4C">
        <w:rPr>
          <w:rFonts w:ascii="Times New Roman" w:eastAsia="Times New Roman" w:hAnsi="Times New Roman" w:cs="Times New Roman"/>
          <w:i/>
          <w:iCs/>
          <w:color w:val="1A1A1A"/>
          <w:sz w:val="20"/>
          <w:szCs w:val="20"/>
          <w:lang w:eastAsia="pt-BR"/>
        </w:rPr>
        <w:t>integrity</w:t>
      </w:r>
      <w:proofErr w:type="spellEnd"/>
      <w:r>
        <w:rPr>
          <w:rFonts w:ascii="Times New Roman" w:eastAsia="Times New Roman" w:hAnsi="Times New Roman" w:cs="Times New Roman"/>
          <w:color w:val="1A1A1A"/>
          <w:sz w:val="20"/>
          <w:szCs w:val="20"/>
          <w:lang w:eastAsia="pt-BR"/>
        </w:rPr>
        <w:t xml:space="preserve">” de </w:t>
      </w:r>
      <w:proofErr w:type="spellStart"/>
      <w:r>
        <w:rPr>
          <w:rFonts w:ascii="Times New Roman" w:eastAsia="Times New Roman" w:hAnsi="Times New Roman" w:cs="Times New Roman"/>
          <w:color w:val="1A1A1A"/>
          <w:sz w:val="20"/>
          <w:szCs w:val="20"/>
          <w:lang w:eastAsia="pt-BR"/>
        </w:rPr>
        <w:t>Dworkin</w:t>
      </w:r>
      <w:proofErr w:type="spellEnd"/>
      <w:r>
        <w:rPr>
          <w:rFonts w:ascii="Times New Roman" w:eastAsia="Times New Roman" w:hAnsi="Times New Roman" w:cs="Times New Roman"/>
          <w:color w:val="1A1A1A"/>
          <w:sz w:val="20"/>
          <w:szCs w:val="20"/>
          <w:lang w:eastAsia="pt-BR"/>
        </w:rPr>
        <w:t xml:space="preserve">, ambas importantes para a formação da Crítica Hermenêutica do Direito. Com efeito ambas são </w:t>
      </w:r>
      <w:proofErr w:type="spellStart"/>
      <w:r>
        <w:rPr>
          <w:rFonts w:ascii="Times New Roman" w:eastAsia="Times New Roman" w:hAnsi="Times New Roman" w:cs="Times New Roman"/>
          <w:color w:val="1A1A1A"/>
          <w:sz w:val="20"/>
          <w:szCs w:val="20"/>
          <w:lang w:eastAsia="pt-BR"/>
        </w:rPr>
        <w:t>antirrelativistas</w:t>
      </w:r>
      <w:proofErr w:type="spellEnd"/>
      <w:r>
        <w:rPr>
          <w:rFonts w:ascii="Times New Roman" w:eastAsia="Times New Roman" w:hAnsi="Times New Roman" w:cs="Times New Roman"/>
          <w:color w:val="1A1A1A"/>
          <w:sz w:val="20"/>
          <w:szCs w:val="20"/>
          <w:lang w:eastAsia="pt-BR"/>
        </w:rPr>
        <w:t xml:space="preserve"> e </w:t>
      </w:r>
      <w:proofErr w:type="spellStart"/>
      <w:r>
        <w:rPr>
          <w:rFonts w:ascii="Times New Roman" w:eastAsia="Times New Roman" w:hAnsi="Times New Roman" w:cs="Times New Roman"/>
          <w:color w:val="1A1A1A"/>
          <w:sz w:val="20"/>
          <w:szCs w:val="20"/>
          <w:lang w:eastAsia="pt-BR"/>
        </w:rPr>
        <w:t>antidiscricionárias</w:t>
      </w:r>
      <w:proofErr w:type="spellEnd"/>
      <w:r>
        <w:rPr>
          <w:rFonts w:ascii="Times New Roman" w:eastAsia="Times New Roman" w:hAnsi="Times New Roman" w:cs="Times New Roman"/>
          <w:color w:val="1A1A1A"/>
          <w:sz w:val="20"/>
          <w:szCs w:val="20"/>
          <w:lang w:eastAsia="pt-BR"/>
        </w:rPr>
        <w:t xml:space="preserve">, apostando, respectivamente, </w:t>
      </w:r>
      <w:r w:rsidRPr="00896CF1">
        <w:rPr>
          <w:rFonts w:ascii="Times New Roman" w:eastAsia="Times New Roman" w:hAnsi="Times New Roman" w:cs="Times New Roman"/>
          <w:b/>
          <w:bCs/>
          <w:color w:val="1A1A1A"/>
          <w:sz w:val="20"/>
          <w:szCs w:val="20"/>
          <w:lang w:eastAsia="pt-BR"/>
        </w:rPr>
        <w:t>na tradição, coerência e na integridade para conter as “contingências” do Direito, que seduzem os juízes a julgar pragmaticamente</w:t>
      </w:r>
      <w:r>
        <w:rPr>
          <w:rFonts w:ascii="Times New Roman" w:eastAsia="Times New Roman" w:hAnsi="Times New Roman" w:cs="Times New Roman"/>
          <w:color w:val="1A1A1A"/>
          <w:sz w:val="20"/>
          <w:szCs w:val="20"/>
          <w:lang w:eastAsia="pt-BR"/>
        </w:rPr>
        <w:t>.</w:t>
      </w:r>
    </w:p>
    <w:p w14:paraId="25B754EC" w14:textId="77777777" w:rsidR="00426E36" w:rsidRDefault="00426E36" w:rsidP="001D3086">
      <w:pPr>
        <w:spacing w:line="360" w:lineRule="auto"/>
        <w:ind w:firstLine="709"/>
        <w:jc w:val="both"/>
        <w:rPr>
          <w:rFonts w:ascii="Times New Roman" w:hAnsi="Times New Roman" w:cs="Times New Roman"/>
          <w:szCs w:val="24"/>
        </w:rPr>
      </w:pPr>
    </w:p>
    <w:p w14:paraId="6F24DBD3" w14:textId="43336505" w:rsidR="0084210F" w:rsidRDefault="0084210F" w:rsidP="001D3086">
      <w:pPr>
        <w:spacing w:line="360" w:lineRule="auto"/>
        <w:ind w:firstLine="709"/>
        <w:jc w:val="both"/>
        <w:rPr>
          <w:rFonts w:ascii="Times New Roman" w:hAnsi="Times New Roman" w:cs="Times New Roman"/>
          <w:szCs w:val="24"/>
        </w:rPr>
      </w:pPr>
      <w:r>
        <w:rPr>
          <w:rFonts w:ascii="Times New Roman" w:hAnsi="Times New Roman" w:cs="Times New Roman"/>
          <w:szCs w:val="24"/>
        </w:rPr>
        <w:t>Concorre, nesse propósito, a regra do Código de Processo Civil de 2015, com redação de clareza solar:</w:t>
      </w:r>
    </w:p>
    <w:p w14:paraId="170629D3" w14:textId="77777777" w:rsidR="00896CF1" w:rsidRDefault="0084210F" w:rsidP="0084210F">
      <w:pPr>
        <w:spacing w:before="100" w:beforeAutospacing="1" w:after="100" w:afterAutospacing="1" w:line="240" w:lineRule="auto"/>
        <w:ind w:left="2268"/>
        <w:rPr>
          <w:rFonts w:ascii="Times New Roman" w:eastAsia="Times New Roman" w:hAnsi="Times New Roman" w:cs="Times New Roman"/>
          <w:color w:val="000000"/>
          <w:sz w:val="20"/>
          <w:szCs w:val="20"/>
          <w:lang w:eastAsia="pt-BR"/>
        </w:rPr>
      </w:pPr>
      <w:r w:rsidRPr="0084210F">
        <w:rPr>
          <w:rFonts w:ascii="Times New Roman" w:eastAsia="Times New Roman" w:hAnsi="Times New Roman" w:cs="Times New Roman"/>
          <w:color w:val="000000"/>
          <w:sz w:val="20"/>
          <w:szCs w:val="20"/>
          <w:lang w:eastAsia="pt-BR"/>
        </w:rPr>
        <w:t> Art. 926. Os tribunais devem uniformizar sua jurisprudência e mantê-la estável, íntegra e coerente.</w:t>
      </w:r>
      <w:bookmarkStart w:id="4" w:name="art926§1"/>
      <w:bookmarkEnd w:id="4"/>
    </w:p>
    <w:p w14:paraId="0294FDD0" w14:textId="6B863758" w:rsidR="0084210F" w:rsidRPr="0084210F" w:rsidRDefault="0084210F" w:rsidP="0084210F">
      <w:pPr>
        <w:spacing w:before="100" w:beforeAutospacing="1" w:after="100" w:afterAutospacing="1" w:line="240" w:lineRule="auto"/>
        <w:ind w:left="2268"/>
        <w:rPr>
          <w:rFonts w:ascii="Times New Roman" w:eastAsia="Times New Roman" w:hAnsi="Times New Roman" w:cs="Times New Roman"/>
          <w:color w:val="000000"/>
          <w:sz w:val="20"/>
          <w:szCs w:val="20"/>
          <w:lang w:eastAsia="pt-BR"/>
        </w:rPr>
      </w:pPr>
      <w:r w:rsidRPr="0084210F">
        <w:rPr>
          <w:rFonts w:ascii="Times New Roman" w:eastAsia="Times New Roman" w:hAnsi="Times New Roman" w:cs="Times New Roman"/>
          <w:color w:val="000000"/>
          <w:sz w:val="20"/>
          <w:szCs w:val="20"/>
          <w:lang w:eastAsia="pt-BR"/>
        </w:rPr>
        <w:t>§ 1º Na forma estabelecida e segundo os pressupostos fixados no regimento interno, os tribunais editarão enunciados de súmula correspondentes a sua jurisprudência dominante.</w:t>
      </w:r>
    </w:p>
    <w:p w14:paraId="28D9CE2F" w14:textId="77777777" w:rsidR="0084210F" w:rsidRPr="0084210F" w:rsidRDefault="0084210F" w:rsidP="0084210F">
      <w:pPr>
        <w:spacing w:before="100" w:beforeAutospacing="1" w:after="100" w:afterAutospacing="1" w:line="240" w:lineRule="auto"/>
        <w:ind w:left="2268"/>
        <w:rPr>
          <w:rFonts w:ascii="Times New Roman" w:eastAsia="Times New Roman" w:hAnsi="Times New Roman" w:cs="Times New Roman"/>
          <w:color w:val="000000"/>
          <w:sz w:val="20"/>
          <w:szCs w:val="20"/>
          <w:lang w:eastAsia="pt-BR"/>
        </w:rPr>
      </w:pPr>
      <w:bookmarkStart w:id="5" w:name="art926§2"/>
      <w:bookmarkEnd w:id="5"/>
      <w:r w:rsidRPr="0084210F">
        <w:rPr>
          <w:rFonts w:ascii="Times New Roman" w:eastAsia="Times New Roman" w:hAnsi="Times New Roman" w:cs="Times New Roman"/>
          <w:color w:val="000000"/>
          <w:sz w:val="20"/>
          <w:szCs w:val="20"/>
          <w:lang w:eastAsia="pt-BR"/>
        </w:rPr>
        <w:t>§ 2º Ao editar enunciados de súmula, os tribunais devem ater-se às circunstâncias fáticas dos precedentes que motivaram sua criação</w:t>
      </w:r>
    </w:p>
    <w:p w14:paraId="1A5242F1" w14:textId="0884D40C" w:rsidR="0022356C" w:rsidRDefault="00896CF1" w:rsidP="001D3086">
      <w:pPr>
        <w:spacing w:line="360" w:lineRule="auto"/>
        <w:ind w:firstLine="709"/>
        <w:jc w:val="both"/>
        <w:rPr>
          <w:rFonts w:ascii="Times New Roman" w:hAnsi="Times New Roman" w:cs="Times New Roman"/>
          <w:szCs w:val="24"/>
        </w:rPr>
      </w:pPr>
      <w:r>
        <w:rPr>
          <w:rFonts w:ascii="Times New Roman" w:hAnsi="Times New Roman" w:cs="Times New Roman"/>
          <w:szCs w:val="24"/>
        </w:rPr>
        <w:t xml:space="preserve">Sobre sobredito artigo, ensina </w:t>
      </w:r>
      <w:r w:rsidR="00881C4E">
        <w:rPr>
          <w:rFonts w:ascii="Times New Roman" w:hAnsi="Times New Roman" w:cs="Times New Roman"/>
          <w:szCs w:val="24"/>
        </w:rPr>
        <w:t>o professor</w:t>
      </w:r>
      <w:r w:rsidR="0022356C">
        <w:rPr>
          <w:rFonts w:ascii="Times New Roman" w:hAnsi="Times New Roman" w:cs="Times New Roman"/>
          <w:szCs w:val="24"/>
        </w:rPr>
        <w:t xml:space="preserve"> </w:t>
      </w:r>
      <w:proofErr w:type="spellStart"/>
      <w:r w:rsidR="0022356C">
        <w:rPr>
          <w:rFonts w:ascii="Times New Roman" w:hAnsi="Times New Roman" w:cs="Times New Roman"/>
          <w:szCs w:val="24"/>
        </w:rPr>
        <w:t>Lênio</w:t>
      </w:r>
      <w:proofErr w:type="spellEnd"/>
      <w:r w:rsidR="0022356C">
        <w:rPr>
          <w:rFonts w:ascii="Times New Roman" w:hAnsi="Times New Roman" w:cs="Times New Roman"/>
          <w:szCs w:val="24"/>
        </w:rPr>
        <w:t xml:space="preserve"> </w:t>
      </w:r>
      <w:proofErr w:type="spellStart"/>
      <w:r w:rsidR="0022356C">
        <w:rPr>
          <w:rFonts w:ascii="Times New Roman" w:hAnsi="Times New Roman" w:cs="Times New Roman"/>
          <w:szCs w:val="24"/>
        </w:rPr>
        <w:t>Streck</w:t>
      </w:r>
      <w:proofErr w:type="spellEnd"/>
      <w:r>
        <w:rPr>
          <w:rFonts w:ascii="Times New Roman" w:hAnsi="Times New Roman" w:cs="Times New Roman"/>
          <w:szCs w:val="24"/>
        </w:rPr>
        <w:t>, que:</w:t>
      </w:r>
      <w:r w:rsidR="00881C4E">
        <w:rPr>
          <w:rStyle w:val="Refdenotaderodap"/>
          <w:rFonts w:ascii="Times New Roman" w:hAnsi="Times New Roman" w:cs="Times New Roman"/>
          <w:szCs w:val="24"/>
        </w:rPr>
        <w:footnoteReference w:id="6"/>
      </w:r>
    </w:p>
    <w:p w14:paraId="18CF9099" w14:textId="1CB68EA5" w:rsidR="0022356C" w:rsidRPr="0022356C" w:rsidRDefault="0022356C" w:rsidP="0022356C">
      <w:pPr>
        <w:shd w:val="clear" w:color="auto" w:fill="FFFFFF"/>
        <w:spacing w:before="100" w:beforeAutospacing="1" w:after="100" w:afterAutospacing="1" w:line="240" w:lineRule="auto"/>
        <w:ind w:left="2268"/>
        <w:jc w:val="both"/>
        <w:rPr>
          <w:rFonts w:ascii="Times New Roman" w:eastAsia="Times New Roman" w:hAnsi="Times New Roman" w:cs="Times New Roman"/>
          <w:color w:val="1A1A1A"/>
          <w:sz w:val="20"/>
          <w:szCs w:val="20"/>
          <w:lang w:eastAsia="pt-BR"/>
        </w:rPr>
      </w:pPr>
      <w:r w:rsidRPr="0022356C">
        <w:rPr>
          <w:rFonts w:ascii="Times New Roman" w:eastAsia="Times New Roman" w:hAnsi="Times New Roman" w:cs="Times New Roman"/>
          <w:color w:val="1A1A1A"/>
          <w:sz w:val="20"/>
          <w:szCs w:val="20"/>
          <w:lang w:eastAsia="pt-BR"/>
        </w:rPr>
        <w:t xml:space="preserve">Pois é sobre o artigo 926 que recai uma carga epistêmica de infinito valor. Por várias razões. Primeiro, porque um modo de evitar a jurisprudência lotérica é exigir coerência e integridade; </w:t>
      </w:r>
      <w:proofErr w:type="gramStart"/>
      <w:r w:rsidRPr="0022356C">
        <w:rPr>
          <w:rFonts w:ascii="Times New Roman" w:eastAsia="Times New Roman" w:hAnsi="Times New Roman" w:cs="Times New Roman"/>
          <w:color w:val="1A1A1A"/>
          <w:sz w:val="20"/>
          <w:szCs w:val="20"/>
          <w:lang w:eastAsia="pt-BR"/>
        </w:rPr>
        <w:t>segundo,</w:t>
      </w:r>
      <w:r w:rsidR="00FE6288">
        <w:rPr>
          <w:rFonts w:ascii="Times New Roman" w:eastAsia="Times New Roman" w:hAnsi="Times New Roman" w:cs="Times New Roman"/>
          <w:color w:val="1A1A1A"/>
          <w:sz w:val="20"/>
          <w:szCs w:val="20"/>
          <w:lang w:eastAsia="pt-BR"/>
        </w:rPr>
        <w:t xml:space="preserve"> </w:t>
      </w:r>
      <w:r w:rsidRPr="0022356C">
        <w:rPr>
          <w:rFonts w:ascii="Times New Roman" w:eastAsia="Times New Roman" w:hAnsi="Times New Roman" w:cs="Times New Roman"/>
          <w:color w:val="1A1A1A"/>
          <w:sz w:val="20"/>
          <w:szCs w:val="20"/>
          <w:lang w:eastAsia="pt-BR"/>
        </w:rPr>
        <w:t>a</w:t>
      </w:r>
      <w:proofErr w:type="gramEnd"/>
      <w:r w:rsidRPr="0022356C">
        <w:rPr>
          <w:rFonts w:ascii="Times New Roman" w:eastAsia="Times New Roman" w:hAnsi="Times New Roman" w:cs="Times New Roman"/>
          <w:color w:val="1A1A1A"/>
          <w:sz w:val="20"/>
          <w:szCs w:val="20"/>
          <w:lang w:eastAsia="pt-BR"/>
        </w:rPr>
        <w:t xml:space="preserve"> garantia da previsibilidade e da não surpresa; terceira, o dever de </w:t>
      </w:r>
      <w:proofErr w:type="spellStart"/>
      <w:r w:rsidRPr="0022356C">
        <w:rPr>
          <w:rFonts w:ascii="Times New Roman" w:eastAsia="Times New Roman" w:hAnsi="Times New Roman" w:cs="Times New Roman"/>
          <w:i/>
          <w:iCs/>
          <w:color w:val="1A1A1A"/>
          <w:sz w:val="20"/>
          <w:szCs w:val="20"/>
          <w:lang w:eastAsia="pt-BR"/>
        </w:rPr>
        <w:t>accountability</w:t>
      </w:r>
      <w:proofErr w:type="spellEnd"/>
      <w:r w:rsidRPr="0022356C">
        <w:rPr>
          <w:rFonts w:ascii="Times New Roman" w:eastAsia="Times New Roman" w:hAnsi="Times New Roman" w:cs="Times New Roman"/>
          <w:color w:val="1A1A1A"/>
          <w:sz w:val="20"/>
          <w:szCs w:val="20"/>
          <w:lang w:eastAsia="pt-BR"/>
        </w:rPr>
        <w:t> em relação à Constituição, justamente ao artigo 93, IX. E um quinto elemento: o Supremo Tribunal Federal deve também manter a coerência e integridade nas suas próprias decisões. Em todas. Nesse sentido, cresce igualmente o papel do STJ, </w:t>
      </w:r>
      <w:proofErr w:type="spellStart"/>
      <w:r w:rsidRPr="0022356C">
        <w:rPr>
          <w:rFonts w:ascii="Times New Roman" w:eastAsia="Times New Roman" w:hAnsi="Times New Roman" w:cs="Times New Roman"/>
          <w:i/>
          <w:iCs/>
          <w:color w:val="1A1A1A"/>
          <w:sz w:val="20"/>
          <w:szCs w:val="20"/>
          <w:lang w:eastAsia="pt-BR"/>
        </w:rPr>
        <w:t>locus</w:t>
      </w:r>
      <w:proofErr w:type="spellEnd"/>
      <w:r w:rsidRPr="0022356C">
        <w:rPr>
          <w:rFonts w:ascii="Times New Roman" w:eastAsia="Times New Roman" w:hAnsi="Times New Roman" w:cs="Times New Roman"/>
          <w:color w:val="1A1A1A"/>
          <w:sz w:val="20"/>
          <w:szCs w:val="20"/>
          <w:lang w:eastAsia="pt-BR"/>
        </w:rPr>
        <w:t> da unificação do Direito infraconstitucional.</w:t>
      </w:r>
    </w:p>
    <w:p w14:paraId="6DEAFDB8" w14:textId="77777777" w:rsidR="0022356C" w:rsidRPr="0022356C" w:rsidRDefault="0022356C" w:rsidP="0022356C">
      <w:pPr>
        <w:shd w:val="clear" w:color="auto" w:fill="FFFFFF"/>
        <w:spacing w:before="100" w:beforeAutospacing="1" w:after="100" w:afterAutospacing="1" w:line="240" w:lineRule="auto"/>
        <w:ind w:left="2268"/>
        <w:jc w:val="both"/>
        <w:rPr>
          <w:rFonts w:ascii="Times New Roman" w:eastAsia="Times New Roman" w:hAnsi="Times New Roman" w:cs="Times New Roman"/>
          <w:color w:val="1A1A1A"/>
          <w:sz w:val="20"/>
          <w:szCs w:val="20"/>
          <w:lang w:eastAsia="pt-BR"/>
        </w:rPr>
      </w:pPr>
      <w:r w:rsidRPr="0022356C">
        <w:rPr>
          <w:rFonts w:ascii="Times New Roman" w:eastAsia="Times New Roman" w:hAnsi="Times New Roman" w:cs="Times New Roman"/>
          <w:b/>
          <w:bCs/>
          <w:color w:val="1A1A1A"/>
          <w:sz w:val="20"/>
          <w:szCs w:val="20"/>
          <w:lang w:eastAsia="pt-BR"/>
        </w:rPr>
        <w:lastRenderedPageBreak/>
        <w:t>Conceitualmente: haverá </w:t>
      </w:r>
      <w:r w:rsidRPr="0022356C">
        <w:rPr>
          <w:rFonts w:ascii="Times New Roman" w:eastAsia="Times New Roman" w:hAnsi="Times New Roman" w:cs="Times New Roman"/>
          <w:b/>
          <w:bCs/>
          <w:i/>
          <w:iCs/>
          <w:color w:val="1A1A1A"/>
          <w:sz w:val="20"/>
          <w:szCs w:val="20"/>
          <w:lang w:eastAsia="pt-BR"/>
        </w:rPr>
        <w:t>coe</w:t>
      </w:r>
      <w:r w:rsidRPr="0022356C">
        <w:rPr>
          <w:rFonts w:ascii="Times New Roman" w:eastAsia="Times New Roman" w:hAnsi="Times New Roman" w:cs="Times New Roman"/>
          <w:b/>
          <w:bCs/>
          <w:i/>
          <w:iCs/>
          <w:color w:val="1A1A1A"/>
          <w:sz w:val="20"/>
          <w:szCs w:val="20"/>
          <w:lang w:eastAsia="pt-BR"/>
        </w:rPr>
        <w:softHyphen/>
        <w:t>rên</w:t>
      </w:r>
      <w:r w:rsidRPr="0022356C">
        <w:rPr>
          <w:rFonts w:ascii="Times New Roman" w:eastAsia="Times New Roman" w:hAnsi="Times New Roman" w:cs="Times New Roman"/>
          <w:b/>
          <w:bCs/>
          <w:i/>
          <w:iCs/>
          <w:color w:val="1A1A1A"/>
          <w:sz w:val="20"/>
          <w:szCs w:val="20"/>
          <w:lang w:eastAsia="pt-BR"/>
        </w:rPr>
        <w:softHyphen/>
        <w:t>cia</w:t>
      </w:r>
      <w:r w:rsidRPr="0022356C">
        <w:rPr>
          <w:rFonts w:ascii="Times New Roman" w:eastAsia="Times New Roman" w:hAnsi="Times New Roman" w:cs="Times New Roman"/>
          <w:b/>
          <w:bCs/>
          <w:color w:val="1A1A1A"/>
          <w:sz w:val="20"/>
          <w:szCs w:val="20"/>
          <w:lang w:eastAsia="pt-BR"/>
        </w:rPr>
        <w:t> se os mes</w:t>
      </w:r>
      <w:r w:rsidRPr="0022356C">
        <w:rPr>
          <w:rFonts w:ascii="Times New Roman" w:eastAsia="Times New Roman" w:hAnsi="Times New Roman" w:cs="Times New Roman"/>
          <w:b/>
          <w:bCs/>
          <w:color w:val="1A1A1A"/>
          <w:sz w:val="20"/>
          <w:szCs w:val="20"/>
          <w:lang w:eastAsia="pt-BR"/>
        </w:rPr>
        <w:softHyphen/>
        <w:t>mos preceitos e prin</w:t>
      </w:r>
      <w:r w:rsidRPr="0022356C">
        <w:rPr>
          <w:rFonts w:ascii="Times New Roman" w:eastAsia="Times New Roman" w:hAnsi="Times New Roman" w:cs="Times New Roman"/>
          <w:b/>
          <w:bCs/>
          <w:color w:val="1A1A1A"/>
          <w:sz w:val="20"/>
          <w:szCs w:val="20"/>
          <w:lang w:eastAsia="pt-BR"/>
        </w:rPr>
        <w:softHyphen/>
        <w:t>cí</w:t>
      </w:r>
      <w:r w:rsidRPr="0022356C">
        <w:rPr>
          <w:rFonts w:ascii="Times New Roman" w:eastAsia="Times New Roman" w:hAnsi="Times New Roman" w:cs="Times New Roman"/>
          <w:b/>
          <w:bCs/>
          <w:color w:val="1A1A1A"/>
          <w:sz w:val="20"/>
          <w:szCs w:val="20"/>
          <w:lang w:eastAsia="pt-BR"/>
        </w:rPr>
        <w:softHyphen/>
        <w:t>pios que foram apli</w:t>
      </w:r>
      <w:r w:rsidRPr="0022356C">
        <w:rPr>
          <w:rFonts w:ascii="Times New Roman" w:eastAsia="Times New Roman" w:hAnsi="Times New Roman" w:cs="Times New Roman"/>
          <w:b/>
          <w:bCs/>
          <w:color w:val="1A1A1A"/>
          <w:sz w:val="20"/>
          <w:szCs w:val="20"/>
          <w:lang w:eastAsia="pt-BR"/>
        </w:rPr>
        <w:softHyphen/>
        <w:t>ca</w:t>
      </w:r>
      <w:r w:rsidRPr="0022356C">
        <w:rPr>
          <w:rFonts w:ascii="Times New Roman" w:eastAsia="Times New Roman" w:hAnsi="Times New Roman" w:cs="Times New Roman"/>
          <w:b/>
          <w:bCs/>
          <w:color w:val="1A1A1A"/>
          <w:sz w:val="20"/>
          <w:szCs w:val="20"/>
          <w:lang w:eastAsia="pt-BR"/>
        </w:rPr>
        <w:softHyphen/>
        <w:t>dos nas deci</w:t>
      </w:r>
      <w:r w:rsidRPr="0022356C">
        <w:rPr>
          <w:rFonts w:ascii="Times New Roman" w:eastAsia="Times New Roman" w:hAnsi="Times New Roman" w:cs="Times New Roman"/>
          <w:b/>
          <w:bCs/>
          <w:color w:val="1A1A1A"/>
          <w:sz w:val="20"/>
          <w:szCs w:val="20"/>
          <w:lang w:eastAsia="pt-BR"/>
        </w:rPr>
        <w:softHyphen/>
        <w:t>sões o forem para os casos idên</w:t>
      </w:r>
      <w:r w:rsidRPr="0022356C">
        <w:rPr>
          <w:rFonts w:ascii="Times New Roman" w:eastAsia="Times New Roman" w:hAnsi="Times New Roman" w:cs="Times New Roman"/>
          <w:b/>
          <w:bCs/>
          <w:color w:val="1A1A1A"/>
          <w:sz w:val="20"/>
          <w:szCs w:val="20"/>
          <w:lang w:eastAsia="pt-BR"/>
        </w:rPr>
        <w:softHyphen/>
        <w:t>ti</w:t>
      </w:r>
      <w:r w:rsidRPr="0022356C">
        <w:rPr>
          <w:rFonts w:ascii="Times New Roman" w:eastAsia="Times New Roman" w:hAnsi="Times New Roman" w:cs="Times New Roman"/>
          <w:b/>
          <w:bCs/>
          <w:color w:val="1A1A1A"/>
          <w:sz w:val="20"/>
          <w:szCs w:val="20"/>
          <w:lang w:eastAsia="pt-BR"/>
        </w:rPr>
        <w:softHyphen/>
        <w:t>cos; mais do que isso, esta</w:t>
      </w:r>
      <w:r w:rsidRPr="0022356C">
        <w:rPr>
          <w:rFonts w:ascii="Times New Roman" w:eastAsia="Times New Roman" w:hAnsi="Times New Roman" w:cs="Times New Roman"/>
          <w:b/>
          <w:bCs/>
          <w:color w:val="1A1A1A"/>
          <w:sz w:val="20"/>
          <w:szCs w:val="20"/>
          <w:lang w:eastAsia="pt-BR"/>
        </w:rPr>
        <w:softHyphen/>
        <w:t>rá asse</w:t>
      </w:r>
      <w:r w:rsidRPr="0022356C">
        <w:rPr>
          <w:rFonts w:ascii="Times New Roman" w:eastAsia="Times New Roman" w:hAnsi="Times New Roman" w:cs="Times New Roman"/>
          <w:b/>
          <w:bCs/>
          <w:color w:val="1A1A1A"/>
          <w:sz w:val="20"/>
          <w:szCs w:val="20"/>
          <w:lang w:eastAsia="pt-BR"/>
        </w:rPr>
        <w:softHyphen/>
        <w:t>gu</w:t>
      </w:r>
      <w:r w:rsidRPr="0022356C">
        <w:rPr>
          <w:rFonts w:ascii="Times New Roman" w:eastAsia="Times New Roman" w:hAnsi="Times New Roman" w:cs="Times New Roman"/>
          <w:b/>
          <w:bCs/>
          <w:color w:val="1A1A1A"/>
          <w:sz w:val="20"/>
          <w:szCs w:val="20"/>
          <w:lang w:eastAsia="pt-BR"/>
        </w:rPr>
        <w:softHyphen/>
        <w:t>ra</w:t>
      </w:r>
      <w:r w:rsidRPr="0022356C">
        <w:rPr>
          <w:rFonts w:ascii="Times New Roman" w:eastAsia="Times New Roman" w:hAnsi="Times New Roman" w:cs="Times New Roman"/>
          <w:b/>
          <w:bCs/>
          <w:color w:val="1A1A1A"/>
          <w:sz w:val="20"/>
          <w:szCs w:val="20"/>
          <w:lang w:eastAsia="pt-BR"/>
        </w:rPr>
        <w:softHyphen/>
        <w:t>da a inte</w:t>
      </w:r>
      <w:r w:rsidRPr="0022356C">
        <w:rPr>
          <w:rFonts w:ascii="Times New Roman" w:eastAsia="Times New Roman" w:hAnsi="Times New Roman" w:cs="Times New Roman"/>
          <w:b/>
          <w:bCs/>
          <w:color w:val="1A1A1A"/>
          <w:sz w:val="20"/>
          <w:szCs w:val="20"/>
          <w:lang w:eastAsia="pt-BR"/>
        </w:rPr>
        <w:softHyphen/>
        <w:t>gri</w:t>
      </w:r>
      <w:r w:rsidRPr="0022356C">
        <w:rPr>
          <w:rFonts w:ascii="Times New Roman" w:eastAsia="Times New Roman" w:hAnsi="Times New Roman" w:cs="Times New Roman"/>
          <w:b/>
          <w:bCs/>
          <w:color w:val="1A1A1A"/>
          <w:sz w:val="20"/>
          <w:szCs w:val="20"/>
          <w:lang w:eastAsia="pt-BR"/>
        </w:rPr>
        <w:softHyphen/>
        <w:t>da</w:t>
      </w:r>
      <w:r w:rsidRPr="0022356C">
        <w:rPr>
          <w:rFonts w:ascii="Times New Roman" w:eastAsia="Times New Roman" w:hAnsi="Times New Roman" w:cs="Times New Roman"/>
          <w:b/>
          <w:bCs/>
          <w:color w:val="1A1A1A"/>
          <w:sz w:val="20"/>
          <w:szCs w:val="20"/>
          <w:lang w:eastAsia="pt-BR"/>
        </w:rPr>
        <w:softHyphen/>
        <w:t>de do Direi</w:t>
      </w:r>
      <w:r w:rsidRPr="0022356C">
        <w:rPr>
          <w:rFonts w:ascii="Times New Roman" w:eastAsia="Times New Roman" w:hAnsi="Times New Roman" w:cs="Times New Roman"/>
          <w:b/>
          <w:bCs/>
          <w:color w:val="1A1A1A"/>
          <w:sz w:val="20"/>
          <w:szCs w:val="20"/>
          <w:lang w:eastAsia="pt-BR"/>
        </w:rPr>
        <w:softHyphen/>
        <w:t>to a par</w:t>
      </w:r>
      <w:r w:rsidRPr="0022356C">
        <w:rPr>
          <w:rFonts w:ascii="Times New Roman" w:eastAsia="Times New Roman" w:hAnsi="Times New Roman" w:cs="Times New Roman"/>
          <w:b/>
          <w:bCs/>
          <w:color w:val="1A1A1A"/>
          <w:sz w:val="20"/>
          <w:szCs w:val="20"/>
          <w:lang w:eastAsia="pt-BR"/>
        </w:rPr>
        <w:softHyphen/>
        <w:t>tir da </w:t>
      </w:r>
      <w:r w:rsidRPr="0022356C">
        <w:rPr>
          <w:rFonts w:ascii="Times New Roman" w:eastAsia="Times New Roman" w:hAnsi="Times New Roman" w:cs="Times New Roman"/>
          <w:b/>
          <w:bCs/>
          <w:i/>
          <w:iCs/>
          <w:color w:val="1A1A1A"/>
          <w:sz w:val="20"/>
          <w:szCs w:val="20"/>
          <w:lang w:eastAsia="pt-BR"/>
        </w:rPr>
        <w:t>força nor</w:t>
      </w:r>
      <w:r w:rsidRPr="0022356C">
        <w:rPr>
          <w:rFonts w:ascii="Times New Roman" w:eastAsia="Times New Roman" w:hAnsi="Times New Roman" w:cs="Times New Roman"/>
          <w:b/>
          <w:bCs/>
          <w:i/>
          <w:iCs/>
          <w:color w:val="1A1A1A"/>
          <w:sz w:val="20"/>
          <w:szCs w:val="20"/>
          <w:lang w:eastAsia="pt-BR"/>
        </w:rPr>
        <w:softHyphen/>
        <w:t>ma</w:t>
      </w:r>
      <w:r w:rsidRPr="0022356C">
        <w:rPr>
          <w:rFonts w:ascii="Times New Roman" w:eastAsia="Times New Roman" w:hAnsi="Times New Roman" w:cs="Times New Roman"/>
          <w:b/>
          <w:bCs/>
          <w:i/>
          <w:iCs/>
          <w:color w:val="1A1A1A"/>
          <w:sz w:val="20"/>
          <w:szCs w:val="20"/>
          <w:lang w:eastAsia="pt-BR"/>
        </w:rPr>
        <w:softHyphen/>
        <w:t>ti</w:t>
      </w:r>
      <w:r w:rsidRPr="0022356C">
        <w:rPr>
          <w:rFonts w:ascii="Times New Roman" w:eastAsia="Times New Roman" w:hAnsi="Times New Roman" w:cs="Times New Roman"/>
          <w:b/>
          <w:bCs/>
          <w:i/>
          <w:iCs/>
          <w:color w:val="1A1A1A"/>
          <w:sz w:val="20"/>
          <w:szCs w:val="20"/>
          <w:lang w:eastAsia="pt-BR"/>
        </w:rPr>
        <w:softHyphen/>
        <w:t>va</w:t>
      </w:r>
      <w:r w:rsidRPr="0022356C">
        <w:rPr>
          <w:rFonts w:ascii="Times New Roman" w:eastAsia="Times New Roman" w:hAnsi="Times New Roman" w:cs="Times New Roman"/>
          <w:b/>
          <w:bCs/>
          <w:color w:val="1A1A1A"/>
          <w:sz w:val="20"/>
          <w:szCs w:val="20"/>
          <w:lang w:eastAsia="pt-BR"/>
        </w:rPr>
        <w:t> da Constituição. A </w:t>
      </w:r>
      <w:r w:rsidRPr="0022356C">
        <w:rPr>
          <w:rFonts w:ascii="Times New Roman" w:eastAsia="Times New Roman" w:hAnsi="Times New Roman" w:cs="Times New Roman"/>
          <w:b/>
          <w:bCs/>
          <w:i/>
          <w:iCs/>
          <w:color w:val="1A1A1A"/>
          <w:sz w:val="20"/>
          <w:szCs w:val="20"/>
          <w:lang w:eastAsia="pt-BR"/>
        </w:rPr>
        <w:t>coe</w:t>
      </w:r>
      <w:r w:rsidRPr="0022356C">
        <w:rPr>
          <w:rFonts w:ascii="Times New Roman" w:eastAsia="Times New Roman" w:hAnsi="Times New Roman" w:cs="Times New Roman"/>
          <w:b/>
          <w:bCs/>
          <w:i/>
          <w:iCs/>
          <w:color w:val="1A1A1A"/>
          <w:sz w:val="20"/>
          <w:szCs w:val="20"/>
          <w:lang w:eastAsia="pt-BR"/>
        </w:rPr>
        <w:softHyphen/>
        <w:t>rên</w:t>
      </w:r>
      <w:r w:rsidRPr="0022356C">
        <w:rPr>
          <w:rFonts w:ascii="Times New Roman" w:eastAsia="Times New Roman" w:hAnsi="Times New Roman" w:cs="Times New Roman"/>
          <w:b/>
          <w:bCs/>
          <w:i/>
          <w:iCs/>
          <w:color w:val="1A1A1A"/>
          <w:sz w:val="20"/>
          <w:szCs w:val="20"/>
          <w:lang w:eastAsia="pt-BR"/>
        </w:rPr>
        <w:softHyphen/>
        <w:t>cia</w:t>
      </w:r>
      <w:r w:rsidRPr="0022356C">
        <w:rPr>
          <w:rFonts w:ascii="Times New Roman" w:eastAsia="Times New Roman" w:hAnsi="Times New Roman" w:cs="Times New Roman"/>
          <w:b/>
          <w:bCs/>
          <w:color w:val="1A1A1A"/>
          <w:sz w:val="20"/>
          <w:szCs w:val="20"/>
          <w:lang w:eastAsia="pt-BR"/>
        </w:rPr>
        <w:t> asse</w:t>
      </w:r>
      <w:r w:rsidRPr="0022356C">
        <w:rPr>
          <w:rFonts w:ascii="Times New Roman" w:eastAsia="Times New Roman" w:hAnsi="Times New Roman" w:cs="Times New Roman"/>
          <w:b/>
          <w:bCs/>
          <w:color w:val="1A1A1A"/>
          <w:sz w:val="20"/>
          <w:szCs w:val="20"/>
          <w:lang w:eastAsia="pt-BR"/>
        </w:rPr>
        <w:softHyphen/>
        <w:t>gu</w:t>
      </w:r>
      <w:r w:rsidRPr="0022356C">
        <w:rPr>
          <w:rFonts w:ascii="Times New Roman" w:eastAsia="Times New Roman" w:hAnsi="Times New Roman" w:cs="Times New Roman"/>
          <w:b/>
          <w:bCs/>
          <w:color w:val="1A1A1A"/>
          <w:sz w:val="20"/>
          <w:szCs w:val="20"/>
          <w:lang w:eastAsia="pt-BR"/>
        </w:rPr>
        <w:softHyphen/>
        <w:t>ra a igual</w:t>
      </w:r>
      <w:r w:rsidRPr="0022356C">
        <w:rPr>
          <w:rFonts w:ascii="Times New Roman" w:eastAsia="Times New Roman" w:hAnsi="Times New Roman" w:cs="Times New Roman"/>
          <w:b/>
          <w:bCs/>
          <w:color w:val="1A1A1A"/>
          <w:sz w:val="20"/>
          <w:szCs w:val="20"/>
          <w:lang w:eastAsia="pt-BR"/>
        </w:rPr>
        <w:softHyphen/>
        <w:t>da</w:t>
      </w:r>
      <w:r w:rsidRPr="0022356C">
        <w:rPr>
          <w:rFonts w:ascii="Times New Roman" w:eastAsia="Times New Roman" w:hAnsi="Times New Roman" w:cs="Times New Roman"/>
          <w:b/>
          <w:bCs/>
          <w:color w:val="1A1A1A"/>
          <w:sz w:val="20"/>
          <w:szCs w:val="20"/>
          <w:lang w:eastAsia="pt-BR"/>
        </w:rPr>
        <w:softHyphen/>
        <w:t>de, isto é, que os diver</w:t>
      </w:r>
      <w:r w:rsidRPr="0022356C">
        <w:rPr>
          <w:rFonts w:ascii="Times New Roman" w:eastAsia="Times New Roman" w:hAnsi="Times New Roman" w:cs="Times New Roman"/>
          <w:b/>
          <w:bCs/>
          <w:color w:val="1A1A1A"/>
          <w:sz w:val="20"/>
          <w:szCs w:val="20"/>
          <w:lang w:eastAsia="pt-BR"/>
        </w:rPr>
        <w:softHyphen/>
        <w:t>sos casos terão a igual con</w:t>
      </w:r>
      <w:r w:rsidRPr="0022356C">
        <w:rPr>
          <w:rFonts w:ascii="Times New Roman" w:eastAsia="Times New Roman" w:hAnsi="Times New Roman" w:cs="Times New Roman"/>
          <w:b/>
          <w:bCs/>
          <w:color w:val="1A1A1A"/>
          <w:sz w:val="20"/>
          <w:szCs w:val="20"/>
          <w:lang w:eastAsia="pt-BR"/>
        </w:rPr>
        <w:softHyphen/>
        <w:t>si</w:t>
      </w:r>
      <w:r w:rsidRPr="0022356C">
        <w:rPr>
          <w:rFonts w:ascii="Times New Roman" w:eastAsia="Times New Roman" w:hAnsi="Times New Roman" w:cs="Times New Roman"/>
          <w:b/>
          <w:bCs/>
          <w:color w:val="1A1A1A"/>
          <w:sz w:val="20"/>
          <w:szCs w:val="20"/>
          <w:lang w:eastAsia="pt-BR"/>
        </w:rPr>
        <w:softHyphen/>
        <w:t>de</w:t>
      </w:r>
      <w:r w:rsidRPr="0022356C">
        <w:rPr>
          <w:rFonts w:ascii="Times New Roman" w:eastAsia="Times New Roman" w:hAnsi="Times New Roman" w:cs="Times New Roman"/>
          <w:b/>
          <w:bCs/>
          <w:color w:val="1A1A1A"/>
          <w:sz w:val="20"/>
          <w:szCs w:val="20"/>
          <w:lang w:eastAsia="pt-BR"/>
        </w:rPr>
        <w:softHyphen/>
        <w:t>ra</w:t>
      </w:r>
      <w:r w:rsidRPr="0022356C">
        <w:rPr>
          <w:rFonts w:ascii="Times New Roman" w:eastAsia="Times New Roman" w:hAnsi="Times New Roman" w:cs="Times New Roman"/>
          <w:b/>
          <w:bCs/>
          <w:color w:val="1A1A1A"/>
          <w:sz w:val="20"/>
          <w:szCs w:val="20"/>
          <w:lang w:eastAsia="pt-BR"/>
        </w:rPr>
        <w:softHyphen/>
        <w:t>ção por parte do Poder Judiciário</w:t>
      </w:r>
      <w:r w:rsidRPr="0022356C">
        <w:rPr>
          <w:rFonts w:ascii="Times New Roman" w:eastAsia="Times New Roman" w:hAnsi="Times New Roman" w:cs="Times New Roman"/>
          <w:color w:val="1A1A1A"/>
          <w:sz w:val="20"/>
          <w:szCs w:val="20"/>
          <w:lang w:eastAsia="pt-BR"/>
        </w:rPr>
        <w:t>. Isso somen</w:t>
      </w:r>
      <w:r w:rsidRPr="0022356C">
        <w:rPr>
          <w:rFonts w:ascii="Times New Roman" w:eastAsia="Times New Roman" w:hAnsi="Times New Roman" w:cs="Times New Roman"/>
          <w:color w:val="1A1A1A"/>
          <w:sz w:val="20"/>
          <w:szCs w:val="20"/>
          <w:lang w:eastAsia="pt-BR"/>
        </w:rPr>
        <w:softHyphen/>
        <w:t>te pode ser alcan</w:t>
      </w:r>
      <w:r w:rsidRPr="0022356C">
        <w:rPr>
          <w:rFonts w:ascii="Times New Roman" w:eastAsia="Times New Roman" w:hAnsi="Times New Roman" w:cs="Times New Roman"/>
          <w:color w:val="1A1A1A"/>
          <w:sz w:val="20"/>
          <w:szCs w:val="20"/>
          <w:lang w:eastAsia="pt-BR"/>
        </w:rPr>
        <w:softHyphen/>
        <w:t>ça</w:t>
      </w:r>
      <w:r w:rsidRPr="0022356C">
        <w:rPr>
          <w:rFonts w:ascii="Times New Roman" w:eastAsia="Times New Roman" w:hAnsi="Times New Roman" w:cs="Times New Roman"/>
          <w:color w:val="1A1A1A"/>
          <w:sz w:val="20"/>
          <w:szCs w:val="20"/>
          <w:lang w:eastAsia="pt-BR"/>
        </w:rPr>
        <w:softHyphen/>
        <w:t>do por meio de um holis</w:t>
      </w:r>
      <w:r w:rsidRPr="0022356C">
        <w:rPr>
          <w:rFonts w:ascii="Times New Roman" w:eastAsia="Times New Roman" w:hAnsi="Times New Roman" w:cs="Times New Roman"/>
          <w:color w:val="1A1A1A"/>
          <w:sz w:val="20"/>
          <w:szCs w:val="20"/>
          <w:lang w:eastAsia="pt-BR"/>
        </w:rPr>
        <w:softHyphen/>
        <w:t>mo inter</w:t>
      </w:r>
      <w:r w:rsidRPr="0022356C">
        <w:rPr>
          <w:rFonts w:ascii="Times New Roman" w:eastAsia="Times New Roman" w:hAnsi="Times New Roman" w:cs="Times New Roman"/>
          <w:color w:val="1A1A1A"/>
          <w:sz w:val="20"/>
          <w:szCs w:val="20"/>
          <w:lang w:eastAsia="pt-BR"/>
        </w:rPr>
        <w:softHyphen/>
        <w:t>pre</w:t>
      </w:r>
      <w:r w:rsidRPr="0022356C">
        <w:rPr>
          <w:rFonts w:ascii="Times New Roman" w:eastAsia="Times New Roman" w:hAnsi="Times New Roman" w:cs="Times New Roman"/>
          <w:color w:val="1A1A1A"/>
          <w:sz w:val="20"/>
          <w:szCs w:val="20"/>
          <w:lang w:eastAsia="pt-BR"/>
        </w:rPr>
        <w:softHyphen/>
        <w:t>ta</w:t>
      </w:r>
      <w:r w:rsidRPr="0022356C">
        <w:rPr>
          <w:rFonts w:ascii="Times New Roman" w:eastAsia="Times New Roman" w:hAnsi="Times New Roman" w:cs="Times New Roman"/>
          <w:color w:val="1A1A1A"/>
          <w:sz w:val="20"/>
          <w:szCs w:val="20"/>
          <w:lang w:eastAsia="pt-BR"/>
        </w:rPr>
        <w:softHyphen/>
        <w:t>ti</w:t>
      </w:r>
      <w:r w:rsidRPr="0022356C">
        <w:rPr>
          <w:rFonts w:ascii="Times New Roman" w:eastAsia="Times New Roman" w:hAnsi="Times New Roman" w:cs="Times New Roman"/>
          <w:color w:val="1A1A1A"/>
          <w:sz w:val="20"/>
          <w:szCs w:val="20"/>
          <w:lang w:eastAsia="pt-BR"/>
        </w:rPr>
        <w:softHyphen/>
        <w:t>vo, cons</w:t>
      </w:r>
      <w:r w:rsidRPr="0022356C">
        <w:rPr>
          <w:rFonts w:ascii="Times New Roman" w:eastAsia="Times New Roman" w:hAnsi="Times New Roman" w:cs="Times New Roman"/>
          <w:color w:val="1A1A1A"/>
          <w:sz w:val="20"/>
          <w:szCs w:val="20"/>
          <w:lang w:eastAsia="pt-BR"/>
        </w:rPr>
        <w:softHyphen/>
        <w:t>ti</w:t>
      </w:r>
      <w:r w:rsidRPr="0022356C">
        <w:rPr>
          <w:rFonts w:ascii="Times New Roman" w:eastAsia="Times New Roman" w:hAnsi="Times New Roman" w:cs="Times New Roman"/>
          <w:color w:val="1A1A1A"/>
          <w:sz w:val="20"/>
          <w:szCs w:val="20"/>
          <w:lang w:eastAsia="pt-BR"/>
        </w:rPr>
        <w:softHyphen/>
        <w:t>tuí</w:t>
      </w:r>
      <w:r w:rsidRPr="0022356C">
        <w:rPr>
          <w:rFonts w:ascii="Times New Roman" w:eastAsia="Times New Roman" w:hAnsi="Times New Roman" w:cs="Times New Roman"/>
          <w:color w:val="1A1A1A"/>
          <w:sz w:val="20"/>
          <w:szCs w:val="20"/>
          <w:lang w:eastAsia="pt-BR"/>
        </w:rPr>
        <w:softHyphen/>
        <w:t>do a par</w:t>
      </w:r>
      <w:r w:rsidRPr="0022356C">
        <w:rPr>
          <w:rFonts w:ascii="Times New Roman" w:eastAsia="Times New Roman" w:hAnsi="Times New Roman" w:cs="Times New Roman"/>
          <w:color w:val="1A1A1A"/>
          <w:sz w:val="20"/>
          <w:szCs w:val="20"/>
          <w:lang w:eastAsia="pt-BR"/>
        </w:rPr>
        <w:softHyphen/>
        <w:t>tir de uma circularidade her</w:t>
      </w:r>
      <w:r w:rsidRPr="0022356C">
        <w:rPr>
          <w:rFonts w:ascii="Times New Roman" w:eastAsia="Times New Roman" w:hAnsi="Times New Roman" w:cs="Times New Roman"/>
          <w:color w:val="1A1A1A"/>
          <w:sz w:val="20"/>
          <w:szCs w:val="20"/>
          <w:lang w:eastAsia="pt-BR"/>
        </w:rPr>
        <w:softHyphen/>
        <w:t>me</w:t>
      </w:r>
      <w:r w:rsidRPr="0022356C">
        <w:rPr>
          <w:rFonts w:ascii="Times New Roman" w:eastAsia="Times New Roman" w:hAnsi="Times New Roman" w:cs="Times New Roman"/>
          <w:color w:val="1A1A1A"/>
          <w:sz w:val="20"/>
          <w:szCs w:val="20"/>
          <w:lang w:eastAsia="pt-BR"/>
        </w:rPr>
        <w:softHyphen/>
        <w:t>nêu</w:t>
      </w:r>
      <w:r w:rsidRPr="0022356C">
        <w:rPr>
          <w:rFonts w:ascii="Times New Roman" w:eastAsia="Times New Roman" w:hAnsi="Times New Roman" w:cs="Times New Roman"/>
          <w:color w:val="1A1A1A"/>
          <w:sz w:val="20"/>
          <w:szCs w:val="20"/>
          <w:lang w:eastAsia="pt-BR"/>
        </w:rPr>
        <w:softHyphen/>
        <w:t>ti</w:t>
      </w:r>
      <w:r w:rsidRPr="0022356C">
        <w:rPr>
          <w:rFonts w:ascii="Times New Roman" w:eastAsia="Times New Roman" w:hAnsi="Times New Roman" w:cs="Times New Roman"/>
          <w:color w:val="1A1A1A"/>
          <w:sz w:val="20"/>
          <w:szCs w:val="20"/>
          <w:lang w:eastAsia="pt-BR"/>
        </w:rPr>
        <w:softHyphen/>
        <w:t xml:space="preserve">ca. </w:t>
      </w:r>
      <w:r w:rsidRPr="0022356C">
        <w:rPr>
          <w:rFonts w:ascii="Times New Roman" w:eastAsia="Times New Roman" w:hAnsi="Times New Roman" w:cs="Times New Roman"/>
          <w:b/>
          <w:bCs/>
          <w:color w:val="1A1A1A"/>
          <w:sz w:val="20"/>
          <w:szCs w:val="20"/>
          <w:lang w:eastAsia="pt-BR"/>
        </w:rPr>
        <w:t>Coerência significa igualdade de apreciação do caso e igualdade de tratamento. Coerência também quer dizer “jogo limpo”.</w:t>
      </w:r>
    </w:p>
    <w:p w14:paraId="578DC9F9" w14:textId="26C51964" w:rsidR="0084210F" w:rsidRDefault="00914A9C" w:rsidP="001D3086">
      <w:pPr>
        <w:spacing w:line="360" w:lineRule="auto"/>
        <w:ind w:firstLine="709"/>
        <w:jc w:val="both"/>
        <w:rPr>
          <w:rFonts w:ascii="Times New Roman" w:hAnsi="Times New Roman" w:cs="Times New Roman"/>
          <w:szCs w:val="24"/>
        </w:rPr>
      </w:pPr>
      <w:r>
        <w:rPr>
          <w:rFonts w:ascii="Times New Roman" w:hAnsi="Times New Roman" w:cs="Times New Roman"/>
          <w:szCs w:val="24"/>
        </w:rPr>
        <w:t xml:space="preserve">Dito isto, </w:t>
      </w:r>
      <w:r w:rsidR="00E96BFA">
        <w:rPr>
          <w:rFonts w:ascii="Times New Roman" w:hAnsi="Times New Roman" w:cs="Times New Roman"/>
          <w:szCs w:val="24"/>
        </w:rPr>
        <w:t>há que se exigir do E. STF observe o dever de coerência na sua jurisprudência constitucional - zelando pela integridade do Direto -, de modo a aplicar a mesma razão de decidir em ambos casos antes mencionados, ou seja, se reconheceu validade na decretação de indisponibilidade de bens por decisão cautelar do TCU, até com maior razão deve reconhecer válida a indisponibilidade de bens por meio de averbação de CDA pela Fazenda Pública.</w:t>
      </w:r>
    </w:p>
    <w:p w14:paraId="76666099" w14:textId="5DA5C3BF" w:rsidR="002A7571" w:rsidRDefault="005D0B0C" w:rsidP="001D3086">
      <w:pPr>
        <w:spacing w:line="360" w:lineRule="auto"/>
        <w:ind w:firstLine="709"/>
        <w:jc w:val="both"/>
        <w:rPr>
          <w:rFonts w:ascii="Times New Roman" w:hAnsi="Times New Roman" w:cs="Times New Roman"/>
          <w:szCs w:val="24"/>
        </w:rPr>
      </w:pPr>
      <w:r>
        <w:rPr>
          <w:rFonts w:ascii="Times New Roman" w:hAnsi="Times New Roman" w:cs="Times New Roman"/>
          <w:szCs w:val="24"/>
        </w:rPr>
        <w:t>Por fim</w:t>
      </w:r>
      <w:r w:rsidR="007D0439">
        <w:rPr>
          <w:rFonts w:ascii="Times New Roman" w:hAnsi="Times New Roman" w:cs="Times New Roman"/>
          <w:szCs w:val="24"/>
        </w:rPr>
        <w:t>, a propósito da coerência jurisprudencial, sobreleva destacar que</w:t>
      </w:r>
      <w:r w:rsidR="00621F14">
        <w:rPr>
          <w:rFonts w:ascii="Times New Roman" w:hAnsi="Times New Roman" w:cs="Times New Roman"/>
          <w:szCs w:val="24"/>
        </w:rPr>
        <w:t>,</w:t>
      </w:r>
      <w:r w:rsidR="007D0439">
        <w:rPr>
          <w:rFonts w:ascii="Times New Roman" w:hAnsi="Times New Roman" w:cs="Times New Roman"/>
          <w:szCs w:val="24"/>
        </w:rPr>
        <w:t xml:space="preserve"> a se manter a lógica do entendimento vencedor na ADI 5.886/DF, segundo a qual a norma que atribuía à Fazenda Pública competência para a averbação </w:t>
      </w:r>
      <w:proofErr w:type="spellStart"/>
      <w:r w:rsidR="007D0439">
        <w:rPr>
          <w:rFonts w:ascii="Times New Roman" w:hAnsi="Times New Roman" w:cs="Times New Roman"/>
          <w:szCs w:val="24"/>
        </w:rPr>
        <w:t>pré</w:t>
      </w:r>
      <w:proofErr w:type="spellEnd"/>
      <w:r w:rsidR="007D0439">
        <w:rPr>
          <w:rFonts w:ascii="Times New Roman" w:hAnsi="Times New Roman" w:cs="Times New Roman"/>
          <w:szCs w:val="24"/>
        </w:rPr>
        <w:t>-executiva de CDA</w:t>
      </w:r>
      <w:r w:rsidR="00621F14">
        <w:rPr>
          <w:rFonts w:ascii="Times New Roman" w:hAnsi="Times New Roman" w:cs="Times New Roman"/>
          <w:szCs w:val="24"/>
        </w:rPr>
        <w:t>,</w:t>
      </w:r>
      <w:r w:rsidR="007D0439">
        <w:rPr>
          <w:rFonts w:ascii="Times New Roman" w:hAnsi="Times New Roman" w:cs="Times New Roman"/>
          <w:szCs w:val="24"/>
        </w:rPr>
        <w:t xml:space="preserve"> com efeitos de inalienabilidade do bem, </w:t>
      </w:r>
      <w:r w:rsidR="00CB4F46">
        <w:rPr>
          <w:rFonts w:ascii="Times New Roman" w:hAnsi="Times New Roman" w:cs="Times New Roman"/>
          <w:szCs w:val="24"/>
        </w:rPr>
        <w:t>não encontr</w:t>
      </w:r>
      <w:r w:rsidR="008350F3">
        <w:rPr>
          <w:rFonts w:ascii="Times New Roman" w:hAnsi="Times New Roman" w:cs="Times New Roman"/>
          <w:szCs w:val="24"/>
        </w:rPr>
        <w:t>ou</w:t>
      </w:r>
      <w:r w:rsidR="00CB4F46">
        <w:rPr>
          <w:rFonts w:ascii="Times New Roman" w:hAnsi="Times New Roman" w:cs="Times New Roman"/>
          <w:szCs w:val="24"/>
        </w:rPr>
        <w:t xml:space="preserve"> fundamento da Constituição Federal, </w:t>
      </w:r>
      <w:r w:rsidR="007D0439">
        <w:rPr>
          <w:rFonts w:ascii="Times New Roman" w:hAnsi="Times New Roman" w:cs="Times New Roman"/>
          <w:szCs w:val="24"/>
        </w:rPr>
        <w:t>de nada adiantará o Congresso Nacional discutir e aprovar os projetos de lei que tratam da cobrança administrativa da dívida ativa, como o PL 4.257/2019</w:t>
      </w:r>
      <w:r w:rsidR="00CB4F46">
        <w:rPr>
          <w:rFonts w:ascii="Times New Roman" w:hAnsi="Times New Roman" w:cs="Times New Roman"/>
          <w:szCs w:val="24"/>
        </w:rPr>
        <w:t>, de autoria do Senador Antônio Anastasia (PSDB/MG) e PL nº 2.488/202, proposta do Senador Rodrigo Pacheco</w:t>
      </w:r>
      <w:r w:rsidR="007D0439">
        <w:rPr>
          <w:rFonts w:ascii="Times New Roman" w:hAnsi="Times New Roman" w:cs="Times New Roman"/>
          <w:szCs w:val="24"/>
        </w:rPr>
        <w:t xml:space="preserve">, </w:t>
      </w:r>
      <w:r w:rsidR="00CB4F46">
        <w:rPr>
          <w:rFonts w:ascii="Times New Roman" w:hAnsi="Times New Roman" w:cs="Times New Roman"/>
          <w:szCs w:val="24"/>
        </w:rPr>
        <w:t>porquanto</w:t>
      </w:r>
      <w:r w:rsidR="002A7571">
        <w:rPr>
          <w:rFonts w:ascii="Times New Roman" w:hAnsi="Times New Roman" w:cs="Times New Roman"/>
          <w:szCs w:val="24"/>
        </w:rPr>
        <w:t>,</w:t>
      </w:r>
      <w:r w:rsidR="00CB4F46">
        <w:rPr>
          <w:rFonts w:ascii="Times New Roman" w:hAnsi="Times New Roman" w:cs="Times New Roman"/>
          <w:szCs w:val="24"/>
        </w:rPr>
        <w:t xml:space="preserve"> se é inconstitucional a mera inalienabilidade decr</w:t>
      </w:r>
      <w:r w:rsidR="002A7571">
        <w:rPr>
          <w:rFonts w:ascii="Times New Roman" w:hAnsi="Times New Roman" w:cs="Times New Roman"/>
          <w:szCs w:val="24"/>
        </w:rPr>
        <w:t>e</w:t>
      </w:r>
      <w:r w:rsidR="00CB4F46">
        <w:rPr>
          <w:rFonts w:ascii="Times New Roman" w:hAnsi="Times New Roman" w:cs="Times New Roman"/>
          <w:szCs w:val="24"/>
        </w:rPr>
        <w:t>ta</w:t>
      </w:r>
      <w:r w:rsidR="002A7571">
        <w:rPr>
          <w:rFonts w:ascii="Times New Roman" w:hAnsi="Times New Roman" w:cs="Times New Roman"/>
          <w:szCs w:val="24"/>
        </w:rPr>
        <w:t>d</w:t>
      </w:r>
      <w:r w:rsidR="00CB4F46">
        <w:rPr>
          <w:rFonts w:ascii="Times New Roman" w:hAnsi="Times New Roman" w:cs="Times New Roman"/>
          <w:szCs w:val="24"/>
        </w:rPr>
        <w:t>a</w:t>
      </w:r>
      <w:r w:rsidR="002A7571">
        <w:rPr>
          <w:rFonts w:ascii="Times New Roman" w:hAnsi="Times New Roman" w:cs="Times New Roman"/>
          <w:szCs w:val="24"/>
        </w:rPr>
        <w:t xml:space="preserve"> </w:t>
      </w:r>
      <w:r w:rsidR="00817C5F">
        <w:rPr>
          <w:rFonts w:ascii="Times New Roman" w:hAnsi="Times New Roman" w:cs="Times New Roman"/>
          <w:szCs w:val="24"/>
        </w:rPr>
        <w:t xml:space="preserve">pela </w:t>
      </w:r>
      <w:r w:rsidR="002A7571">
        <w:rPr>
          <w:rFonts w:ascii="Times New Roman" w:hAnsi="Times New Roman" w:cs="Times New Roman"/>
          <w:szCs w:val="24"/>
        </w:rPr>
        <w:t>Fazenda, não h</w:t>
      </w:r>
      <w:r w:rsidR="00621F14">
        <w:rPr>
          <w:rFonts w:ascii="Times New Roman" w:hAnsi="Times New Roman" w:cs="Times New Roman"/>
          <w:szCs w:val="24"/>
        </w:rPr>
        <w:t>aver</w:t>
      </w:r>
      <w:r w:rsidR="002A7571">
        <w:rPr>
          <w:rFonts w:ascii="Times New Roman" w:hAnsi="Times New Roman" w:cs="Times New Roman"/>
          <w:szCs w:val="24"/>
        </w:rPr>
        <w:t xml:space="preserve">á como encontrar validade no texto constitucional para ato mais gravoso, como a expropriação administrativa de bens, </w:t>
      </w:r>
      <w:r w:rsidR="00621F14">
        <w:rPr>
          <w:rFonts w:ascii="Times New Roman" w:hAnsi="Times New Roman" w:cs="Times New Roman"/>
          <w:szCs w:val="24"/>
        </w:rPr>
        <w:t xml:space="preserve">como </w:t>
      </w:r>
      <w:r w:rsidR="002A7571">
        <w:rPr>
          <w:rFonts w:ascii="Times New Roman" w:hAnsi="Times New Roman" w:cs="Times New Roman"/>
          <w:szCs w:val="24"/>
        </w:rPr>
        <w:t>prevista</w:t>
      </w:r>
      <w:r w:rsidR="00621F14">
        <w:rPr>
          <w:rFonts w:ascii="Times New Roman" w:hAnsi="Times New Roman" w:cs="Times New Roman"/>
          <w:szCs w:val="24"/>
        </w:rPr>
        <w:t>, por exemplo,</w:t>
      </w:r>
      <w:r w:rsidR="002A7571">
        <w:rPr>
          <w:rFonts w:ascii="Times New Roman" w:hAnsi="Times New Roman" w:cs="Times New Roman"/>
          <w:szCs w:val="24"/>
        </w:rPr>
        <w:t xml:space="preserve"> nos artigos 29 e seguintes do PL 2.488/2022.</w:t>
      </w:r>
    </w:p>
    <w:p w14:paraId="10A25BEE" w14:textId="77777777" w:rsidR="005D0B0C" w:rsidRDefault="005D0B0C" w:rsidP="00126F44">
      <w:pPr>
        <w:pBdr>
          <w:bottom w:val="single" w:sz="4" w:space="1" w:color="auto"/>
        </w:pBdr>
        <w:spacing w:line="360" w:lineRule="auto"/>
        <w:jc w:val="both"/>
        <w:rPr>
          <w:rFonts w:ascii="Times New Roman" w:hAnsi="Times New Roman" w:cs="Times New Roman"/>
          <w:b/>
          <w:bCs/>
          <w:szCs w:val="24"/>
        </w:rPr>
      </w:pPr>
    </w:p>
    <w:p w14:paraId="1E04B783" w14:textId="43117AD7" w:rsidR="00126F44" w:rsidRDefault="00325F25" w:rsidP="00126F44">
      <w:pPr>
        <w:pBdr>
          <w:bottom w:val="single" w:sz="4" w:space="1" w:color="auto"/>
        </w:pBdr>
        <w:spacing w:line="360" w:lineRule="auto"/>
        <w:jc w:val="both"/>
        <w:rPr>
          <w:rFonts w:ascii="Times New Roman" w:hAnsi="Times New Roman" w:cs="Times New Roman"/>
          <w:b/>
          <w:bCs/>
          <w:szCs w:val="24"/>
        </w:rPr>
      </w:pPr>
      <w:r>
        <w:rPr>
          <w:rFonts w:ascii="Times New Roman" w:hAnsi="Times New Roman" w:cs="Times New Roman"/>
          <w:b/>
          <w:bCs/>
          <w:szCs w:val="24"/>
        </w:rPr>
        <w:t>I</w:t>
      </w:r>
      <w:r w:rsidR="00126F44">
        <w:rPr>
          <w:rFonts w:ascii="Times New Roman" w:hAnsi="Times New Roman" w:cs="Times New Roman"/>
          <w:b/>
          <w:bCs/>
          <w:szCs w:val="24"/>
        </w:rPr>
        <w:t>II.2 Da</w:t>
      </w:r>
      <w:r w:rsidR="00126F44" w:rsidRPr="000C441C">
        <w:rPr>
          <w:rFonts w:ascii="Times New Roman" w:hAnsi="Times New Roman" w:cs="Times New Roman"/>
          <w:b/>
          <w:bCs/>
          <w:szCs w:val="24"/>
        </w:rPr>
        <w:t xml:space="preserve"> </w:t>
      </w:r>
      <w:r w:rsidR="00126F44">
        <w:rPr>
          <w:rFonts w:ascii="Times New Roman" w:hAnsi="Times New Roman" w:cs="Times New Roman"/>
          <w:b/>
          <w:bCs/>
          <w:szCs w:val="24"/>
        </w:rPr>
        <w:t xml:space="preserve">Tríplice Identidade das Ações – </w:t>
      </w:r>
      <w:proofErr w:type="spellStart"/>
      <w:r w:rsidR="009B5E52">
        <w:rPr>
          <w:rFonts w:ascii="Times New Roman" w:hAnsi="Times New Roman" w:cs="Times New Roman"/>
          <w:b/>
          <w:bCs/>
          <w:szCs w:val="24"/>
        </w:rPr>
        <w:t>Inoponibilidade</w:t>
      </w:r>
      <w:proofErr w:type="spellEnd"/>
      <w:r w:rsidR="009B5E52">
        <w:rPr>
          <w:rFonts w:ascii="Times New Roman" w:hAnsi="Times New Roman" w:cs="Times New Roman"/>
          <w:b/>
          <w:bCs/>
          <w:szCs w:val="24"/>
        </w:rPr>
        <w:t xml:space="preserve"> da Coisa Julgada em decorrência da ADI 5.886/DF</w:t>
      </w:r>
    </w:p>
    <w:p w14:paraId="0775C485" w14:textId="77777777" w:rsidR="00817C5F" w:rsidRDefault="00817C5F" w:rsidP="00DA47DC">
      <w:pPr>
        <w:spacing w:line="360" w:lineRule="auto"/>
        <w:ind w:firstLine="851"/>
        <w:jc w:val="both"/>
        <w:rPr>
          <w:rFonts w:ascii="Times New Roman" w:hAnsi="Times New Roman" w:cs="Times New Roman"/>
          <w:color w:val="000000"/>
          <w:szCs w:val="24"/>
          <w:shd w:val="clear" w:color="auto" w:fill="FFFFFF"/>
        </w:rPr>
      </w:pPr>
    </w:p>
    <w:p w14:paraId="2F2D3D34" w14:textId="3B535878" w:rsidR="009B5E52" w:rsidRDefault="00F175F8" w:rsidP="00DA47DC">
      <w:pPr>
        <w:spacing w:line="360" w:lineRule="auto"/>
        <w:ind w:firstLine="851"/>
        <w:jc w:val="both"/>
        <w:rPr>
          <w:rFonts w:ascii="Times New Roman" w:hAnsi="Times New Roman" w:cs="Times New Roman"/>
          <w:color w:val="000000"/>
          <w:szCs w:val="24"/>
          <w:shd w:val="clear" w:color="auto" w:fill="FFFFFF"/>
        </w:rPr>
      </w:pPr>
      <w:r>
        <w:rPr>
          <w:rFonts w:ascii="Times New Roman" w:hAnsi="Times New Roman" w:cs="Times New Roman"/>
          <w:color w:val="000000"/>
          <w:szCs w:val="24"/>
          <w:shd w:val="clear" w:color="auto" w:fill="FFFFFF"/>
        </w:rPr>
        <w:t xml:space="preserve">Convém </w:t>
      </w:r>
      <w:r w:rsidR="009B5E52">
        <w:rPr>
          <w:rFonts w:ascii="Times New Roman" w:hAnsi="Times New Roman" w:cs="Times New Roman"/>
          <w:color w:val="000000"/>
          <w:szCs w:val="24"/>
          <w:shd w:val="clear" w:color="auto" w:fill="FFFFFF"/>
        </w:rPr>
        <w:t>que sejam traçadas breves linhas a respeito d</w:t>
      </w:r>
      <w:r w:rsidR="00DA47DC">
        <w:rPr>
          <w:rFonts w:ascii="Times New Roman" w:hAnsi="Times New Roman" w:cs="Times New Roman"/>
          <w:color w:val="000000"/>
          <w:szCs w:val="24"/>
          <w:shd w:val="clear" w:color="auto" w:fill="FFFFFF"/>
        </w:rPr>
        <w:t>o julgamento da ADI 5.886/DF</w:t>
      </w:r>
      <w:r w:rsidR="009B5E52">
        <w:rPr>
          <w:rFonts w:ascii="Times New Roman" w:hAnsi="Times New Roman" w:cs="Times New Roman"/>
          <w:color w:val="000000"/>
          <w:szCs w:val="24"/>
          <w:shd w:val="clear" w:color="auto" w:fill="FFFFFF"/>
        </w:rPr>
        <w:t>, que declarou inconstitucional a expressão “tornando-os inalienáveis”, contida na parte final do inciso II do §3º do art. 20-B da Lei 10.522/02.</w:t>
      </w:r>
    </w:p>
    <w:p w14:paraId="0CD7AF24" w14:textId="45EB72A6" w:rsidR="00DA47DC" w:rsidRDefault="009B5E52" w:rsidP="00DA47DC">
      <w:pPr>
        <w:spacing w:line="360" w:lineRule="auto"/>
        <w:ind w:firstLine="851"/>
        <w:jc w:val="both"/>
        <w:rPr>
          <w:rFonts w:ascii="Times New Roman" w:hAnsi="Times New Roman" w:cs="Times New Roman"/>
          <w:color w:val="000000"/>
          <w:szCs w:val="24"/>
          <w:shd w:val="clear" w:color="auto" w:fill="FFFFFF"/>
        </w:rPr>
      </w:pPr>
      <w:r>
        <w:rPr>
          <w:rFonts w:ascii="Times New Roman" w:hAnsi="Times New Roman" w:cs="Times New Roman"/>
          <w:color w:val="000000"/>
          <w:szCs w:val="24"/>
          <w:shd w:val="clear" w:color="auto" w:fill="FFFFFF"/>
        </w:rPr>
        <w:t xml:space="preserve">A questão importa na medida em que na referida Ação de Inconstitucionalidade </w:t>
      </w:r>
      <w:r w:rsidR="00DA47DC">
        <w:rPr>
          <w:rFonts w:ascii="Times New Roman" w:hAnsi="Times New Roman" w:cs="Times New Roman"/>
          <w:color w:val="000000"/>
          <w:szCs w:val="24"/>
          <w:shd w:val="clear" w:color="auto" w:fill="FFFFFF"/>
        </w:rPr>
        <w:t>não houve apreciação da tese da aplicação da teoria dos poderes implícitos</w:t>
      </w:r>
      <w:r w:rsidR="00FC55C3">
        <w:rPr>
          <w:rFonts w:ascii="Times New Roman" w:hAnsi="Times New Roman" w:cs="Times New Roman"/>
          <w:color w:val="000000"/>
          <w:szCs w:val="24"/>
          <w:shd w:val="clear" w:color="auto" w:fill="FFFFFF"/>
        </w:rPr>
        <w:t>. Dessarte, sob este fundamento, é possível, no aspecto processual, que a questão tenha solução diversa.</w:t>
      </w:r>
    </w:p>
    <w:p w14:paraId="49669D2B" w14:textId="77777777" w:rsidR="00DA47DC" w:rsidRDefault="00DA47DC" w:rsidP="00DA47DC">
      <w:pPr>
        <w:spacing w:line="360" w:lineRule="auto"/>
        <w:ind w:firstLine="851"/>
        <w:jc w:val="both"/>
        <w:rPr>
          <w:rFonts w:ascii="Times New Roman" w:hAnsi="Times New Roman" w:cs="Times New Roman"/>
          <w:color w:val="000000"/>
          <w:szCs w:val="24"/>
          <w:shd w:val="clear" w:color="auto" w:fill="FFFFFF"/>
        </w:rPr>
      </w:pPr>
      <w:r>
        <w:rPr>
          <w:rFonts w:ascii="Times New Roman" w:hAnsi="Times New Roman" w:cs="Times New Roman"/>
          <w:color w:val="000000"/>
          <w:szCs w:val="24"/>
          <w:shd w:val="clear" w:color="auto" w:fill="FFFFFF"/>
        </w:rPr>
        <w:lastRenderedPageBreak/>
        <w:t>Deveras, sob o prisma do direito processual, cumpre assinalar que a coisa julgada está atrelada à identidade de ações e, no Brasil, adota-se, para tanto, a teoria das três identidades, conforme lição de Thereza Alvin e José Manuel de Arruda Alvin Neto:</w:t>
      </w:r>
      <w:r>
        <w:rPr>
          <w:rStyle w:val="Refdenotaderodap"/>
          <w:rFonts w:ascii="Times New Roman" w:hAnsi="Times New Roman" w:cs="Times New Roman"/>
          <w:color w:val="000000"/>
          <w:szCs w:val="24"/>
          <w:shd w:val="clear" w:color="auto" w:fill="FFFFFF"/>
        </w:rPr>
        <w:footnoteReference w:id="7"/>
      </w:r>
    </w:p>
    <w:p w14:paraId="543BAA5C" w14:textId="77777777" w:rsidR="00DA47DC" w:rsidRPr="00E777AC" w:rsidRDefault="00DA47DC" w:rsidP="00E777AC">
      <w:pPr>
        <w:spacing w:line="240" w:lineRule="auto"/>
        <w:ind w:left="2268"/>
        <w:jc w:val="both"/>
        <w:rPr>
          <w:rFonts w:ascii="Times New Roman" w:hAnsi="Times New Roman" w:cs="Times New Roman"/>
          <w:color w:val="000000"/>
          <w:sz w:val="20"/>
          <w:szCs w:val="20"/>
          <w:shd w:val="clear" w:color="auto" w:fill="FFFFFF"/>
        </w:rPr>
      </w:pPr>
      <w:r w:rsidRPr="00E777AC">
        <w:rPr>
          <w:rFonts w:ascii="Times New Roman" w:hAnsi="Times New Roman" w:cs="Times New Roman"/>
          <w:color w:val="3B3B3B"/>
          <w:sz w:val="20"/>
          <w:szCs w:val="20"/>
          <w:shd w:val="clear" w:color="auto" w:fill="FFFFFF"/>
        </w:rPr>
        <w:t xml:space="preserve">À luz do que restou dito, convém cotejar as afirmações feitas com os textos de direito positivo, que dizem respeito ao princípio dispositivo e à teoria das três identidades, mercê da qual se identificam as ações, no direito brasileiro. (...) A </w:t>
      </w:r>
      <w:proofErr w:type="spellStart"/>
      <w:r w:rsidRPr="00E777AC">
        <w:rPr>
          <w:rFonts w:ascii="Times New Roman" w:hAnsi="Times New Roman" w:cs="Times New Roman"/>
          <w:color w:val="3B3B3B"/>
          <w:sz w:val="20"/>
          <w:szCs w:val="20"/>
          <w:shd w:val="clear" w:color="auto" w:fill="FFFFFF"/>
        </w:rPr>
        <w:t>identificacão</w:t>
      </w:r>
      <w:proofErr w:type="spellEnd"/>
      <w:r w:rsidRPr="00E777AC">
        <w:rPr>
          <w:rFonts w:ascii="Times New Roman" w:hAnsi="Times New Roman" w:cs="Times New Roman"/>
          <w:color w:val="3B3B3B"/>
          <w:sz w:val="20"/>
          <w:szCs w:val="20"/>
          <w:shd w:val="clear" w:color="auto" w:fill="FFFFFF"/>
        </w:rPr>
        <w:t xml:space="preserve"> das ações é construída a partir de elementos essenciais e estruturais, os mais importantes do processo, especial e necessariamente, residentes na postulação do autor.</w:t>
      </w:r>
    </w:p>
    <w:p w14:paraId="37E4FDEC" w14:textId="77777777" w:rsidR="00FC55C3" w:rsidRDefault="00FC55C3" w:rsidP="00DA47DC">
      <w:pPr>
        <w:spacing w:line="360" w:lineRule="auto"/>
        <w:ind w:firstLine="851"/>
        <w:jc w:val="both"/>
        <w:rPr>
          <w:rFonts w:ascii="Times New Roman" w:hAnsi="Times New Roman" w:cs="Times New Roman"/>
          <w:color w:val="000000"/>
          <w:szCs w:val="24"/>
          <w:shd w:val="clear" w:color="auto" w:fill="FFFFFF"/>
        </w:rPr>
      </w:pPr>
    </w:p>
    <w:p w14:paraId="10035E72" w14:textId="62F04DC9" w:rsidR="00DA47DC" w:rsidRDefault="00DA47DC" w:rsidP="00DA47DC">
      <w:pPr>
        <w:spacing w:line="360" w:lineRule="auto"/>
        <w:ind w:firstLine="851"/>
        <w:jc w:val="both"/>
        <w:rPr>
          <w:rFonts w:ascii="Times New Roman" w:hAnsi="Times New Roman" w:cs="Times New Roman"/>
          <w:color w:val="000000"/>
          <w:szCs w:val="24"/>
          <w:shd w:val="clear" w:color="auto" w:fill="FFFFFF"/>
        </w:rPr>
      </w:pPr>
      <w:r>
        <w:rPr>
          <w:rFonts w:ascii="Times New Roman" w:hAnsi="Times New Roman" w:cs="Times New Roman"/>
          <w:color w:val="000000"/>
          <w:szCs w:val="24"/>
          <w:shd w:val="clear" w:color="auto" w:fill="FFFFFF"/>
        </w:rPr>
        <w:t xml:space="preserve">  Vê-se que a teoria </w:t>
      </w:r>
      <w:proofErr w:type="gramStart"/>
      <w:r>
        <w:rPr>
          <w:rFonts w:ascii="Times New Roman" w:hAnsi="Times New Roman" w:cs="Times New Roman"/>
          <w:color w:val="000000"/>
          <w:szCs w:val="24"/>
          <w:shd w:val="clear" w:color="auto" w:fill="FFFFFF"/>
        </w:rPr>
        <w:t>da tríplice</w:t>
      </w:r>
      <w:proofErr w:type="gramEnd"/>
      <w:r>
        <w:rPr>
          <w:rFonts w:ascii="Times New Roman" w:hAnsi="Times New Roman" w:cs="Times New Roman"/>
          <w:color w:val="000000"/>
          <w:szCs w:val="24"/>
          <w:shd w:val="clear" w:color="auto" w:fill="FFFFFF"/>
        </w:rPr>
        <w:t xml:space="preserve"> identidade exige – para a coisa julgada - que haja coincidência das partes, do pedido e da causa de pedir.</w:t>
      </w:r>
    </w:p>
    <w:p w14:paraId="6C4B043E" w14:textId="5FA7A8EA" w:rsidR="00DA47DC" w:rsidRDefault="00DA47DC" w:rsidP="00DA47DC">
      <w:pPr>
        <w:spacing w:line="360" w:lineRule="auto"/>
        <w:ind w:firstLine="851"/>
        <w:jc w:val="both"/>
        <w:rPr>
          <w:rFonts w:ascii="Times New Roman" w:hAnsi="Times New Roman" w:cs="Times New Roman"/>
          <w:color w:val="000000"/>
          <w:szCs w:val="24"/>
          <w:shd w:val="clear" w:color="auto" w:fill="FFFFFF"/>
        </w:rPr>
      </w:pPr>
      <w:r>
        <w:rPr>
          <w:rFonts w:ascii="Times New Roman" w:hAnsi="Times New Roman" w:cs="Times New Roman"/>
          <w:color w:val="000000"/>
          <w:szCs w:val="24"/>
          <w:shd w:val="clear" w:color="auto" w:fill="FFFFFF"/>
        </w:rPr>
        <w:t xml:space="preserve">A causa de pedir é o que nos interessa aqui, pois a competência da </w:t>
      </w:r>
      <w:r w:rsidR="00EC5434">
        <w:rPr>
          <w:rFonts w:ascii="Times New Roman" w:hAnsi="Times New Roman" w:cs="Times New Roman"/>
          <w:color w:val="000000"/>
          <w:szCs w:val="24"/>
          <w:shd w:val="clear" w:color="auto" w:fill="FFFFFF"/>
        </w:rPr>
        <w:t>Fazenda Pública</w:t>
      </w:r>
      <w:r>
        <w:rPr>
          <w:rFonts w:ascii="Times New Roman" w:hAnsi="Times New Roman" w:cs="Times New Roman"/>
          <w:color w:val="000000"/>
          <w:szCs w:val="24"/>
          <w:shd w:val="clear" w:color="auto" w:fill="FFFFFF"/>
        </w:rPr>
        <w:t xml:space="preserve"> para a </w:t>
      </w:r>
      <w:r w:rsidR="00EC5434">
        <w:rPr>
          <w:rFonts w:ascii="Times New Roman" w:hAnsi="Times New Roman" w:cs="Times New Roman"/>
          <w:color w:val="000000"/>
          <w:szCs w:val="24"/>
          <w:shd w:val="clear" w:color="auto" w:fill="FFFFFF"/>
        </w:rPr>
        <w:t xml:space="preserve">promover a </w:t>
      </w:r>
      <w:r>
        <w:rPr>
          <w:rFonts w:ascii="Times New Roman" w:hAnsi="Times New Roman" w:cs="Times New Roman"/>
          <w:color w:val="000000"/>
          <w:szCs w:val="24"/>
          <w:shd w:val="clear" w:color="auto" w:fill="FFFFFF"/>
        </w:rPr>
        <w:t>inalienabilidade</w:t>
      </w:r>
      <w:r w:rsidR="00EC5434">
        <w:rPr>
          <w:rFonts w:ascii="Times New Roman" w:hAnsi="Times New Roman" w:cs="Times New Roman"/>
          <w:color w:val="000000"/>
          <w:szCs w:val="24"/>
          <w:shd w:val="clear" w:color="auto" w:fill="FFFFFF"/>
        </w:rPr>
        <w:t xml:space="preserve"> de bem sem a tutela judicial</w:t>
      </w:r>
      <w:r>
        <w:rPr>
          <w:rFonts w:ascii="Times New Roman" w:hAnsi="Times New Roman" w:cs="Times New Roman"/>
          <w:color w:val="000000"/>
          <w:szCs w:val="24"/>
          <w:shd w:val="clear" w:color="auto" w:fill="FFFFFF"/>
        </w:rPr>
        <w:t xml:space="preserve"> deve ser apreciada sob o fundamento (cau</w:t>
      </w:r>
      <w:r w:rsidR="00EC5434">
        <w:rPr>
          <w:rFonts w:ascii="Times New Roman" w:hAnsi="Times New Roman" w:cs="Times New Roman"/>
          <w:color w:val="000000"/>
          <w:szCs w:val="24"/>
          <w:shd w:val="clear" w:color="auto" w:fill="FFFFFF"/>
        </w:rPr>
        <w:t>s</w:t>
      </w:r>
      <w:r>
        <w:rPr>
          <w:rFonts w:ascii="Times New Roman" w:hAnsi="Times New Roman" w:cs="Times New Roman"/>
          <w:color w:val="000000"/>
          <w:szCs w:val="24"/>
          <w:shd w:val="clear" w:color="auto" w:fill="FFFFFF"/>
        </w:rPr>
        <w:t>a de pedir) da teoria dos poderes implícitos</w:t>
      </w:r>
      <w:r w:rsidR="00EC5434">
        <w:rPr>
          <w:rFonts w:ascii="Times New Roman" w:hAnsi="Times New Roman" w:cs="Times New Roman"/>
          <w:color w:val="000000"/>
          <w:szCs w:val="24"/>
          <w:shd w:val="clear" w:color="auto" w:fill="FFFFFF"/>
        </w:rPr>
        <w:t>. Esse fundamento</w:t>
      </w:r>
      <w:r>
        <w:rPr>
          <w:rFonts w:ascii="Times New Roman" w:hAnsi="Times New Roman" w:cs="Times New Roman"/>
          <w:color w:val="000000"/>
          <w:szCs w:val="24"/>
          <w:shd w:val="clear" w:color="auto" w:fill="FFFFFF"/>
        </w:rPr>
        <w:t xml:space="preserve">, aliado ao dever de coerência da jurisprudência (CPC, art. 926), </w:t>
      </w:r>
      <w:r w:rsidR="00A37342">
        <w:rPr>
          <w:rFonts w:ascii="Times New Roman" w:hAnsi="Times New Roman" w:cs="Times New Roman"/>
          <w:color w:val="000000"/>
          <w:szCs w:val="24"/>
          <w:shd w:val="clear" w:color="auto" w:fill="FFFFFF"/>
        </w:rPr>
        <w:t xml:space="preserve">será capaz de obter do STF </w:t>
      </w:r>
      <w:r>
        <w:rPr>
          <w:rFonts w:ascii="Times New Roman" w:hAnsi="Times New Roman" w:cs="Times New Roman"/>
          <w:color w:val="000000"/>
          <w:szCs w:val="24"/>
          <w:shd w:val="clear" w:color="auto" w:fill="FFFFFF"/>
        </w:rPr>
        <w:t>que apli</w:t>
      </w:r>
      <w:r w:rsidR="00A37342">
        <w:rPr>
          <w:rFonts w:ascii="Times New Roman" w:hAnsi="Times New Roman" w:cs="Times New Roman"/>
          <w:color w:val="000000"/>
          <w:szCs w:val="24"/>
          <w:shd w:val="clear" w:color="auto" w:fill="FFFFFF"/>
        </w:rPr>
        <w:t>que ao tema em testilha</w:t>
      </w:r>
      <w:r>
        <w:rPr>
          <w:rFonts w:ascii="Times New Roman" w:hAnsi="Times New Roman" w:cs="Times New Roman"/>
          <w:color w:val="000000"/>
          <w:szCs w:val="24"/>
          <w:shd w:val="clear" w:color="auto" w:fill="FFFFFF"/>
        </w:rPr>
        <w:t xml:space="preserve"> a mesma </w:t>
      </w:r>
      <w:proofErr w:type="spellStart"/>
      <w:r w:rsidRPr="00616D68">
        <w:rPr>
          <w:rFonts w:ascii="Times New Roman" w:hAnsi="Times New Roman" w:cs="Times New Roman"/>
          <w:i/>
          <w:iCs/>
          <w:color w:val="000000"/>
          <w:szCs w:val="24"/>
          <w:shd w:val="clear" w:color="auto" w:fill="FFFFFF"/>
        </w:rPr>
        <w:t>ratio</w:t>
      </w:r>
      <w:proofErr w:type="spellEnd"/>
      <w:r w:rsidRPr="00616D68">
        <w:rPr>
          <w:rFonts w:ascii="Times New Roman" w:hAnsi="Times New Roman" w:cs="Times New Roman"/>
          <w:i/>
          <w:iCs/>
          <w:color w:val="000000"/>
          <w:szCs w:val="24"/>
          <w:shd w:val="clear" w:color="auto" w:fill="FFFFFF"/>
        </w:rPr>
        <w:t xml:space="preserve"> </w:t>
      </w:r>
      <w:proofErr w:type="spellStart"/>
      <w:r w:rsidRPr="00616D68">
        <w:rPr>
          <w:rFonts w:ascii="Times New Roman" w:hAnsi="Times New Roman" w:cs="Times New Roman"/>
          <w:i/>
          <w:iCs/>
          <w:color w:val="000000"/>
          <w:szCs w:val="24"/>
          <w:shd w:val="clear" w:color="auto" w:fill="FFFFFF"/>
        </w:rPr>
        <w:t>decidendi</w:t>
      </w:r>
      <w:proofErr w:type="spellEnd"/>
      <w:r>
        <w:rPr>
          <w:rFonts w:ascii="Times New Roman" w:hAnsi="Times New Roman" w:cs="Times New Roman"/>
          <w:color w:val="000000"/>
          <w:szCs w:val="24"/>
          <w:shd w:val="clear" w:color="auto" w:fill="FFFFFF"/>
        </w:rPr>
        <w:t xml:space="preserve"> do Mandado de Segurança nº 33.092.</w:t>
      </w:r>
    </w:p>
    <w:p w14:paraId="14EEADA5" w14:textId="77777777" w:rsidR="00DA47DC" w:rsidRDefault="00DA47DC" w:rsidP="004C52BB">
      <w:pPr>
        <w:spacing w:line="360" w:lineRule="auto"/>
        <w:ind w:firstLine="851"/>
        <w:jc w:val="both"/>
        <w:rPr>
          <w:rFonts w:ascii="Times New Roman" w:hAnsi="Times New Roman" w:cs="Times New Roman"/>
          <w:color w:val="000000"/>
          <w:szCs w:val="24"/>
          <w:shd w:val="clear" w:color="auto" w:fill="FFFFFF"/>
        </w:rPr>
      </w:pPr>
      <w:r>
        <w:rPr>
          <w:rFonts w:ascii="Times New Roman" w:hAnsi="Times New Roman" w:cs="Times New Roman"/>
          <w:color w:val="000000"/>
          <w:szCs w:val="24"/>
          <w:shd w:val="clear" w:color="auto" w:fill="FFFFFF"/>
        </w:rPr>
        <w:t>Nessa linha, havendo nova causa de pedir, vislumbra-se possível a reapreciação daquela questão, uma vez provocado o Poder Judiciário, pela via difusa ou concentrada. Esse é o entendimento do Superior Tribunal de Justiça, conforme precedente que segue:</w:t>
      </w:r>
    </w:p>
    <w:p w14:paraId="238854CE" w14:textId="77777777" w:rsidR="00DA47DC" w:rsidRPr="00C53D48" w:rsidRDefault="00DA47DC" w:rsidP="00E777AC">
      <w:pPr>
        <w:spacing w:line="240" w:lineRule="auto"/>
        <w:ind w:left="2268"/>
        <w:jc w:val="both"/>
        <w:rPr>
          <w:rFonts w:ascii="Times New Roman" w:hAnsi="Times New Roman" w:cs="Times New Roman"/>
          <w:color w:val="000000"/>
          <w:sz w:val="20"/>
          <w:szCs w:val="20"/>
          <w:shd w:val="clear" w:color="auto" w:fill="FFFFFF"/>
        </w:rPr>
      </w:pPr>
      <w:r w:rsidRPr="00C53D48">
        <w:rPr>
          <w:rFonts w:ascii="Times New Roman" w:hAnsi="Times New Roman" w:cs="Times New Roman"/>
          <w:color w:val="000000"/>
          <w:sz w:val="20"/>
          <w:szCs w:val="20"/>
          <w:shd w:val="clear" w:color="auto" w:fill="FFFFFF"/>
        </w:rPr>
        <w:t>CIVIL E PROCESSUAL CIVIL. AGRAVO INTERNO NO RECURSO ESPECIAL. AÇÃO REVOCATÓRIA. LITISCONSÓRCIO NECESSÁRIO. PERÍCIA. REEXAME DO CONJUNTO FÁTICO-PROBATÓRIO DOS AUTOS. INADMISSIBILIDADE. SÚMULA N. 7 DO STJ. COISA JULGADA. IDENTIDADE DE PEDIDO E CAUSA DE PEDIR. INEXISTÊNCIA. DECADÊNCIA. AUSÊNCIA DE IMPUGNAÇÃO DOS FUNDAMENTOS DO ACÓRDÃO RECORRIDO. SÚMULA N. 283/STF. DECISÃO SURPRESA. VIOLAÇÃO DE DISPOSITIVO CONSTITUCIONA L. FALTA DE PREQUESTIONAMENTO. DECISÃO MANTIDA.</w:t>
      </w:r>
    </w:p>
    <w:p w14:paraId="402A2FB6" w14:textId="77777777" w:rsidR="00DA47DC" w:rsidRPr="00C53D48" w:rsidRDefault="00DA47DC" w:rsidP="00E777AC">
      <w:pPr>
        <w:spacing w:line="240" w:lineRule="auto"/>
        <w:ind w:left="2268"/>
        <w:jc w:val="both"/>
        <w:rPr>
          <w:rFonts w:ascii="Times New Roman" w:hAnsi="Times New Roman" w:cs="Times New Roman"/>
          <w:color w:val="000000"/>
          <w:sz w:val="20"/>
          <w:szCs w:val="20"/>
          <w:shd w:val="clear" w:color="auto" w:fill="FFFFFF"/>
        </w:rPr>
      </w:pPr>
      <w:r w:rsidRPr="00C53D48">
        <w:rPr>
          <w:rFonts w:ascii="Times New Roman" w:hAnsi="Times New Roman" w:cs="Times New Roman"/>
          <w:color w:val="000000"/>
          <w:sz w:val="20"/>
          <w:szCs w:val="20"/>
          <w:shd w:val="clear" w:color="auto" w:fill="FFFFFF"/>
        </w:rPr>
        <w:t>1. O recurso especial não comporta exame de questões que impliquem revolvimento do contexto fático-probatório dos autos (Súmula n. 7 do STJ).</w:t>
      </w:r>
    </w:p>
    <w:p w14:paraId="2D7540E5" w14:textId="77777777" w:rsidR="00DA47DC" w:rsidRPr="00C53D48" w:rsidRDefault="00DA47DC" w:rsidP="00E777AC">
      <w:pPr>
        <w:spacing w:line="240" w:lineRule="auto"/>
        <w:ind w:left="2268"/>
        <w:jc w:val="both"/>
        <w:rPr>
          <w:rFonts w:ascii="Times New Roman" w:hAnsi="Times New Roman" w:cs="Times New Roman"/>
          <w:color w:val="000000"/>
          <w:sz w:val="20"/>
          <w:szCs w:val="20"/>
          <w:shd w:val="clear" w:color="auto" w:fill="FFFFFF"/>
        </w:rPr>
      </w:pPr>
      <w:r w:rsidRPr="00C53D48">
        <w:rPr>
          <w:rFonts w:ascii="Times New Roman" w:hAnsi="Times New Roman" w:cs="Times New Roman"/>
          <w:color w:val="000000"/>
          <w:sz w:val="20"/>
          <w:szCs w:val="20"/>
          <w:shd w:val="clear" w:color="auto" w:fill="FFFFFF"/>
        </w:rPr>
        <w:t>1.2. No caso concreto, afirmar que o sócio foi protagonista das relações negociais em litígio, para afastar o entendimento da Corte estadual de autonomia da personalidade jurídica da sociedade empresária, a fim de reconhecer o litisconsórcio necessário, demandaria nova análise dos demais elementos fáticos dos autos, inviável em recurso especial, ante o óbice da referida súmula.</w:t>
      </w:r>
    </w:p>
    <w:p w14:paraId="06475AA0" w14:textId="77777777" w:rsidR="00DA47DC" w:rsidRPr="00C53D48" w:rsidRDefault="00DA47DC" w:rsidP="00E777AC">
      <w:pPr>
        <w:spacing w:line="240" w:lineRule="auto"/>
        <w:ind w:left="2268"/>
        <w:jc w:val="both"/>
        <w:rPr>
          <w:rFonts w:ascii="Times New Roman" w:hAnsi="Times New Roman" w:cs="Times New Roman"/>
          <w:color w:val="000000"/>
          <w:sz w:val="20"/>
          <w:szCs w:val="20"/>
          <w:shd w:val="clear" w:color="auto" w:fill="FFFFFF"/>
        </w:rPr>
      </w:pPr>
      <w:r w:rsidRPr="00C53D48">
        <w:rPr>
          <w:rFonts w:ascii="Times New Roman" w:hAnsi="Times New Roman" w:cs="Times New Roman"/>
          <w:color w:val="000000"/>
          <w:sz w:val="20"/>
          <w:szCs w:val="20"/>
          <w:shd w:val="clear" w:color="auto" w:fill="FFFFFF"/>
        </w:rPr>
        <w:t>1.3. Eventual conclusão desta Corte Superior em sentido contrário ao das instâncias ordinárias - desnecessidade de fixação dos pontos controvertidos para perícia e pedido nitidamente protelatório - exigiria incursão no campo fático-probatório.</w:t>
      </w:r>
    </w:p>
    <w:p w14:paraId="7A6C5FE6" w14:textId="77777777" w:rsidR="00DA47DC" w:rsidRPr="00C53D48" w:rsidRDefault="00DA47DC" w:rsidP="00E777AC">
      <w:pPr>
        <w:spacing w:line="240" w:lineRule="auto"/>
        <w:ind w:left="2268"/>
        <w:jc w:val="both"/>
        <w:rPr>
          <w:rFonts w:ascii="Times New Roman" w:hAnsi="Times New Roman" w:cs="Times New Roman"/>
          <w:b/>
          <w:bCs/>
          <w:color w:val="000000"/>
          <w:sz w:val="20"/>
          <w:szCs w:val="20"/>
          <w:shd w:val="clear" w:color="auto" w:fill="FFFFFF"/>
        </w:rPr>
      </w:pPr>
      <w:r w:rsidRPr="00C53D48">
        <w:rPr>
          <w:rFonts w:ascii="Times New Roman" w:hAnsi="Times New Roman" w:cs="Times New Roman"/>
          <w:b/>
          <w:bCs/>
          <w:color w:val="000000"/>
          <w:sz w:val="20"/>
          <w:szCs w:val="20"/>
          <w:shd w:val="clear" w:color="auto" w:fill="FFFFFF"/>
        </w:rPr>
        <w:lastRenderedPageBreak/>
        <w:t>2. Segundo a jurisprudência desta Corte, para o reconhecimento da coisa julgada, faz-se necessária a tríplice identidade - mesmas partes, mesma causa de pedir e mesmo pedido -, o que não ocorreu.</w:t>
      </w:r>
    </w:p>
    <w:p w14:paraId="2AA7E81A" w14:textId="77777777" w:rsidR="00DA47DC" w:rsidRPr="00C53D48" w:rsidRDefault="00DA47DC" w:rsidP="00E777AC">
      <w:pPr>
        <w:spacing w:line="240" w:lineRule="auto"/>
        <w:ind w:left="2268"/>
        <w:jc w:val="both"/>
        <w:rPr>
          <w:rFonts w:ascii="Times New Roman" w:hAnsi="Times New Roman" w:cs="Times New Roman"/>
          <w:color w:val="000000"/>
          <w:sz w:val="20"/>
          <w:szCs w:val="20"/>
          <w:shd w:val="clear" w:color="auto" w:fill="FFFFFF"/>
        </w:rPr>
      </w:pPr>
      <w:r w:rsidRPr="00C53D48">
        <w:rPr>
          <w:rFonts w:ascii="Times New Roman" w:hAnsi="Times New Roman" w:cs="Times New Roman"/>
          <w:color w:val="000000"/>
          <w:sz w:val="20"/>
          <w:szCs w:val="20"/>
          <w:shd w:val="clear" w:color="auto" w:fill="FFFFFF"/>
        </w:rPr>
        <w:t>3. O recurso especial que não impugna fundamento do acórdão recorrido suficiente para mantê-lo não deve ser admitido, a teor da Súmula n. 283/STF.</w:t>
      </w:r>
    </w:p>
    <w:p w14:paraId="067FF681" w14:textId="77777777" w:rsidR="00DA47DC" w:rsidRPr="00C53D48" w:rsidRDefault="00DA47DC" w:rsidP="00E777AC">
      <w:pPr>
        <w:spacing w:line="240" w:lineRule="auto"/>
        <w:ind w:left="2268"/>
        <w:jc w:val="both"/>
        <w:rPr>
          <w:rFonts w:ascii="Times New Roman" w:hAnsi="Times New Roman" w:cs="Times New Roman"/>
          <w:color w:val="000000"/>
          <w:sz w:val="20"/>
          <w:szCs w:val="20"/>
          <w:shd w:val="clear" w:color="auto" w:fill="FFFFFF"/>
        </w:rPr>
      </w:pPr>
      <w:r w:rsidRPr="00C53D48">
        <w:rPr>
          <w:rFonts w:ascii="Times New Roman" w:hAnsi="Times New Roman" w:cs="Times New Roman"/>
          <w:color w:val="000000"/>
          <w:sz w:val="20"/>
          <w:szCs w:val="20"/>
          <w:shd w:val="clear" w:color="auto" w:fill="FFFFFF"/>
        </w:rPr>
        <w:t>4. Ausente o enfrentamento da matéria pelo acórdão recorrido, mesmo após a oposição de embargos declaratórios, inviável o conhecimento do recurso especial, por falta de prequestionamento. Incidência da Súmula n. 211/STJ.</w:t>
      </w:r>
    </w:p>
    <w:p w14:paraId="76206A28" w14:textId="77777777" w:rsidR="00DA47DC" w:rsidRPr="00C53D48" w:rsidRDefault="00DA47DC" w:rsidP="00E777AC">
      <w:pPr>
        <w:spacing w:line="240" w:lineRule="auto"/>
        <w:ind w:left="2268"/>
        <w:jc w:val="both"/>
        <w:rPr>
          <w:rFonts w:ascii="Times New Roman" w:hAnsi="Times New Roman" w:cs="Times New Roman"/>
          <w:color w:val="000000"/>
          <w:sz w:val="20"/>
          <w:szCs w:val="20"/>
          <w:shd w:val="clear" w:color="auto" w:fill="FFFFFF"/>
        </w:rPr>
      </w:pPr>
      <w:r w:rsidRPr="00C53D48">
        <w:rPr>
          <w:rFonts w:ascii="Times New Roman" w:hAnsi="Times New Roman" w:cs="Times New Roman"/>
          <w:color w:val="000000"/>
          <w:sz w:val="20"/>
          <w:szCs w:val="20"/>
          <w:shd w:val="clear" w:color="auto" w:fill="FFFFFF"/>
        </w:rPr>
        <w:t>5. Agravo interno a que se nega provimento.</w:t>
      </w:r>
    </w:p>
    <w:p w14:paraId="5387AFE9" w14:textId="549582AE" w:rsidR="00DA47DC" w:rsidRDefault="00DA47DC" w:rsidP="00E777AC">
      <w:pPr>
        <w:spacing w:line="240" w:lineRule="auto"/>
        <w:ind w:left="2268"/>
        <w:jc w:val="both"/>
        <w:rPr>
          <w:rFonts w:ascii="Times New Roman" w:hAnsi="Times New Roman" w:cs="Times New Roman"/>
          <w:color w:val="000000"/>
          <w:sz w:val="20"/>
          <w:szCs w:val="20"/>
          <w:shd w:val="clear" w:color="auto" w:fill="FFFFFF"/>
        </w:rPr>
      </w:pPr>
      <w:r w:rsidRPr="00C53D48">
        <w:rPr>
          <w:rFonts w:ascii="Times New Roman" w:hAnsi="Times New Roman" w:cs="Times New Roman"/>
          <w:color w:val="000000"/>
          <w:sz w:val="20"/>
          <w:szCs w:val="20"/>
          <w:shd w:val="clear" w:color="auto" w:fill="FFFFFF"/>
        </w:rPr>
        <w:t>(</w:t>
      </w:r>
      <w:proofErr w:type="spellStart"/>
      <w:r w:rsidRPr="00C53D48">
        <w:rPr>
          <w:rFonts w:ascii="Times New Roman" w:hAnsi="Times New Roman" w:cs="Times New Roman"/>
          <w:color w:val="000000"/>
          <w:sz w:val="20"/>
          <w:szCs w:val="20"/>
          <w:shd w:val="clear" w:color="auto" w:fill="FFFFFF"/>
        </w:rPr>
        <w:t>AgInt</w:t>
      </w:r>
      <w:proofErr w:type="spellEnd"/>
      <w:r w:rsidRPr="00C53D48">
        <w:rPr>
          <w:rFonts w:ascii="Times New Roman" w:hAnsi="Times New Roman" w:cs="Times New Roman"/>
          <w:color w:val="000000"/>
          <w:sz w:val="20"/>
          <w:szCs w:val="20"/>
          <w:shd w:val="clear" w:color="auto" w:fill="FFFFFF"/>
        </w:rPr>
        <w:t xml:space="preserve"> no </w:t>
      </w:r>
      <w:proofErr w:type="spellStart"/>
      <w:r w:rsidRPr="00C53D48">
        <w:rPr>
          <w:rFonts w:ascii="Times New Roman" w:hAnsi="Times New Roman" w:cs="Times New Roman"/>
          <w:color w:val="000000"/>
          <w:sz w:val="20"/>
          <w:szCs w:val="20"/>
          <w:shd w:val="clear" w:color="auto" w:fill="FFFFFF"/>
        </w:rPr>
        <w:t>REsp</w:t>
      </w:r>
      <w:proofErr w:type="spellEnd"/>
      <w:r w:rsidRPr="00C53D48">
        <w:rPr>
          <w:rFonts w:ascii="Times New Roman" w:hAnsi="Times New Roman" w:cs="Times New Roman"/>
          <w:color w:val="000000"/>
          <w:sz w:val="20"/>
          <w:szCs w:val="20"/>
          <w:shd w:val="clear" w:color="auto" w:fill="FFFFFF"/>
        </w:rPr>
        <w:t xml:space="preserve"> n. 1.972.809/SP, relator Ministro </w:t>
      </w:r>
      <w:proofErr w:type="spellStart"/>
      <w:r w:rsidRPr="00C53D48">
        <w:rPr>
          <w:rFonts w:ascii="Times New Roman" w:hAnsi="Times New Roman" w:cs="Times New Roman"/>
          <w:color w:val="000000"/>
          <w:sz w:val="20"/>
          <w:szCs w:val="20"/>
          <w:shd w:val="clear" w:color="auto" w:fill="FFFFFF"/>
        </w:rPr>
        <w:t>Antonio</w:t>
      </w:r>
      <w:proofErr w:type="spellEnd"/>
      <w:r w:rsidRPr="00C53D48">
        <w:rPr>
          <w:rFonts w:ascii="Times New Roman" w:hAnsi="Times New Roman" w:cs="Times New Roman"/>
          <w:color w:val="000000"/>
          <w:sz w:val="20"/>
          <w:szCs w:val="20"/>
          <w:shd w:val="clear" w:color="auto" w:fill="FFFFFF"/>
        </w:rPr>
        <w:t xml:space="preserve"> Carlos Ferreira, Quarta Turma, julgado em 14/8/2023, </w:t>
      </w:r>
      <w:proofErr w:type="spellStart"/>
      <w:r w:rsidRPr="00C53D48">
        <w:rPr>
          <w:rFonts w:ascii="Times New Roman" w:hAnsi="Times New Roman" w:cs="Times New Roman"/>
          <w:color w:val="000000"/>
          <w:sz w:val="20"/>
          <w:szCs w:val="20"/>
          <w:shd w:val="clear" w:color="auto" w:fill="FFFFFF"/>
        </w:rPr>
        <w:t>DJe</w:t>
      </w:r>
      <w:proofErr w:type="spellEnd"/>
      <w:r w:rsidRPr="00C53D48">
        <w:rPr>
          <w:rFonts w:ascii="Times New Roman" w:hAnsi="Times New Roman" w:cs="Times New Roman"/>
          <w:color w:val="000000"/>
          <w:sz w:val="20"/>
          <w:szCs w:val="20"/>
          <w:shd w:val="clear" w:color="auto" w:fill="FFFFFF"/>
        </w:rPr>
        <w:t xml:space="preserve"> de 18/8/2023.)</w:t>
      </w:r>
    </w:p>
    <w:p w14:paraId="75E74E3C" w14:textId="77777777" w:rsidR="002023D8" w:rsidRPr="00DD762C" w:rsidRDefault="002023D8" w:rsidP="00100311">
      <w:pPr>
        <w:spacing w:line="360" w:lineRule="auto"/>
        <w:ind w:firstLine="851"/>
        <w:jc w:val="both"/>
        <w:rPr>
          <w:rFonts w:ascii="Times New Roman" w:hAnsi="Times New Roman" w:cs="Times New Roman"/>
          <w:color w:val="000000"/>
          <w:sz w:val="20"/>
          <w:szCs w:val="20"/>
          <w:shd w:val="clear" w:color="auto" w:fill="FFFFFF"/>
        </w:rPr>
      </w:pPr>
    </w:p>
    <w:p w14:paraId="7D8D445A" w14:textId="71EA1A03" w:rsidR="00DD762C" w:rsidRDefault="00DD762C" w:rsidP="00100311">
      <w:pPr>
        <w:spacing w:line="360" w:lineRule="auto"/>
        <w:ind w:firstLine="851"/>
        <w:jc w:val="both"/>
        <w:rPr>
          <w:rFonts w:ascii="Times New Roman" w:hAnsi="Times New Roman" w:cs="Times New Roman"/>
          <w:szCs w:val="24"/>
        </w:rPr>
      </w:pPr>
      <w:r w:rsidRPr="00DD762C">
        <w:rPr>
          <w:rFonts w:ascii="Times New Roman" w:hAnsi="Times New Roman" w:cs="Times New Roman"/>
          <w:szCs w:val="24"/>
        </w:rPr>
        <w:t>Assim,</w:t>
      </w:r>
      <w:r>
        <w:rPr>
          <w:rFonts w:ascii="Times New Roman" w:hAnsi="Times New Roman" w:cs="Times New Roman"/>
          <w:szCs w:val="24"/>
        </w:rPr>
        <w:t xml:space="preserve"> se, de alguma maneira a questão em </w:t>
      </w:r>
      <w:r w:rsidR="004C52BB">
        <w:rPr>
          <w:rFonts w:ascii="Times New Roman" w:hAnsi="Times New Roman" w:cs="Times New Roman"/>
          <w:szCs w:val="24"/>
        </w:rPr>
        <w:t>debate</w:t>
      </w:r>
      <w:r>
        <w:rPr>
          <w:rFonts w:ascii="Times New Roman" w:hAnsi="Times New Roman" w:cs="Times New Roman"/>
          <w:szCs w:val="24"/>
        </w:rPr>
        <w:t xml:space="preserve"> chegar ao Poder Judiciário, apresentado novo fundamento baseado na teoria dos pordes implícitos, estará descaracterizada a identidade de ações ensejadora da coisa julgada material.</w:t>
      </w:r>
    </w:p>
    <w:p w14:paraId="1D2C26F3" w14:textId="556A98BA" w:rsidR="00462B3B" w:rsidRDefault="00462B3B" w:rsidP="00462B3B">
      <w:pPr>
        <w:spacing w:line="360" w:lineRule="auto"/>
        <w:ind w:firstLine="709"/>
        <w:jc w:val="both"/>
        <w:rPr>
          <w:rFonts w:ascii="Times New Roman" w:hAnsi="Times New Roman" w:cs="Times New Roman"/>
          <w:szCs w:val="24"/>
        </w:rPr>
      </w:pPr>
      <w:r>
        <w:rPr>
          <w:rFonts w:ascii="Times New Roman" w:hAnsi="Times New Roman" w:cs="Times New Roman"/>
          <w:szCs w:val="24"/>
        </w:rPr>
        <w:t xml:space="preserve">Interessante, ainda, assinalar que no julgamento da ADI 5.886/DF quatro ministros (Dias Toffoli, Alexandre de Morais, Rosa Weber e Carmen Lúcia) votaram pela improcedência integral da ação, enquanto que outros sete votaram pela procedência da ação no que toca à indisponibilidade de bens como efeito da averbação da CDA. E desses sete, dois se aposentaram (Marco Aurélio e Lewandowski), o que, por si só, abre a possibilidade de formação de maioria em favor da Fazenda Pública.  </w:t>
      </w:r>
    </w:p>
    <w:p w14:paraId="701FBE62" w14:textId="77777777" w:rsidR="00DA47DC" w:rsidRPr="00BF185E" w:rsidRDefault="00DA47DC" w:rsidP="00100311">
      <w:pPr>
        <w:spacing w:line="360" w:lineRule="auto"/>
        <w:jc w:val="both"/>
        <w:rPr>
          <w:rFonts w:ascii="Times New Roman" w:hAnsi="Times New Roman" w:cs="Times New Roman"/>
          <w:b/>
          <w:bCs/>
          <w:szCs w:val="24"/>
        </w:rPr>
      </w:pPr>
    </w:p>
    <w:p w14:paraId="213A7779" w14:textId="25AA66D6" w:rsidR="00100311" w:rsidRDefault="00126F44" w:rsidP="006F07AF">
      <w:pPr>
        <w:pBdr>
          <w:top w:val="single" w:sz="4" w:space="1" w:color="auto"/>
          <w:bottom w:val="single" w:sz="4" w:space="1" w:color="auto"/>
        </w:pBdr>
        <w:spacing w:line="360" w:lineRule="auto"/>
        <w:ind w:firstLine="851"/>
        <w:jc w:val="both"/>
        <w:rPr>
          <w:rFonts w:ascii="Times New Roman" w:hAnsi="Times New Roman" w:cs="Times New Roman"/>
          <w:b/>
          <w:bCs/>
          <w:szCs w:val="24"/>
        </w:rPr>
      </w:pPr>
      <w:r w:rsidRPr="00100311">
        <w:rPr>
          <w:rFonts w:ascii="Times New Roman" w:hAnsi="Times New Roman" w:cs="Times New Roman"/>
          <w:b/>
          <w:bCs/>
          <w:szCs w:val="24"/>
        </w:rPr>
        <w:t>I</w:t>
      </w:r>
      <w:r w:rsidR="00325F25">
        <w:rPr>
          <w:rFonts w:ascii="Times New Roman" w:hAnsi="Times New Roman" w:cs="Times New Roman"/>
          <w:b/>
          <w:bCs/>
          <w:szCs w:val="24"/>
        </w:rPr>
        <w:t>V</w:t>
      </w:r>
      <w:r w:rsidRPr="00100311">
        <w:rPr>
          <w:rFonts w:ascii="Times New Roman" w:hAnsi="Times New Roman" w:cs="Times New Roman"/>
          <w:b/>
          <w:bCs/>
          <w:szCs w:val="24"/>
        </w:rPr>
        <w:t xml:space="preserve"> </w:t>
      </w:r>
      <w:r w:rsidR="002128FA" w:rsidRPr="00100311">
        <w:rPr>
          <w:rFonts w:ascii="Times New Roman" w:hAnsi="Times New Roman" w:cs="Times New Roman"/>
          <w:b/>
          <w:bCs/>
          <w:szCs w:val="24"/>
        </w:rPr>
        <w:t>Dos</w:t>
      </w:r>
      <w:r w:rsidR="002128FA">
        <w:rPr>
          <w:rFonts w:ascii="Times New Roman" w:hAnsi="Times New Roman" w:cs="Times New Roman"/>
          <w:b/>
          <w:bCs/>
          <w:szCs w:val="24"/>
        </w:rPr>
        <w:t xml:space="preserve"> caminhos possíveis para a Fazenda Pública retomar </w:t>
      </w:r>
      <w:r w:rsidR="00100311">
        <w:rPr>
          <w:rFonts w:ascii="Times New Roman" w:hAnsi="Times New Roman" w:cs="Times New Roman"/>
          <w:b/>
          <w:bCs/>
          <w:szCs w:val="24"/>
        </w:rPr>
        <w:t xml:space="preserve">a questão </w:t>
      </w:r>
    </w:p>
    <w:p w14:paraId="128EC58D" w14:textId="77777777" w:rsidR="00100311" w:rsidRDefault="00100311" w:rsidP="00100311">
      <w:pPr>
        <w:spacing w:line="360" w:lineRule="auto"/>
        <w:jc w:val="both"/>
        <w:rPr>
          <w:rFonts w:ascii="Times New Roman" w:hAnsi="Times New Roman" w:cs="Times New Roman"/>
          <w:b/>
          <w:bCs/>
          <w:szCs w:val="24"/>
        </w:rPr>
      </w:pPr>
    </w:p>
    <w:p w14:paraId="34600CC3" w14:textId="1A3BB6AE" w:rsidR="00126F44" w:rsidRPr="00BF185E" w:rsidRDefault="00100311" w:rsidP="00100311">
      <w:pPr>
        <w:pBdr>
          <w:bottom w:val="single" w:sz="4" w:space="1" w:color="auto"/>
        </w:pBdr>
        <w:spacing w:line="360" w:lineRule="auto"/>
        <w:ind w:firstLine="851"/>
        <w:jc w:val="both"/>
        <w:rPr>
          <w:rFonts w:ascii="Times New Roman" w:hAnsi="Times New Roman" w:cs="Times New Roman"/>
          <w:b/>
          <w:bCs/>
          <w:szCs w:val="24"/>
        </w:rPr>
      </w:pPr>
      <w:r>
        <w:rPr>
          <w:rFonts w:ascii="Times New Roman" w:hAnsi="Times New Roman" w:cs="Times New Roman"/>
          <w:b/>
          <w:bCs/>
          <w:szCs w:val="24"/>
        </w:rPr>
        <w:t>I</w:t>
      </w:r>
      <w:r w:rsidR="00325F25">
        <w:rPr>
          <w:rFonts w:ascii="Times New Roman" w:hAnsi="Times New Roman" w:cs="Times New Roman"/>
          <w:b/>
          <w:bCs/>
          <w:szCs w:val="24"/>
        </w:rPr>
        <w:t>V</w:t>
      </w:r>
      <w:r>
        <w:rPr>
          <w:rFonts w:ascii="Times New Roman" w:hAnsi="Times New Roman" w:cs="Times New Roman"/>
          <w:b/>
          <w:bCs/>
          <w:szCs w:val="24"/>
        </w:rPr>
        <w:t xml:space="preserve">.1 </w:t>
      </w:r>
      <w:r w:rsidR="00126F44">
        <w:rPr>
          <w:rFonts w:ascii="Times New Roman" w:hAnsi="Times New Roman" w:cs="Times New Roman"/>
          <w:b/>
          <w:bCs/>
          <w:szCs w:val="24"/>
        </w:rPr>
        <w:t>Da</w:t>
      </w:r>
      <w:r w:rsidR="00126F44" w:rsidRPr="000C441C">
        <w:rPr>
          <w:rFonts w:ascii="Times New Roman" w:hAnsi="Times New Roman" w:cs="Times New Roman"/>
          <w:b/>
          <w:bCs/>
          <w:szCs w:val="24"/>
        </w:rPr>
        <w:t xml:space="preserve"> </w:t>
      </w:r>
      <w:r w:rsidR="00126F44">
        <w:rPr>
          <w:rFonts w:ascii="Times New Roman" w:hAnsi="Times New Roman" w:cs="Times New Roman"/>
          <w:b/>
          <w:bCs/>
          <w:szCs w:val="24"/>
        </w:rPr>
        <w:t>decretação de indisponibilidade por meio de Parecer Jurídico</w:t>
      </w:r>
    </w:p>
    <w:p w14:paraId="66BF4C02" w14:textId="77777777" w:rsidR="008C529A" w:rsidRDefault="008C529A" w:rsidP="00E11D62">
      <w:pPr>
        <w:spacing w:line="360" w:lineRule="auto"/>
        <w:ind w:firstLine="709"/>
        <w:jc w:val="both"/>
        <w:rPr>
          <w:rFonts w:ascii="Times New Roman" w:hAnsi="Times New Roman" w:cs="Times New Roman"/>
          <w:szCs w:val="24"/>
        </w:rPr>
      </w:pPr>
    </w:p>
    <w:p w14:paraId="4316FAC2" w14:textId="4C55BD32" w:rsidR="00E11D62" w:rsidRPr="00BF185E" w:rsidRDefault="00472B79" w:rsidP="00E11D62">
      <w:pPr>
        <w:spacing w:line="360" w:lineRule="auto"/>
        <w:ind w:firstLine="709"/>
        <w:jc w:val="both"/>
        <w:rPr>
          <w:rFonts w:ascii="Times New Roman" w:hAnsi="Times New Roman" w:cs="Times New Roman"/>
          <w:szCs w:val="24"/>
        </w:rPr>
      </w:pPr>
      <w:r>
        <w:rPr>
          <w:rFonts w:ascii="Times New Roman" w:hAnsi="Times New Roman" w:cs="Times New Roman"/>
          <w:szCs w:val="24"/>
        </w:rPr>
        <w:t xml:space="preserve">Com apoio nas lições do professor Gustavo </w:t>
      </w:r>
      <w:proofErr w:type="spellStart"/>
      <w:r w:rsidR="00E11D62" w:rsidRPr="00BF185E">
        <w:rPr>
          <w:rFonts w:ascii="Times New Roman" w:hAnsi="Times New Roman" w:cs="Times New Roman"/>
          <w:szCs w:val="24"/>
        </w:rPr>
        <w:t>Binenbojm</w:t>
      </w:r>
      <w:proofErr w:type="spellEnd"/>
      <w:r w:rsidR="00E11D62" w:rsidRPr="00BF185E">
        <w:rPr>
          <w:rFonts w:ascii="Times New Roman" w:hAnsi="Times New Roman" w:cs="Times New Roman"/>
          <w:szCs w:val="24"/>
        </w:rPr>
        <w:t xml:space="preserve">, </w:t>
      </w:r>
      <w:r>
        <w:rPr>
          <w:rFonts w:ascii="Times New Roman" w:hAnsi="Times New Roman" w:cs="Times New Roman"/>
          <w:szCs w:val="24"/>
        </w:rPr>
        <w:t xml:space="preserve">temos que </w:t>
      </w:r>
      <w:r w:rsidR="00E11D62" w:rsidRPr="00BF185E">
        <w:rPr>
          <w:rFonts w:ascii="Times New Roman" w:hAnsi="Times New Roman" w:cs="Times New Roman"/>
          <w:szCs w:val="24"/>
        </w:rPr>
        <w:t>a superação do paradigma da legalidade administrativa deve se dar pela substituição da lei pela Constituição</w:t>
      </w:r>
      <w:r w:rsidR="00E11D62">
        <w:rPr>
          <w:rFonts w:ascii="Times New Roman" w:hAnsi="Times New Roman" w:cs="Times New Roman"/>
          <w:szCs w:val="24"/>
        </w:rPr>
        <w:t>,</w:t>
      </w:r>
      <w:r w:rsidR="00E11D62" w:rsidRPr="00BF185E">
        <w:rPr>
          <w:rFonts w:ascii="Times New Roman" w:hAnsi="Times New Roman" w:cs="Times New Roman"/>
          <w:szCs w:val="24"/>
        </w:rPr>
        <w:t xml:space="preserve"> como cerne da vinculação administrativa à juridicidade, e não mais, portanto, à legalidade estrita:</w:t>
      </w:r>
      <w:r w:rsidR="00E11D62" w:rsidRPr="00BF185E">
        <w:rPr>
          <w:rStyle w:val="Refdenotaderodap"/>
          <w:rFonts w:ascii="Times New Roman" w:hAnsi="Times New Roman" w:cs="Times New Roman"/>
          <w:szCs w:val="24"/>
        </w:rPr>
        <w:footnoteReference w:id="8"/>
      </w:r>
    </w:p>
    <w:p w14:paraId="34921E17" w14:textId="77777777" w:rsidR="00472B79" w:rsidRDefault="00472B79" w:rsidP="00E777AC">
      <w:pPr>
        <w:spacing w:line="240" w:lineRule="auto"/>
        <w:ind w:left="2268"/>
        <w:jc w:val="both"/>
        <w:rPr>
          <w:rFonts w:ascii="Times New Roman" w:hAnsi="Times New Roman" w:cs="Times New Roman"/>
          <w:sz w:val="22"/>
        </w:rPr>
      </w:pPr>
    </w:p>
    <w:p w14:paraId="5991C851" w14:textId="1047FBC3" w:rsidR="00DF66F6" w:rsidRDefault="00E11D62" w:rsidP="00E777AC">
      <w:pPr>
        <w:spacing w:line="240" w:lineRule="auto"/>
        <w:ind w:left="2268"/>
        <w:jc w:val="both"/>
        <w:rPr>
          <w:rFonts w:ascii="Times New Roman" w:hAnsi="Times New Roman" w:cs="Times New Roman"/>
          <w:b/>
          <w:bCs/>
          <w:szCs w:val="24"/>
        </w:rPr>
      </w:pPr>
      <w:r w:rsidRPr="00E84A08">
        <w:rPr>
          <w:rFonts w:ascii="Times New Roman" w:hAnsi="Times New Roman" w:cs="Times New Roman"/>
          <w:sz w:val="22"/>
        </w:rPr>
        <w:lastRenderedPageBreak/>
        <w:t xml:space="preserve">A ideia de </w:t>
      </w:r>
      <w:r w:rsidRPr="00E84A08">
        <w:rPr>
          <w:rFonts w:ascii="Times New Roman" w:hAnsi="Times New Roman" w:cs="Times New Roman"/>
          <w:i/>
          <w:iCs/>
          <w:sz w:val="22"/>
        </w:rPr>
        <w:t xml:space="preserve">juridicidade administrativa, </w:t>
      </w:r>
      <w:r w:rsidRPr="00E84A08">
        <w:rPr>
          <w:rFonts w:ascii="Times New Roman" w:hAnsi="Times New Roman" w:cs="Times New Roman"/>
          <w:sz w:val="22"/>
        </w:rPr>
        <w:t xml:space="preserve">elaborada a partir da interpretação dos princípios e regras constitucionais, passa, destarte, a englobar o campo da </w:t>
      </w:r>
      <w:r w:rsidRPr="00E84A08">
        <w:rPr>
          <w:rFonts w:ascii="Times New Roman" w:hAnsi="Times New Roman" w:cs="Times New Roman"/>
          <w:i/>
          <w:iCs/>
          <w:sz w:val="22"/>
        </w:rPr>
        <w:t>legalidade administrativa</w:t>
      </w:r>
      <w:r w:rsidRPr="00E84A08">
        <w:rPr>
          <w:rFonts w:ascii="Times New Roman" w:hAnsi="Times New Roman" w:cs="Times New Roman"/>
          <w:sz w:val="22"/>
        </w:rPr>
        <w:t xml:space="preserve">, como um de seus princípios internos, mas não mais altaneiro e soberano como outrora. Isso significa que a atividade administrativa continua a realizar-se, via de regra,, (i) segundo a lei, quando esta for constitucional (atividade </w:t>
      </w:r>
      <w:r w:rsidRPr="00E84A08">
        <w:rPr>
          <w:rFonts w:ascii="Times New Roman" w:hAnsi="Times New Roman" w:cs="Times New Roman"/>
          <w:i/>
          <w:iCs/>
          <w:sz w:val="22"/>
        </w:rPr>
        <w:t xml:space="preserve">secundum </w:t>
      </w:r>
      <w:proofErr w:type="spellStart"/>
      <w:r w:rsidRPr="00E84A08">
        <w:rPr>
          <w:rFonts w:ascii="Times New Roman" w:hAnsi="Times New Roman" w:cs="Times New Roman"/>
          <w:i/>
          <w:iCs/>
          <w:sz w:val="22"/>
        </w:rPr>
        <w:t>legem</w:t>
      </w:r>
      <w:proofErr w:type="spellEnd"/>
      <w:r w:rsidRPr="00E84A08">
        <w:rPr>
          <w:rFonts w:ascii="Times New Roman" w:hAnsi="Times New Roman" w:cs="Times New Roman"/>
          <w:sz w:val="22"/>
        </w:rPr>
        <w:t>), (</w:t>
      </w:r>
      <w:proofErr w:type="spellStart"/>
      <w:r w:rsidRPr="00E84A08">
        <w:rPr>
          <w:rFonts w:ascii="Times New Roman" w:hAnsi="Times New Roman" w:cs="Times New Roman"/>
          <w:sz w:val="22"/>
        </w:rPr>
        <w:t>ii</w:t>
      </w:r>
      <w:proofErr w:type="spellEnd"/>
      <w:r w:rsidRPr="00E84A08">
        <w:rPr>
          <w:rFonts w:ascii="Times New Roman" w:hAnsi="Times New Roman" w:cs="Times New Roman"/>
          <w:sz w:val="22"/>
        </w:rPr>
        <w:t xml:space="preserve">) mas pode encontrar fundamento direto na Constituição, independente ou para além da lei (atividade </w:t>
      </w:r>
      <w:proofErr w:type="spellStart"/>
      <w:r w:rsidRPr="00E84A08">
        <w:rPr>
          <w:rFonts w:ascii="Times New Roman" w:hAnsi="Times New Roman" w:cs="Times New Roman"/>
          <w:i/>
          <w:iCs/>
          <w:sz w:val="22"/>
        </w:rPr>
        <w:t>praeter</w:t>
      </w:r>
      <w:proofErr w:type="spellEnd"/>
      <w:r w:rsidRPr="00E84A08">
        <w:rPr>
          <w:rFonts w:ascii="Times New Roman" w:hAnsi="Times New Roman" w:cs="Times New Roman"/>
          <w:i/>
          <w:iCs/>
          <w:sz w:val="22"/>
        </w:rPr>
        <w:t xml:space="preserve"> </w:t>
      </w:r>
      <w:proofErr w:type="spellStart"/>
      <w:r w:rsidRPr="00E84A08">
        <w:rPr>
          <w:rFonts w:ascii="Times New Roman" w:hAnsi="Times New Roman" w:cs="Times New Roman"/>
          <w:i/>
          <w:iCs/>
          <w:sz w:val="22"/>
        </w:rPr>
        <w:t>legem</w:t>
      </w:r>
      <w:proofErr w:type="spellEnd"/>
      <w:r w:rsidRPr="00E84A08">
        <w:rPr>
          <w:rFonts w:ascii="Times New Roman" w:hAnsi="Times New Roman" w:cs="Times New Roman"/>
          <w:sz w:val="22"/>
        </w:rPr>
        <w:t>), ou, eventualmente, (</w:t>
      </w:r>
      <w:proofErr w:type="spellStart"/>
      <w:r w:rsidRPr="00E84A08">
        <w:rPr>
          <w:rFonts w:ascii="Times New Roman" w:hAnsi="Times New Roman" w:cs="Times New Roman"/>
          <w:sz w:val="22"/>
        </w:rPr>
        <w:t>iii</w:t>
      </w:r>
      <w:proofErr w:type="spellEnd"/>
      <w:r w:rsidRPr="00E84A08">
        <w:rPr>
          <w:rFonts w:ascii="Times New Roman" w:hAnsi="Times New Roman" w:cs="Times New Roman"/>
          <w:sz w:val="22"/>
        </w:rPr>
        <w:t xml:space="preserve">) legitimar-se perante o direito, ainda que contra a lei, porém com fulcro numa ponderação de legalidade com outros princípios constitucionais (atividade </w:t>
      </w:r>
      <w:r w:rsidRPr="00E84A08">
        <w:rPr>
          <w:rFonts w:ascii="Times New Roman" w:hAnsi="Times New Roman" w:cs="Times New Roman"/>
          <w:i/>
          <w:iCs/>
          <w:sz w:val="22"/>
        </w:rPr>
        <w:t xml:space="preserve">contra </w:t>
      </w:r>
      <w:proofErr w:type="spellStart"/>
      <w:r w:rsidRPr="00E84A08">
        <w:rPr>
          <w:rFonts w:ascii="Times New Roman" w:hAnsi="Times New Roman" w:cs="Times New Roman"/>
          <w:i/>
          <w:iCs/>
          <w:sz w:val="22"/>
        </w:rPr>
        <w:t>legem</w:t>
      </w:r>
      <w:proofErr w:type="spellEnd"/>
      <w:r w:rsidRPr="00E84A08">
        <w:rPr>
          <w:rFonts w:ascii="Times New Roman" w:hAnsi="Times New Roman" w:cs="Times New Roman"/>
          <w:sz w:val="22"/>
        </w:rPr>
        <w:t>), mas com fundamento numa otimizada aplicação da Constituição</w:t>
      </w:r>
    </w:p>
    <w:p w14:paraId="560D6568" w14:textId="77777777" w:rsidR="00DF66F6" w:rsidRPr="00472B79" w:rsidRDefault="00DF66F6" w:rsidP="00E777AC">
      <w:pPr>
        <w:spacing w:line="240" w:lineRule="auto"/>
        <w:ind w:firstLine="709"/>
        <w:jc w:val="both"/>
        <w:rPr>
          <w:rFonts w:ascii="Times New Roman" w:hAnsi="Times New Roman" w:cs="Times New Roman"/>
          <w:szCs w:val="24"/>
        </w:rPr>
      </w:pPr>
    </w:p>
    <w:p w14:paraId="34533B5E" w14:textId="0E218038" w:rsidR="00472B79" w:rsidRDefault="00472B79" w:rsidP="00472B79">
      <w:pPr>
        <w:spacing w:line="360" w:lineRule="auto"/>
        <w:ind w:firstLine="851"/>
        <w:jc w:val="both"/>
        <w:rPr>
          <w:rFonts w:ascii="Times New Roman" w:hAnsi="Times New Roman" w:cs="Times New Roman"/>
          <w:szCs w:val="24"/>
        </w:rPr>
      </w:pPr>
      <w:r w:rsidRPr="00472B79">
        <w:rPr>
          <w:rFonts w:ascii="Times New Roman" w:hAnsi="Times New Roman" w:cs="Times New Roman"/>
          <w:szCs w:val="24"/>
        </w:rPr>
        <w:t xml:space="preserve">A </w:t>
      </w:r>
      <w:r>
        <w:rPr>
          <w:rFonts w:ascii="Times New Roman" w:hAnsi="Times New Roman" w:cs="Times New Roman"/>
          <w:szCs w:val="24"/>
        </w:rPr>
        <w:t>tese acima já forma corrente no Direito Administrativo,</w:t>
      </w:r>
      <w:r w:rsidR="00695D42">
        <w:rPr>
          <w:rStyle w:val="Refdenotaderodap"/>
          <w:rFonts w:ascii="Times New Roman" w:hAnsi="Times New Roman" w:cs="Times New Roman"/>
          <w:szCs w:val="24"/>
        </w:rPr>
        <w:footnoteReference w:id="9"/>
      </w:r>
      <w:r>
        <w:rPr>
          <w:rFonts w:ascii="Times New Roman" w:hAnsi="Times New Roman" w:cs="Times New Roman"/>
          <w:szCs w:val="24"/>
        </w:rPr>
        <w:t xml:space="preserve"> tem o ilustre Procurador do Estado do Rio de Janeiro como expoente, </w:t>
      </w:r>
      <w:r w:rsidR="00462B3B">
        <w:rPr>
          <w:rFonts w:ascii="Times New Roman" w:hAnsi="Times New Roman" w:cs="Times New Roman"/>
          <w:szCs w:val="24"/>
        </w:rPr>
        <w:t xml:space="preserve">e </w:t>
      </w:r>
      <w:r>
        <w:rPr>
          <w:rFonts w:ascii="Times New Roman" w:hAnsi="Times New Roman" w:cs="Times New Roman"/>
          <w:szCs w:val="24"/>
        </w:rPr>
        <w:t>abre caminho para que, a despeito da existência de regra legal explícita, desde que encontrado o fundamento em norma constitucional, possa a Fazenda Pública</w:t>
      </w:r>
      <w:r w:rsidR="009E46E9">
        <w:rPr>
          <w:rFonts w:ascii="Times New Roman" w:hAnsi="Times New Roman" w:cs="Times New Roman"/>
          <w:szCs w:val="24"/>
        </w:rPr>
        <w:t xml:space="preserve"> torne inalienável bens visando resguardar a satisfação de dívida fiscal já devidamente constituída d</w:t>
      </w:r>
      <w:r w:rsidR="00A5407C">
        <w:rPr>
          <w:rFonts w:ascii="Times New Roman" w:hAnsi="Times New Roman" w:cs="Times New Roman"/>
          <w:szCs w:val="24"/>
        </w:rPr>
        <w:t>a fraude creditória</w:t>
      </w:r>
      <w:r w:rsidR="009E46E9">
        <w:rPr>
          <w:rFonts w:ascii="Times New Roman" w:hAnsi="Times New Roman" w:cs="Times New Roman"/>
          <w:szCs w:val="24"/>
        </w:rPr>
        <w:t>, sem a prévia chancela judicial.</w:t>
      </w:r>
    </w:p>
    <w:p w14:paraId="267E35BB" w14:textId="143F3E11" w:rsidR="001E6456" w:rsidRDefault="001E6456" w:rsidP="00472B79">
      <w:pPr>
        <w:spacing w:line="360" w:lineRule="auto"/>
        <w:ind w:firstLine="851"/>
        <w:jc w:val="both"/>
        <w:rPr>
          <w:rFonts w:ascii="Times New Roman" w:hAnsi="Times New Roman" w:cs="Times New Roman"/>
          <w:szCs w:val="24"/>
        </w:rPr>
      </w:pPr>
      <w:r>
        <w:rPr>
          <w:rFonts w:ascii="Times New Roman" w:hAnsi="Times New Roman" w:cs="Times New Roman"/>
          <w:szCs w:val="24"/>
        </w:rPr>
        <w:t>O presente trabalho não tem a pretensão de demonstrar em quais termos deve ser lançado um parecer consultivo</w:t>
      </w:r>
      <w:r w:rsidR="00462B3B">
        <w:rPr>
          <w:rFonts w:ascii="Times New Roman" w:hAnsi="Times New Roman" w:cs="Times New Roman"/>
          <w:szCs w:val="24"/>
        </w:rPr>
        <w:t xml:space="preserve"> com tal </w:t>
      </w:r>
      <w:r>
        <w:rPr>
          <w:rFonts w:ascii="Times New Roman" w:hAnsi="Times New Roman" w:cs="Times New Roman"/>
          <w:szCs w:val="24"/>
        </w:rPr>
        <w:t xml:space="preserve">propósito, mas apenas indicar que </w:t>
      </w:r>
      <w:r w:rsidR="00462B3B">
        <w:rPr>
          <w:rFonts w:ascii="Times New Roman" w:hAnsi="Times New Roman" w:cs="Times New Roman"/>
          <w:szCs w:val="24"/>
        </w:rPr>
        <w:t>esse</w:t>
      </w:r>
      <w:r>
        <w:rPr>
          <w:rFonts w:ascii="Times New Roman" w:hAnsi="Times New Roman" w:cs="Times New Roman"/>
          <w:szCs w:val="24"/>
        </w:rPr>
        <w:t xml:space="preserve"> caminho é possível. Nesse caso, caberá aos colegas pareceristas a pavimentação desse caminho, considerando, por evidente, a difícil, mas não impossível tarefa de afastar aplicação, no caso concreto, da decisão prolatada na ADI 5.886/DF.</w:t>
      </w:r>
    </w:p>
    <w:p w14:paraId="5793A6A2" w14:textId="77777777" w:rsidR="007D0439" w:rsidRDefault="007D0439" w:rsidP="00100311">
      <w:pPr>
        <w:pBdr>
          <w:bottom w:val="single" w:sz="4" w:space="1" w:color="auto"/>
        </w:pBdr>
        <w:spacing w:line="360" w:lineRule="auto"/>
        <w:ind w:firstLine="851"/>
        <w:jc w:val="both"/>
        <w:rPr>
          <w:rFonts w:ascii="Times New Roman" w:hAnsi="Times New Roman" w:cs="Times New Roman"/>
          <w:b/>
          <w:bCs/>
          <w:szCs w:val="24"/>
        </w:rPr>
      </w:pPr>
    </w:p>
    <w:p w14:paraId="673D72E5" w14:textId="2553E3FF" w:rsidR="00100311" w:rsidRPr="00BF185E" w:rsidRDefault="00100311" w:rsidP="00100311">
      <w:pPr>
        <w:pBdr>
          <w:bottom w:val="single" w:sz="4" w:space="1" w:color="auto"/>
        </w:pBdr>
        <w:spacing w:line="360" w:lineRule="auto"/>
        <w:ind w:firstLine="851"/>
        <w:jc w:val="both"/>
        <w:rPr>
          <w:rFonts w:ascii="Times New Roman" w:hAnsi="Times New Roman" w:cs="Times New Roman"/>
          <w:b/>
          <w:bCs/>
          <w:szCs w:val="24"/>
        </w:rPr>
      </w:pPr>
      <w:r>
        <w:rPr>
          <w:rFonts w:ascii="Times New Roman" w:hAnsi="Times New Roman" w:cs="Times New Roman"/>
          <w:b/>
          <w:bCs/>
          <w:szCs w:val="24"/>
        </w:rPr>
        <w:t>I</w:t>
      </w:r>
      <w:r w:rsidR="00325F25">
        <w:rPr>
          <w:rFonts w:ascii="Times New Roman" w:hAnsi="Times New Roman" w:cs="Times New Roman"/>
          <w:b/>
          <w:bCs/>
          <w:szCs w:val="24"/>
        </w:rPr>
        <w:t>V</w:t>
      </w:r>
      <w:r>
        <w:rPr>
          <w:rFonts w:ascii="Times New Roman" w:hAnsi="Times New Roman" w:cs="Times New Roman"/>
          <w:b/>
          <w:bCs/>
          <w:szCs w:val="24"/>
        </w:rPr>
        <w:t>.2 De nova proposta legislativa</w:t>
      </w:r>
    </w:p>
    <w:p w14:paraId="0C56D5B2" w14:textId="77777777" w:rsidR="00AA64E6" w:rsidRDefault="00AA64E6" w:rsidP="001D3086">
      <w:pPr>
        <w:spacing w:line="360" w:lineRule="auto"/>
        <w:ind w:firstLine="709"/>
        <w:jc w:val="both"/>
        <w:rPr>
          <w:rFonts w:ascii="Times New Roman" w:hAnsi="Times New Roman" w:cs="Times New Roman"/>
          <w:szCs w:val="24"/>
        </w:rPr>
      </w:pPr>
    </w:p>
    <w:p w14:paraId="2DBCE685" w14:textId="05EEE0B0" w:rsidR="00373C7E" w:rsidRDefault="00100311" w:rsidP="001D3086">
      <w:pPr>
        <w:spacing w:line="360" w:lineRule="auto"/>
        <w:ind w:firstLine="709"/>
        <w:jc w:val="both"/>
        <w:rPr>
          <w:rFonts w:ascii="Times New Roman" w:hAnsi="Times New Roman" w:cs="Times New Roman"/>
          <w:szCs w:val="24"/>
        </w:rPr>
      </w:pPr>
      <w:r w:rsidRPr="00100311">
        <w:rPr>
          <w:rFonts w:ascii="Times New Roman" w:hAnsi="Times New Roman" w:cs="Times New Roman"/>
          <w:szCs w:val="24"/>
        </w:rPr>
        <w:t xml:space="preserve">A </w:t>
      </w:r>
      <w:r>
        <w:rPr>
          <w:rFonts w:ascii="Times New Roman" w:hAnsi="Times New Roman" w:cs="Times New Roman"/>
          <w:szCs w:val="24"/>
        </w:rPr>
        <w:t xml:space="preserve">edição de lei nova que discipline a decretação de inalienabilidade de bens em etapa </w:t>
      </w:r>
      <w:proofErr w:type="spellStart"/>
      <w:r>
        <w:rPr>
          <w:rFonts w:ascii="Times New Roman" w:hAnsi="Times New Roman" w:cs="Times New Roman"/>
          <w:szCs w:val="24"/>
        </w:rPr>
        <w:t>pré</w:t>
      </w:r>
      <w:proofErr w:type="spellEnd"/>
      <w:r>
        <w:rPr>
          <w:rFonts w:ascii="Times New Roman" w:hAnsi="Times New Roman" w:cs="Times New Roman"/>
          <w:szCs w:val="24"/>
        </w:rPr>
        <w:t>-executória é um dos caminhos possíveis para a retomada do reconhecimento dessa importante competência</w:t>
      </w:r>
      <w:r w:rsidR="00AA64E6">
        <w:rPr>
          <w:rFonts w:ascii="Times New Roman" w:hAnsi="Times New Roman" w:cs="Times New Roman"/>
          <w:szCs w:val="24"/>
        </w:rPr>
        <w:t>.</w:t>
      </w:r>
    </w:p>
    <w:p w14:paraId="3E33424D" w14:textId="3362442A" w:rsidR="005D0B0C" w:rsidRDefault="00AA64E6" w:rsidP="001D3086">
      <w:pPr>
        <w:spacing w:line="360" w:lineRule="auto"/>
        <w:ind w:firstLine="709"/>
        <w:jc w:val="both"/>
        <w:rPr>
          <w:rFonts w:ascii="Times New Roman" w:hAnsi="Times New Roman" w:cs="Times New Roman"/>
          <w:szCs w:val="24"/>
        </w:rPr>
      </w:pPr>
      <w:r>
        <w:rPr>
          <w:rFonts w:ascii="Times New Roman" w:hAnsi="Times New Roman" w:cs="Times New Roman"/>
          <w:szCs w:val="24"/>
        </w:rPr>
        <w:t>V</w:t>
      </w:r>
      <w:r w:rsidR="005D0B0C">
        <w:rPr>
          <w:rFonts w:ascii="Times New Roman" w:hAnsi="Times New Roman" w:cs="Times New Roman"/>
          <w:szCs w:val="24"/>
        </w:rPr>
        <w:t xml:space="preserve">ale lembrar que já há tramitação de projetos de lei que alteram a cobrança da dívida ativa, prevendo não só a possibilidade de decretação da indisponibilidade de bens pela Fazenda Pública na fase </w:t>
      </w:r>
      <w:proofErr w:type="spellStart"/>
      <w:r w:rsidR="005D0B0C">
        <w:rPr>
          <w:rFonts w:ascii="Times New Roman" w:hAnsi="Times New Roman" w:cs="Times New Roman"/>
          <w:szCs w:val="24"/>
        </w:rPr>
        <w:t>pré</w:t>
      </w:r>
      <w:proofErr w:type="spellEnd"/>
      <w:r w:rsidR="005D0B0C">
        <w:rPr>
          <w:rFonts w:ascii="Times New Roman" w:hAnsi="Times New Roman" w:cs="Times New Roman"/>
          <w:szCs w:val="24"/>
        </w:rPr>
        <w:t xml:space="preserve">-executiva, </w:t>
      </w:r>
      <w:r w:rsidR="00462B3B">
        <w:rPr>
          <w:rFonts w:ascii="Times New Roman" w:hAnsi="Times New Roman" w:cs="Times New Roman"/>
          <w:szCs w:val="24"/>
        </w:rPr>
        <w:t>mas</w:t>
      </w:r>
      <w:r w:rsidR="005D0B0C">
        <w:rPr>
          <w:rFonts w:ascii="Times New Roman" w:hAnsi="Times New Roman" w:cs="Times New Roman"/>
          <w:szCs w:val="24"/>
        </w:rPr>
        <w:t xml:space="preserve"> a própria expropriação do bem, nas situações em que dispõe, como é o caso do PL nº 2.488/2022.</w:t>
      </w:r>
    </w:p>
    <w:p w14:paraId="721CD926" w14:textId="77777777" w:rsidR="00462B3B" w:rsidRDefault="00462B3B" w:rsidP="001D3086">
      <w:pPr>
        <w:spacing w:line="360" w:lineRule="auto"/>
        <w:ind w:firstLine="709"/>
        <w:jc w:val="both"/>
        <w:rPr>
          <w:rFonts w:ascii="Times New Roman" w:hAnsi="Times New Roman" w:cs="Times New Roman"/>
          <w:szCs w:val="24"/>
        </w:rPr>
      </w:pPr>
    </w:p>
    <w:p w14:paraId="11D963D8" w14:textId="2A5AC486" w:rsidR="00EE66EA" w:rsidRPr="00BF185E" w:rsidRDefault="00CE0868" w:rsidP="006709AF">
      <w:pPr>
        <w:pBdr>
          <w:top w:val="single" w:sz="4" w:space="1" w:color="auto"/>
          <w:bottom w:val="single" w:sz="4" w:space="1" w:color="auto"/>
        </w:pBdr>
        <w:spacing w:line="360" w:lineRule="auto"/>
        <w:jc w:val="center"/>
        <w:rPr>
          <w:rFonts w:ascii="Times New Roman" w:hAnsi="Times New Roman" w:cs="Times New Roman"/>
          <w:b/>
          <w:bCs/>
          <w:szCs w:val="24"/>
        </w:rPr>
      </w:pPr>
      <w:r w:rsidRPr="00BF185E">
        <w:rPr>
          <w:rFonts w:ascii="Times New Roman" w:hAnsi="Times New Roman" w:cs="Times New Roman"/>
          <w:b/>
          <w:bCs/>
          <w:szCs w:val="24"/>
        </w:rPr>
        <w:lastRenderedPageBreak/>
        <w:t>Con</w:t>
      </w:r>
      <w:r w:rsidR="00325F25">
        <w:rPr>
          <w:rFonts w:ascii="Times New Roman" w:hAnsi="Times New Roman" w:cs="Times New Roman"/>
          <w:b/>
          <w:bCs/>
          <w:szCs w:val="24"/>
        </w:rPr>
        <w:t>clusão</w:t>
      </w:r>
    </w:p>
    <w:p w14:paraId="4F0C98C2" w14:textId="77777777" w:rsidR="006709AF" w:rsidRDefault="006709AF" w:rsidP="001D3086">
      <w:pPr>
        <w:spacing w:line="360" w:lineRule="auto"/>
        <w:ind w:firstLine="709"/>
        <w:jc w:val="both"/>
        <w:rPr>
          <w:rFonts w:ascii="Times New Roman" w:hAnsi="Times New Roman" w:cs="Times New Roman"/>
          <w:szCs w:val="24"/>
        </w:rPr>
      </w:pPr>
    </w:p>
    <w:p w14:paraId="5CA174D9" w14:textId="326AB639" w:rsidR="00D5614F" w:rsidRDefault="00D5614F" w:rsidP="001D3086">
      <w:pPr>
        <w:spacing w:line="360" w:lineRule="auto"/>
        <w:ind w:firstLine="709"/>
        <w:jc w:val="both"/>
        <w:rPr>
          <w:rFonts w:ascii="Times New Roman" w:hAnsi="Times New Roman" w:cs="Times New Roman"/>
          <w:szCs w:val="24"/>
        </w:rPr>
      </w:pPr>
      <w:r>
        <w:rPr>
          <w:rFonts w:ascii="Times New Roman" w:hAnsi="Times New Roman" w:cs="Times New Roman"/>
          <w:szCs w:val="24"/>
        </w:rPr>
        <w:t>Pois bem. À guisa de conclusão, temos há consenso quanto à inefetividade do modelo de execução fiscal em vigor e que a averbação da certidão de dívida ativa, tornando o bem inalienável, pode ser importante instrumento em busca de maior eficiência na satisfação do crédito público.</w:t>
      </w:r>
    </w:p>
    <w:p w14:paraId="31F3CC7D" w14:textId="4D63764C" w:rsidR="00AA6CB2" w:rsidRDefault="00D5614F" w:rsidP="001D3086">
      <w:pPr>
        <w:spacing w:line="360" w:lineRule="auto"/>
        <w:ind w:firstLine="709"/>
        <w:jc w:val="both"/>
        <w:rPr>
          <w:rFonts w:ascii="Times New Roman" w:hAnsi="Times New Roman" w:cs="Times New Roman"/>
          <w:szCs w:val="24"/>
        </w:rPr>
      </w:pPr>
      <w:r>
        <w:rPr>
          <w:rFonts w:ascii="Times New Roman" w:hAnsi="Times New Roman" w:cs="Times New Roman"/>
          <w:szCs w:val="24"/>
        </w:rPr>
        <w:t>Deveras, inobstante a declaração de inconstitucionalidade (ADI 5.886/DF) da expressão “</w:t>
      </w:r>
      <w:r w:rsidRPr="00462B3B">
        <w:rPr>
          <w:rFonts w:ascii="Times New Roman" w:hAnsi="Times New Roman" w:cs="Times New Roman"/>
          <w:i/>
          <w:iCs/>
          <w:szCs w:val="24"/>
        </w:rPr>
        <w:t>tornando-os indisponíveis</w:t>
      </w:r>
      <w:r>
        <w:rPr>
          <w:rFonts w:ascii="Times New Roman" w:hAnsi="Times New Roman" w:cs="Times New Roman"/>
          <w:szCs w:val="24"/>
        </w:rPr>
        <w:t xml:space="preserve">”, </w:t>
      </w:r>
      <w:r w:rsidR="00462B3B">
        <w:rPr>
          <w:rFonts w:ascii="Times New Roman" w:hAnsi="Times New Roman" w:cs="Times New Roman"/>
          <w:szCs w:val="24"/>
        </w:rPr>
        <w:t>contida n</w:t>
      </w:r>
      <w:r>
        <w:rPr>
          <w:rFonts w:ascii="Times New Roman" w:hAnsi="Times New Roman" w:cs="Times New Roman"/>
          <w:szCs w:val="24"/>
        </w:rPr>
        <w:t xml:space="preserve">o inciso II do par. 3º do art. 20B da Lei nº 10522/02, é possível que se construa uma solução para que a Fazenda Pública possa se valer do instrumento da constrição de bens em fase </w:t>
      </w:r>
      <w:proofErr w:type="spellStart"/>
      <w:r>
        <w:rPr>
          <w:rFonts w:ascii="Times New Roman" w:hAnsi="Times New Roman" w:cs="Times New Roman"/>
          <w:szCs w:val="24"/>
        </w:rPr>
        <w:t>pré</w:t>
      </w:r>
      <w:proofErr w:type="spellEnd"/>
      <w:r>
        <w:rPr>
          <w:rFonts w:ascii="Times New Roman" w:hAnsi="Times New Roman" w:cs="Times New Roman"/>
          <w:szCs w:val="24"/>
        </w:rPr>
        <w:t>-executiva</w:t>
      </w:r>
      <w:r w:rsidR="00AA6CB2">
        <w:rPr>
          <w:rFonts w:ascii="Times New Roman" w:hAnsi="Times New Roman" w:cs="Times New Roman"/>
          <w:szCs w:val="24"/>
        </w:rPr>
        <w:t>. Isso porque</w:t>
      </w:r>
      <w:r w:rsidR="00462B3B">
        <w:rPr>
          <w:rFonts w:ascii="Times New Roman" w:hAnsi="Times New Roman" w:cs="Times New Roman"/>
          <w:szCs w:val="24"/>
        </w:rPr>
        <w:t>,</w:t>
      </w:r>
      <w:r w:rsidR="00AA6CB2">
        <w:rPr>
          <w:rFonts w:ascii="Times New Roman" w:hAnsi="Times New Roman" w:cs="Times New Roman"/>
          <w:szCs w:val="24"/>
        </w:rPr>
        <w:t xml:space="preserve"> na referida ADI</w:t>
      </w:r>
      <w:r w:rsidR="00462B3B">
        <w:rPr>
          <w:rFonts w:ascii="Times New Roman" w:hAnsi="Times New Roman" w:cs="Times New Roman"/>
          <w:szCs w:val="24"/>
        </w:rPr>
        <w:t>,</w:t>
      </w:r>
      <w:r w:rsidR="00AA6CB2">
        <w:rPr>
          <w:rFonts w:ascii="Times New Roman" w:hAnsi="Times New Roman" w:cs="Times New Roman"/>
          <w:szCs w:val="24"/>
        </w:rPr>
        <w:t xml:space="preserve"> </w:t>
      </w:r>
      <w:r w:rsidR="00462B3B">
        <w:rPr>
          <w:rFonts w:ascii="Times New Roman" w:hAnsi="Times New Roman" w:cs="Times New Roman"/>
          <w:szCs w:val="24"/>
        </w:rPr>
        <w:t xml:space="preserve">a questão </w:t>
      </w:r>
      <w:r w:rsidR="00AA6CB2">
        <w:rPr>
          <w:rFonts w:ascii="Times New Roman" w:hAnsi="Times New Roman" w:cs="Times New Roman"/>
          <w:szCs w:val="24"/>
        </w:rPr>
        <w:t xml:space="preserve">não foi analisada </w:t>
      </w:r>
      <w:r w:rsidR="00462B3B">
        <w:rPr>
          <w:rFonts w:ascii="Times New Roman" w:hAnsi="Times New Roman" w:cs="Times New Roman"/>
          <w:szCs w:val="24"/>
        </w:rPr>
        <w:t xml:space="preserve">sob a ótica da </w:t>
      </w:r>
      <w:r w:rsidR="00AA6CB2">
        <w:rPr>
          <w:rFonts w:ascii="Times New Roman" w:hAnsi="Times New Roman" w:cs="Times New Roman"/>
          <w:szCs w:val="24"/>
        </w:rPr>
        <w:t>teoria dos poderes implícitos, a qual já serviu de fundamento para o Supremo declarar constitucional a indisponibilidade de bens decretada pelo TCU (MS nº 33.092/DF).</w:t>
      </w:r>
    </w:p>
    <w:p w14:paraId="1CE2EB99" w14:textId="2DDE48D9" w:rsidR="00AA6CB2" w:rsidRDefault="00AA6CB2" w:rsidP="001D3086">
      <w:pPr>
        <w:spacing w:line="360" w:lineRule="auto"/>
        <w:ind w:firstLine="709"/>
        <w:jc w:val="both"/>
        <w:rPr>
          <w:rFonts w:ascii="Times New Roman" w:hAnsi="Times New Roman" w:cs="Times New Roman"/>
          <w:szCs w:val="24"/>
        </w:rPr>
      </w:pPr>
      <w:r>
        <w:rPr>
          <w:rFonts w:ascii="Times New Roman" w:hAnsi="Times New Roman" w:cs="Times New Roman"/>
          <w:szCs w:val="24"/>
        </w:rPr>
        <w:t xml:space="preserve">Demonstrou-se, em reforço, o dever </w:t>
      </w:r>
      <w:proofErr w:type="gramStart"/>
      <w:r>
        <w:rPr>
          <w:rFonts w:ascii="Times New Roman" w:hAnsi="Times New Roman" w:cs="Times New Roman"/>
          <w:szCs w:val="24"/>
        </w:rPr>
        <w:t>do</w:t>
      </w:r>
      <w:proofErr w:type="gramEnd"/>
      <w:r>
        <w:rPr>
          <w:rFonts w:ascii="Times New Roman" w:hAnsi="Times New Roman" w:cs="Times New Roman"/>
          <w:szCs w:val="24"/>
        </w:rPr>
        <w:t xml:space="preserve"> Poder Judiciário manter a coerência da sua jurisprudência (CPC, art. 926), especialmente o Supremo, na condição de guardião da Constituição.</w:t>
      </w:r>
    </w:p>
    <w:p w14:paraId="297C9284" w14:textId="1731EED4" w:rsidR="00AA6CB2" w:rsidRDefault="00AA6CB2" w:rsidP="001D3086">
      <w:pPr>
        <w:spacing w:line="360" w:lineRule="auto"/>
        <w:ind w:firstLine="709"/>
        <w:jc w:val="both"/>
        <w:rPr>
          <w:rFonts w:ascii="Times New Roman" w:hAnsi="Times New Roman" w:cs="Times New Roman"/>
          <w:szCs w:val="24"/>
        </w:rPr>
      </w:pPr>
      <w:r>
        <w:rPr>
          <w:rFonts w:ascii="Times New Roman" w:hAnsi="Times New Roman" w:cs="Times New Roman"/>
          <w:szCs w:val="24"/>
        </w:rPr>
        <w:t xml:space="preserve">E mais, </w:t>
      </w:r>
      <w:r w:rsidR="00DF3722">
        <w:rPr>
          <w:rFonts w:ascii="Times New Roman" w:hAnsi="Times New Roman" w:cs="Times New Roman"/>
          <w:szCs w:val="24"/>
        </w:rPr>
        <w:t>no</w:t>
      </w:r>
      <w:r>
        <w:rPr>
          <w:rFonts w:ascii="Times New Roman" w:hAnsi="Times New Roman" w:cs="Times New Roman"/>
          <w:szCs w:val="24"/>
        </w:rPr>
        <w:t xml:space="preserve"> MS 33.092/DF o Min. Gilmar Mendes reconheceu a aplicação da teoria dos po</w:t>
      </w:r>
      <w:r w:rsidR="00DF3722">
        <w:rPr>
          <w:rFonts w:ascii="Times New Roman" w:hAnsi="Times New Roman" w:cs="Times New Roman"/>
          <w:szCs w:val="24"/>
        </w:rPr>
        <w:t>de</w:t>
      </w:r>
      <w:r>
        <w:rPr>
          <w:rFonts w:ascii="Times New Roman" w:hAnsi="Times New Roman" w:cs="Times New Roman"/>
          <w:szCs w:val="24"/>
        </w:rPr>
        <w:t>res implícitos para o TCU decretar a indisponibilidade de bens, sem a tutela judicial</w:t>
      </w:r>
      <w:r w:rsidR="00DF3722">
        <w:rPr>
          <w:rFonts w:ascii="Times New Roman" w:hAnsi="Times New Roman" w:cs="Times New Roman"/>
          <w:szCs w:val="24"/>
        </w:rPr>
        <w:t xml:space="preserve">. Todavia, </w:t>
      </w:r>
      <w:r>
        <w:rPr>
          <w:rFonts w:ascii="Times New Roman" w:hAnsi="Times New Roman" w:cs="Times New Roman"/>
          <w:szCs w:val="24"/>
        </w:rPr>
        <w:t xml:space="preserve">votou pela inconstitucionalidade da </w:t>
      </w:r>
      <w:r w:rsidR="00A9178E">
        <w:rPr>
          <w:rFonts w:ascii="Times New Roman" w:hAnsi="Times New Roman" w:cs="Times New Roman"/>
          <w:szCs w:val="24"/>
        </w:rPr>
        <w:t>mesma competência à Fazenda Pública na ADI 5.886/DF, mas sem apreciar a questão sob a ótica da referida teoria, de sorte que em nova oportunidade deve adequar de forma coerente seu entendimento</w:t>
      </w:r>
      <w:r w:rsidR="00DF3722">
        <w:rPr>
          <w:rFonts w:ascii="Times New Roman" w:hAnsi="Times New Roman" w:cs="Times New Roman"/>
          <w:szCs w:val="24"/>
        </w:rPr>
        <w:t xml:space="preserve">. Além disso, </w:t>
      </w:r>
      <w:r w:rsidR="00A9178E">
        <w:rPr>
          <w:rFonts w:ascii="Times New Roman" w:hAnsi="Times New Roman" w:cs="Times New Roman"/>
          <w:szCs w:val="24"/>
        </w:rPr>
        <w:t>dois Ministros que votaram pela</w:t>
      </w:r>
      <w:r w:rsidR="00DF3722">
        <w:rPr>
          <w:rFonts w:ascii="Times New Roman" w:hAnsi="Times New Roman" w:cs="Times New Roman"/>
          <w:szCs w:val="24"/>
        </w:rPr>
        <w:t xml:space="preserve"> procedência da referida ADI</w:t>
      </w:r>
      <w:r w:rsidR="00A9178E">
        <w:rPr>
          <w:rFonts w:ascii="Times New Roman" w:hAnsi="Times New Roman" w:cs="Times New Roman"/>
          <w:szCs w:val="24"/>
        </w:rPr>
        <w:t xml:space="preserve"> se aposentaram,</w:t>
      </w:r>
      <w:r w:rsidR="00E5595A">
        <w:rPr>
          <w:rFonts w:ascii="Times New Roman" w:hAnsi="Times New Roman" w:cs="Times New Roman"/>
          <w:szCs w:val="24"/>
        </w:rPr>
        <w:t xml:space="preserve"> o que confere</w:t>
      </w:r>
      <w:r w:rsidR="00A9178E">
        <w:rPr>
          <w:rFonts w:ascii="Times New Roman" w:hAnsi="Times New Roman" w:cs="Times New Roman"/>
          <w:szCs w:val="24"/>
        </w:rPr>
        <w:t xml:space="preserve"> reais possibilidade</w:t>
      </w:r>
      <w:r w:rsidR="00E5595A">
        <w:rPr>
          <w:rFonts w:ascii="Times New Roman" w:hAnsi="Times New Roman" w:cs="Times New Roman"/>
          <w:szCs w:val="24"/>
        </w:rPr>
        <w:t>s</w:t>
      </w:r>
      <w:r w:rsidR="00A9178E">
        <w:rPr>
          <w:rFonts w:ascii="Times New Roman" w:hAnsi="Times New Roman" w:cs="Times New Roman"/>
          <w:szCs w:val="24"/>
        </w:rPr>
        <w:t xml:space="preserve"> de formação de maioria em favor da Fazenda Pública.</w:t>
      </w:r>
    </w:p>
    <w:p w14:paraId="60587533" w14:textId="472FACE5" w:rsidR="00A9178E" w:rsidRDefault="00D262F1" w:rsidP="001D3086">
      <w:pPr>
        <w:spacing w:line="360" w:lineRule="auto"/>
        <w:ind w:firstLine="709"/>
        <w:jc w:val="both"/>
        <w:rPr>
          <w:rFonts w:ascii="Times New Roman" w:hAnsi="Times New Roman" w:cs="Times New Roman"/>
          <w:szCs w:val="24"/>
        </w:rPr>
      </w:pPr>
      <w:r>
        <w:rPr>
          <w:rFonts w:ascii="Times New Roman" w:hAnsi="Times New Roman" w:cs="Times New Roman"/>
          <w:szCs w:val="24"/>
        </w:rPr>
        <w:t>A</w:t>
      </w:r>
      <w:r w:rsidR="00A9178E">
        <w:rPr>
          <w:rFonts w:ascii="Times New Roman" w:hAnsi="Times New Roman" w:cs="Times New Roman"/>
          <w:szCs w:val="24"/>
        </w:rPr>
        <w:t xml:space="preserve"> importância da advocacia pública em trabalhar pelo reconhecimento da</w:t>
      </w:r>
      <w:r w:rsidR="003D091E">
        <w:rPr>
          <w:rFonts w:ascii="Times New Roman" w:hAnsi="Times New Roman" w:cs="Times New Roman"/>
          <w:szCs w:val="24"/>
        </w:rPr>
        <w:t xml:space="preserve"> sua</w:t>
      </w:r>
      <w:r w:rsidR="00A9178E">
        <w:rPr>
          <w:rFonts w:ascii="Times New Roman" w:hAnsi="Times New Roman" w:cs="Times New Roman"/>
          <w:szCs w:val="24"/>
        </w:rPr>
        <w:t xml:space="preserve"> </w:t>
      </w:r>
      <w:r w:rsidR="003D091E">
        <w:rPr>
          <w:rFonts w:ascii="Times New Roman" w:hAnsi="Times New Roman" w:cs="Times New Roman"/>
          <w:szCs w:val="24"/>
        </w:rPr>
        <w:t xml:space="preserve">competência para praticar ato de </w:t>
      </w:r>
      <w:r w:rsidR="00A9178E">
        <w:rPr>
          <w:rFonts w:ascii="Times New Roman" w:hAnsi="Times New Roman" w:cs="Times New Roman"/>
          <w:szCs w:val="24"/>
        </w:rPr>
        <w:t>indisponibilidade</w:t>
      </w:r>
      <w:r w:rsidR="003D091E">
        <w:rPr>
          <w:rFonts w:ascii="Times New Roman" w:hAnsi="Times New Roman" w:cs="Times New Roman"/>
          <w:szCs w:val="24"/>
        </w:rPr>
        <w:t xml:space="preserve"> de bem</w:t>
      </w:r>
      <w:r w:rsidR="00A9178E">
        <w:rPr>
          <w:rFonts w:ascii="Times New Roman" w:hAnsi="Times New Roman" w:cs="Times New Roman"/>
          <w:szCs w:val="24"/>
        </w:rPr>
        <w:t xml:space="preserve"> na fase </w:t>
      </w:r>
      <w:proofErr w:type="spellStart"/>
      <w:r w:rsidR="00A9178E">
        <w:rPr>
          <w:rFonts w:ascii="Times New Roman" w:hAnsi="Times New Roman" w:cs="Times New Roman"/>
          <w:szCs w:val="24"/>
        </w:rPr>
        <w:t>pré</w:t>
      </w:r>
      <w:proofErr w:type="spellEnd"/>
      <w:r w:rsidR="00A9178E">
        <w:rPr>
          <w:rFonts w:ascii="Times New Roman" w:hAnsi="Times New Roman" w:cs="Times New Roman"/>
          <w:szCs w:val="24"/>
        </w:rPr>
        <w:t>-executória importa</w:t>
      </w:r>
      <w:r w:rsidR="00F116FD">
        <w:rPr>
          <w:rFonts w:ascii="Times New Roman" w:hAnsi="Times New Roman" w:cs="Times New Roman"/>
          <w:szCs w:val="24"/>
        </w:rPr>
        <w:t>, inclusive,</w:t>
      </w:r>
      <w:r w:rsidR="00A9178E">
        <w:rPr>
          <w:rFonts w:ascii="Times New Roman" w:hAnsi="Times New Roman" w:cs="Times New Roman"/>
          <w:szCs w:val="24"/>
        </w:rPr>
        <w:t xml:space="preserve"> </w:t>
      </w:r>
      <w:r w:rsidR="003D091E">
        <w:rPr>
          <w:rFonts w:ascii="Times New Roman" w:hAnsi="Times New Roman" w:cs="Times New Roman"/>
          <w:szCs w:val="24"/>
        </w:rPr>
        <w:t xml:space="preserve">para a </w:t>
      </w:r>
      <w:r w:rsidR="00F116FD">
        <w:rPr>
          <w:rFonts w:ascii="Times New Roman" w:hAnsi="Times New Roman" w:cs="Times New Roman"/>
          <w:szCs w:val="24"/>
        </w:rPr>
        <w:t xml:space="preserve">manutenção da viabilidade de </w:t>
      </w:r>
      <w:r w:rsidR="00A9178E">
        <w:rPr>
          <w:rFonts w:ascii="Times New Roman" w:hAnsi="Times New Roman" w:cs="Times New Roman"/>
          <w:szCs w:val="24"/>
        </w:rPr>
        <w:t>regulamentação da execução</w:t>
      </w:r>
      <w:r w:rsidR="003D091E">
        <w:rPr>
          <w:rFonts w:ascii="Times New Roman" w:hAnsi="Times New Roman" w:cs="Times New Roman"/>
          <w:szCs w:val="24"/>
        </w:rPr>
        <w:t xml:space="preserve"> fiscal</w:t>
      </w:r>
      <w:r w:rsidR="00A9178E">
        <w:rPr>
          <w:rFonts w:ascii="Times New Roman" w:hAnsi="Times New Roman" w:cs="Times New Roman"/>
          <w:szCs w:val="24"/>
        </w:rPr>
        <w:t xml:space="preserve"> administrativa </w:t>
      </w:r>
      <w:r w:rsidR="00F116FD">
        <w:rPr>
          <w:rFonts w:ascii="Times New Roman" w:hAnsi="Times New Roman" w:cs="Times New Roman"/>
          <w:szCs w:val="24"/>
        </w:rPr>
        <w:t>–</w:t>
      </w:r>
      <w:r w:rsidR="003D091E">
        <w:rPr>
          <w:rFonts w:ascii="Times New Roman" w:hAnsi="Times New Roman" w:cs="Times New Roman"/>
          <w:szCs w:val="24"/>
        </w:rPr>
        <w:t xml:space="preserve"> </w:t>
      </w:r>
      <w:r w:rsidR="00F116FD">
        <w:rPr>
          <w:rFonts w:ascii="Times New Roman" w:hAnsi="Times New Roman" w:cs="Times New Roman"/>
          <w:szCs w:val="24"/>
        </w:rPr>
        <w:t xml:space="preserve">acréscimo de </w:t>
      </w:r>
      <w:r w:rsidR="003D091E">
        <w:rPr>
          <w:rFonts w:ascii="Times New Roman" w:hAnsi="Times New Roman" w:cs="Times New Roman"/>
          <w:szCs w:val="24"/>
        </w:rPr>
        <w:t>competência de proeminente importância institucional e inegável capacidade de conferir maior</w:t>
      </w:r>
      <w:r w:rsidR="00F116FD">
        <w:rPr>
          <w:rFonts w:ascii="Times New Roman" w:hAnsi="Times New Roman" w:cs="Times New Roman"/>
          <w:szCs w:val="24"/>
        </w:rPr>
        <w:t xml:space="preserve"> efetividade e eficiência no exercício </w:t>
      </w:r>
      <w:r w:rsidR="003D091E">
        <w:rPr>
          <w:rFonts w:ascii="Times New Roman" w:hAnsi="Times New Roman" w:cs="Times New Roman"/>
          <w:szCs w:val="24"/>
        </w:rPr>
        <w:t>da cobrança da dívida ativa</w:t>
      </w:r>
      <w:r w:rsidR="00F116FD">
        <w:rPr>
          <w:rFonts w:ascii="Times New Roman" w:hAnsi="Times New Roman" w:cs="Times New Roman"/>
          <w:szCs w:val="24"/>
        </w:rPr>
        <w:t xml:space="preserve"> -, porquanto</w:t>
      </w:r>
      <w:r w:rsidR="003D091E">
        <w:rPr>
          <w:rFonts w:ascii="Times New Roman" w:hAnsi="Times New Roman" w:cs="Times New Roman"/>
          <w:szCs w:val="24"/>
        </w:rPr>
        <w:t>,</w:t>
      </w:r>
      <w:r w:rsidR="00F116FD">
        <w:rPr>
          <w:rFonts w:ascii="Times New Roman" w:hAnsi="Times New Roman" w:cs="Times New Roman"/>
          <w:szCs w:val="24"/>
        </w:rPr>
        <w:t xml:space="preserve"> uma vez mantido o entendimento da ADI 5.886/DF, </w:t>
      </w:r>
      <w:r>
        <w:rPr>
          <w:rFonts w:ascii="Times New Roman" w:hAnsi="Times New Roman" w:cs="Times New Roman"/>
          <w:szCs w:val="24"/>
        </w:rPr>
        <w:t>todas as propostas de criação da execução fiscal administrativa terão a mesma sorte da averbação de CDA com indisponibilidade</w:t>
      </w:r>
      <w:r w:rsidR="003D091E">
        <w:rPr>
          <w:rFonts w:ascii="Times New Roman" w:hAnsi="Times New Roman" w:cs="Times New Roman"/>
          <w:szCs w:val="24"/>
        </w:rPr>
        <w:t xml:space="preserve"> vale dizer, a inconstitucionalidade</w:t>
      </w:r>
      <w:r>
        <w:rPr>
          <w:rFonts w:ascii="Times New Roman" w:hAnsi="Times New Roman" w:cs="Times New Roman"/>
          <w:szCs w:val="24"/>
        </w:rPr>
        <w:t>.</w:t>
      </w:r>
    </w:p>
    <w:p w14:paraId="378046B4" w14:textId="0F9BBEE6" w:rsidR="00EB416D" w:rsidRDefault="00D262F1" w:rsidP="001D3086">
      <w:pPr>
        <w:spacing w:line="360" w:lineRule="auto"/>
        <w:ind w:firstLine="709"/>
        <w:jc w:val="both"/>
        <w:rPr>
          <w:rFonts w:ascii="Times New Roman" w:hAnsi="Times New Roman" w:cs="Times New Roman"/>
          <w:szCs w:val="24"/>
        </w:rPr>
      </w:pPr>
      <w:r>
        <w:rPr>
          <w:rFonts w:ascii="Times New Roman" w:hAnsi="Times New Roman" w:cs="Times New Roman"/>
          <w:szCs w:val="24"/>
        </w:rPr>
        <w:t xml:space="preserve">Por fim, é </w:t>
      </w:r>
      <w:r w:rsidR="003D091E">
        <w:rPr>
          <w:rFonts w:ascii="Times New Roman" w:hAnsi="Times New Roman" w:cs="Times New Roman"/>
          <w:szCs w:val="24"/>
        </w:rPr>
        <w:t xml:space="preserve">deveras relevante </w:t>
      </w:r>
      <w:r w:rsidR="00EB416D">
        <w:rPr>
          <w:rFonts w:ascii="Times New Roman" w:hAnsi="Times New Roman" w:cs="Times New Roman"/>
          <w:szCs w:val="24"/>
        </w:rPr>
        <w:t>que a busca por competências e</w:t>
      </w:r>
      <w:r w:rsidR="003D091E">
        <w:rPr>
          <w:rFonts w:ascii="Times New Roman" w:hAnsi="Times New Roman" w:cs="Times New Roman"/>
          <w:szCs w:val="24"/>
        </w:rPr>
        <w:t xml:space="preserve"> pelo</w:t>
      </w:r>
      <w:r w:rsidR="00EB416D">
        <w:rPr>
          <w:rFonts w:ascii="Times New Roman" w:hAnsi="Times New Roman" w:cs="Times New Roman"/>
          <w:szCs w:val="24"/>
        </w:rPr>
        <w:t xml:space="preserve"> exercício de parcela do Poder Estatal não deve vir desacompanhada do dever de bem cumpri-l</w:t>
      </w:r>
      <w:r w:rsidR="003D091E">
        <w:rPr>
          <w:rFonts w:ascii="Times New Roman" w:hAnsi="Times New Roman" w:cs="Times New Roman"/>
          <w:szCs w:val="24"/>
        </w:rPr>
        <w:t>as</w:t>
      </w:r>
      <w:r w:rsidR="00EB416D">
        <w:rPr>
          <w:rFonts w:ascii="Times New Roman" w:hAnsi="Times New Roman" w:cs="Times New Roman"/>
          <w:szCs w:val="24"/>
        </w:rPr>
        <w:t>, o que implica</w:t>
      </w:r>
      <w:r w:rsidR="003D091E">
        <w:rPr>
          <w:rFonts w:ascii="Times New Roman" w:hAnsi="Times New Roman" w:cs="Times New Roman"/>
          <w:szCs w:val="24"/>
        </w:rPr>
        <w:t xml:space="preserve"> que</w:t>
      </w:r>
      <w:r w:rsidR="00EB416D">
        <w:rPr>
          <w:rFonts w:ascii="Times New Roman" w:hAnsi="Times New Roman" w:cs="Times New Roman"/>
          <w:szCs w:val="24"/>
        </w:rPr>
        <w:t>, na hipótese</w:t>
      </w:r>
      <w:r w:rsidR="003D091E">
        <w:rPr>
          <w:rFonts w:ascii="Times New Roman" w:hAnsi="Times New Roman" w:cs="Times New Roman"/>
          <w:szCs w:val="24"/>
        </w:rPr>
        <w:t xml:space="preserve"> aqui debatida</w:t>
      </w:r>
      <w:r w:rsidR="00EB416D">
        <w:rPr>
          <w:rFonts w:ascii="Times New Roman" w:hAnsi="Times New Roman" w:cs="Times New Roman"/>
          <w:szCs w:val="24"/>
        </w:rPr>
        <w:t>, a inscrição de débito em dívida ativa é tarefa que deve ser realizada com elevado esmero</w:t>
      </w:r>
      <w:r w:rsidR="003D091E">
        <w:rPr>
          <w:rFonts w:ascii="Times New Roman" w:hAnsi="Times New Roman" w:cs="Times New Roman"/>
          <w:szCs w:val="24"/>
        </w:rPr>
        <w:t xml:space="preserve"> fundada n</w:t>
      </w:r>
      <w:r w:rsidR="00F97380">
        <w:rPr>
          <w:rFonts w:ascii="Times New Roman" w:hAnsi="Times New Roman" w:cs="Times New Roman"/>
          <w:szCs w:val="24"/>
        </w:rPr>
        <w:t xml:space="preserve">uma </w:t>
      </w:r>
      <w:r w:rsidR="003D091E">
        <w:rPr>
          <w:rFonts w:ascii="Times New Roman" w:hAnsi="Times New Roman" w:cs="Times New Roman"/>
          <w:szCs w:val="24"/>
        </w:rPr>
        <w:t xml:space="preserve">visão </w:t>
      </w:r>
      <w:r w:rsidR="00F97380">
        <w:rPr>
          <w:rFonts w:ascii="Times New Roman" w:hAnsi="Times New Roman" w:cs="Times New Roman"/>
          <w:szCs w:val="24"/>
        </w:rPr>
        <w:t>do</w:t>
      </w:r>
      <w:r w:rsidR="003D091E">
        <w:rPr>
          <w:rFonts w:ascii="Times New Roman" w:hAnsi="Times New Roman" w:cs="Times New Roman"/>
          <w:szCs w:val="24"/>
        </w:rPr>
        <w:t xml:space="preserve"> administrado </w:t>
      </w:r>
      <w:r w:rsidR="00F97380">
        <w:rPr>
          <w:rFonts w:ascii="Times New Roman" w:hAnsi="Times New Roman" w:cs="Times New Roman"/>
          <w:szCs w:val="24"/>
        </w:rPr>
        <w:t xml:space="preserve">não como subordinado ou antagonista, mas </w:t>
      </w:r>
      <w:r w:rsidR="00F97380">
        <w:rPr>
          <w:rFonts w:ascii="Times New Roman" w:hAnsi="Times New Roman" w:cs="Times New Roman"/>
          <w:szCs w:val="24"/>
        </w:rPr>
        <w:lastRenderedPageBreak/>
        <w:t xml:space="preserve">como cidadão e </w:t>
      </w:r>
      <w:r w:rsidR="003D091E">
        <w:rPr>
          <w:rFonts w:ascii="Times New Roman" w:hAnsi="Times New Roman" w:cs="Times New Roman"/>
          <w:szCs w:val="24"/>
        </w:rPr>
        <w:t>da admini</w:t>
      </w:r>
      <w:r w:rsidR="00F97380">
        <w:rPr>
          <w:rFonts w:ascii="Times New Roman" w:hAnsi="Times New Roman" w:cs="Times New Roman"/>
          <w:szCs w:val="24"/>
        </w:rPr>
        <w:t>s</w:t>
      </w:r>
      <w:r w:rsidR="003D091E">
        <w:rPr>
          <w:rFonts w:ascii="Times New Roman" w:hAnsi="Times New Roman" w:cs="Times New Roman"/>
          <w:szCs w:val="24"/>
        </w:rPr>
        <w:t>tração</w:t>
      </w:r>
      <w:r w:rsidR="00EB416D">
        <w:rPr>
          <w:rFonts w:ascii="Times New Roman" w:hAnsi="Times New Roman" w:cs="Times New Roman"/>
          <w:szCs w:val="24"/>
        </w:rPr>
        <w:t>, evitando-se</w:t>
      </w:r>
      <w:r w:rsidR="00F97380">
        <w:rPr>
          <w:rFonts w:ascii="Times New Roman" w:hAnsi="Times New Roman" w:cs="Times New Roman"/>
          <w:szCs w:val="24"/>
        </w:rPr>
        <w:t>, a título de exemplo,</w:t>
      </w:r>
      <w:r w:rsidR="00EB416D">
        <w:rPr>
          <w:rFonts w:ascii="Times New Roman" w:hAnsi="Times New Roman" w:cs="Times New Roman"/>
          <w:szCs w:val="24"/>
        </w:rPr>
        <w:t xml:space="preserve"> a inscrição de débitos inconsistentes ou prescritos, cujos óbices </w:t>
      </w:r>
      <w:r w:rsidR="00F97380">
        <w:rPr>
          <w:rFonts w:ascii="Times New Roman" w:hAnsi="Times New Roman" w:cs="Times New Roman"/>
          <w:szCs w:val="24"/>
        </w:rPr>
        <w:t xml:space="preserve">à sua constituição </w:t>
      </w:r>
      <w:r w:rsidR="00EB416D">
        <w:rPr>
          <w:rFonts w:ascii="Times New Roman" w:hAnsi="Times New Roman" w:cs="Times New Roman"/>
          <w:szCs w:val="24"/>
        </w:rPr>
        <w:t>devem ser reconhecidos pela Administração</w:t>
      </w:r>
      <w:r w:rsidR="00F97380">
        <w:rPr>
          <w:rFonts w:ascii="Times New Roman" w:hAnsi="Times New Roman" w:cs="Times New Roman"/>
          <w:szCs w:val="24"/>
        </w:rPr>
        <w:t xml:space="preserve">, sempre, </w:t>
      </w:r>
      <w:r w:rsidR="00EB416D">
        <w:rPr>
          <w:rFonts w:ascii="Times New Roman" w:hAnsi="Times New Roman" w:cs="Times New Roman"/>
          <w:szCs w:val="24"/>
        </w:rPr>
        <w:t>de ofício.</w:t>
      </w:r>
    </w:p>
    <w:p w14:paraId="1DFE14C1" w14:textId="40DDF31E" w:rsidR="006E7DA2" w:rsidRPr="00BF185E" w:rsidRDefault="006E7DA2" w:rsidP="001D3086">
      <w:pPr>
        <w:spacing w:line="360" w:lineRule="auto"/>
        <w:ind w:firstLine="709"/>
        <w:jc w:val="both"/>
        <w:rPr>
          <w:rFonts w:ascii="Times New Roman" w:hAnsi="Times New Roman" w:cs="Times New Roman"/>
          <w:szCs w:val="24"/>
        </w:rPr>
      </w:pPr>
      <w:r w:rsidRPr="00BF185E">
        <w:rPr>
          <w:rFonts w:ascii="Times New Roman" w:hAnsi="Times New Roman" w:cs="Times New Roman"/>
          <w:szCs w:val="24"/>
        </w:rPr>
        <w:t xml:space="preserve">Com esse propósito, </w:t>
      </w:r>
      <w:r w:rsidR="00EB416D">
        <w:rPr>
          <w:rFonts w:ascii="Times New Roman" w:hAnsi="Times New Roman" w:cs="Times New Roman"/>
          <w:szCs w:val="24"/>
        </w:rPr>
        <w:t>propõe-se que a Advocacia Pública atue no sentido de</w:t>
      </w:r>
      <w:r w:rsidRPr="00BF185E">
        <w:rPr>
          <w:rFonts w:ascii="Times New Roman" w:hAnsi="Times New Roman" w:cs="Times New Roman"/>
          <w:szCs w:val="24"/>
        </w:rPr>
        <w:t>:</w:t>
      </w:r>
    </w:p>
    <w:p w14:paraId="32CCFA0D" w14:textId="057A064D" w:rsidR="006E7DA2" w:rsidRPr="00BF185E" w:rsidRDefault="006E7DA2" w:rsidP="006E7DA2">
      <w:pPr>
        <w:spacing w:line="360" w:lineRule="auto"/>
        <w:ind w:firstLine="709"/>
        <w:jc w:val="both"/>
        <w:rPr>
          <w:rFonts w:ascii="Times New Roman" w:hAnsi="Times New Roman" w:cs="Times New Roman"/>
          <w:szCs w:val="24"/>
        </w:rPr>
      </w:pPr>
      <w:r w:rsidRPr="00BF185E">
        <w:rPr>
          <w:rFonts w:ascii="Times New Roman" w:hAnsi="Times New Roman" w:cs="Times New Roman"/>
          <w:b/>
          <w:bCs/>
          <w:szCs w:val="24"/>
        </w:rPr>
        <w:t>(1)</w:t>
      </w:r>
      <w:r w:rsidRPr="00BF185E">
        <w:rPr>
          <w:rFonts w:ascii="Times New Roman" w:hAnsi="Times New Roman" w:cs="Times New Roman"/>
          <w:szCs w:val="24"/>
        </w:rPr>
        <w:t xml:space="preserve"> </w:t>
      </w:r>
      <w:r w:rsidR="00EB416D">
        <w:rPr>
          <w:rFonts w:ascii="Times New Roman" w:hAnsi="Times New Roman" w:cs="Times New Roman"/>
          <w:szCs w:val="24"/>
        </w:rPr>
        <w:t xml:space="preserve">Estudar a viabilidade da constrição </w:t>
      </w:r>
      <w:proofErr w:type="spellStart"/>
      <w:r w:rsidR="00EB416D">
        <w:rPr>
          <w:rFonts w:ascii="Times New Roman" w:hAnsi="Times New Roman" w:cs="Times New Roman"/>
          <w:szCs w:val="24"/>
        </w:rPr>
        <w:t>pré</w:t>
      </w:r>
      <w:proofErr w:type="spellEnd"/>
      <w:r w:rsidR="00EB416D">
        <w:rPr>
          <w:rFonts w:ascii="Times New Roman" w:hAnsi="Times New Roman" w:cs="Times New Roman"/>
          <w:szCs w:val="24"/>
        </w:rPr>
        <w:t xml:space="preserve">-executória de bens, pela averbação de CDA, com base em parecer jurídico que, no caso concreto, afaste a aplicação do entendimento firmado na ADI 5.886/DF; </w:t>
      </w:r>
    </w:p>
    <w:p w14:paraId="0A711F68" w14:textId="77777777" w:rsidR="006F07AF" w:rsidRDefault="006E7DA2" w:rsidP="006E7DA2">
      <w:pPr>
        <w:spacing w:line="360" w:lineRule="auto"/>
        <w:ind w:firstLine="709"/>
        <w:jc w:val="both"/>
        <w:rPr>
          <w:rFonts w:ascii="Times New Roman" w:hAnsi="Times New Roman" w:cs="Times New Roman"/>
          <w:szCs w:val="24"/>
        </w:rPr>
      </w:pPr>
      <w:r w:rsidRPr="00BF185E">
        <w:rPr>
          <w:rFonts w:ascii="Times New Roman" w:hAnsi="Times New Roman" w:cs="Times New Roman"/>
          <w:b/>
          <w:bCs/>
          <w:szCs w:val="24"/>
        </w:rPr>
        <w:t>(2)</w:t>
      </w:r>
      <w:r w:rsidRPr="00BF185E">
        <w:rPr>
          <w:rFonts w:ascii="Times New Roman" w:hAnsi="Times New Roman" w:cs="Times New Roman"/>
          <w:szCs w:val="24"/>
        </w:rPr>
        <w:t xml:space="preserve"> </w:t>
      </w:r>
      <w:r w:rsidR="006F07AF">
        <w:rPr>
          <w:rFonts w:ascii="Times New Roman" w:hAnsi="Times New Roman" w:cs="Times New Roman"/>
          <w:szCs w:val="24"/>
        </w:rPr>
        <w:t xml:space="preserve">Trabalhe pela aprovação de lei nova que reconheça expressamente competência da constrição </w:t>
      </w:r>
      <w:proofErr w:type="spellStart"/>
      <w:r w:rsidR="006F07AF">
        <w:rPr>
          <w:rFonts w:ascii="Times New Roman" w:hAnsi="Times New Roman" w:cs="Times New Roman"/>
          <w:szCs w:val="24"/>
        </w:rPr>
        <w:t>pré</w:t>
      </w:r>
      <w:proofErr w:type="spellEnd"/>
      <w:r w:rsidR="006F07AF">
        <w:rPr>
          <w:rFonts w:ascii="Times New Roman" w:hAnsi="Times New Roman" w:cs="Times New Roman"/>
          <w:szCs w:val="24"/>
        </w:rPr>
        <w:t>-executiva, mediante averbação da CDA, defendendo, em ação de controle de constitucionalidade, a constitucionalidade fundada na teoria dos poderes implícitos e o dever do STF de manter coerência na sua jurisprudência.</w:t>
      </w:r>
    </w:p>
    <w:p w14:paraId="66389B04" w14:textId="77777777" w:rsidR="006F07AF" w:rsidRDefault="006F07AF" w:rsidP="001D3086">
      <w:pPr>
        <w:spacing w:line="360" w:lineRule="auto"/>
        <w:jc w:val="both"/>
        <w:rPr>
          <w:rFonts w:ascii="Times New Roman" w:hAnsi="Times New Roman" w:cs="Times New Roman"/>
          <w:b/>
          <w:bCs/>
          <w:szCs w:val="24"/>
        </w:rPr>
      </w:pPr>
    </w:p>
    <w:p w14:paraId="669D0BF4" w14:textId="3FC43BD8" w:rsidR="0087696C" w:rsidRPr="00BF185E" w:rsidRDefault="001746ED" w:rsidP="001D3086">
      <w:pPr>
        <w:spacing w:line="360" w:lineRule="auto"/>
        <w:jc w:val="both"/>
        <w:rPr>
          <w:rFonts w:ascii="Times New Roman" w:hAnsi="Times New Roman" w:cs="Times New Roman"/>
          <w:b/>
          <w:bCs/>
          <w:szCs w:val="24"/>
        </w:rPr>
      </w:pPr>
      <w:r>
        <w:rPr>
          <w:rFonts w:ascii="Times New Roman" w:hAnsi="Times New Roman" w:cs="Times New Roman"/>
          <w:b/>
          <w:bCs/>
          <w:szCs w:val="24"/>
        </w:rPr>
        <w:t>Referências</w:t>
      </w:r>
      <w:r w:rsidR="00867FE2">
        <w:rPr>
          <w:rFonts w:ascii="Times New Roman" w:hAnsi="Times New Roman" w:cs="Times New Roman"/>
          <w:b/>
          <w:bCs/>
          <w:szCs w:val="24"/>
        </w:rPr>
        <w:t xml:space="preserve"> bibliográficas</w:t>
      </w:r>
    </w:p>
    <w:p w14:paraId="4A169007" w14:textId="77777777" w:rsidR="00867FE2" w:rsidRPr="00806A53" w:rsidRDefault="00867FE2" w:rsidP="00867FE2">
      <w:pPr>
        <w:pStyle w:val="paragraph"/>
        <w:spacing w:before="0" w:beforeAutospacing="0" w:after="0" w:afterAutospacing="0"/>
        <w:jc w:val="both"/>
        <w:textAlignment w:val="baseline"/>
        <w:rPr>
          <w:rStyle w:val="normaltextrun"/>
          <w:sz w:val="20"/>
          <w:szCs w:val="20"/>
        </w:rPr>
      </w:pPr>
    </w:p>
    <w:p w14:paraId="45E561A8" w14:textId="5257DDE7" w:rsidR="00867FE2" w:rsidRPr="00806A53" w:rsidRDefault="00867FE2" w:rsidP="00867FE2">
      <w:pPr>
        <w:pStyle w:val="paragraph"/>
        <w:spacing w:before="0" w:beforeAutospacing="0" w:after="0" w:afterAutospacing="0"/>
        <w:jc w:val="both"/>
        <w:textAlignment w:val="baseline"/>
        <w:rPr>
          <w:rStyle w:val="normaltextrun"/>
          <w:sz w:val="20"/>
          <w:szCs w:val="20"/>
        </w:rPr>
      </w:pPr>
      <w:r w:rsidRPr="00806A53">
        <w:rPr>
          <w:sz w:val="20"/>
          <w:szCs w:val="20"/>
        </w:rPr>
        <w:t>Alvim, Thereza; Alvin, José Manoel de Arruda Alvim Netto</w:t>
      </w:r>
      <w:r w:rsidR="00806A53" w:rsidRPr="00806A53">
        <w:rPr>
          <w:sz w:val="20"/>
          <w:szCs w:val="20"/>
        </w:rPr>
        <w:t>; em</w:t>
      </w:r>
      <w:r w:rsidRPr="00806A53">
        <w:rPr>
          <w:sz w:val="20"/>
          <w:szCs w:val="20"/>
        </w:rPr>
        <w:t xml:space="preserve"> </w:t>
      </w:r>
      <w:hyperlink r:id="rId11" w:history="1">
        <w:r w:rsidRPr="00806A53">
          <w:rPr>
            <w:rStyle w:val="Hyperlink"/>
            <w:sz w:val="20"/>
            <w:szCs w:val="20"/>
          </w:rPr>
          <w:t>https://enciclopediajuridica.pucsp.br/verbete/177/edicao-1/coisa-julgada</w:t>
        </w:r>
      </w:hyperlink>
      <w:r w:rsidRPr="00806A53">
        <w:rPr>
          <w:sz w:val="20"/>
          <w:szCs w:val="20"/>
        </w:rPr>
        <w:t xml:space="preserve"> - Acesso em 30.08.2023.</w:t>
      </w:r>
    </w:p>
    <w:p w14:paraId="37D499F3" w14:textId="77777777" w:rsidR="00867FE2" w:rsidRPr="00806A53" w:rsidRDefault="00867FE2" w:rsidP="00867FE2">
      <w:pPr>
        <w:pStyle w:val="paragraph"/>
        <w:spacing w:before="0" w:beforeAutospacing="0" w:after="0" w:afterAutospacing="0"/>
        <w:jc w:val="both"/>
        <w:textAlignment w:val="baseline"/>
        <w:rPr>
          <w:rStyle w:val="normaltextrun"/>
          <w:sz w:val="20"/>
          <w:szCs w:val="20"/>
        </w:rPr>
      </w:pPr>
    </w:p>
    <w:p w14:paraId="657C0B3E" w14:textId="5EA0478A" w:rsidR="00DB1AD2" w:rsidRPr="008C753D" w:rsidRDefault="00880BD4" w:rsidP="00867FE2">
      <w:pPr>
        <w:pStyle w:val="paragraph"/>
        <w:spacing w:before="0" w:beforeAutospacing="0" w:after="0" w:afterAutospacing="0"/>
        <w:jc w:val="both"/>
        <w:textAlignment w:val="baseline"/>
        <w:rPr>
          <w:rStyle w:val="normaltextrun"/>
          <w:sz w:val="20"/>
          <w:szCs w:val="20"/>
        </w:rPr>
      </w:pPr>
      <w:r w:rsidRPr="00806A53">
        <w:rPr>
          <w:rStyle w:val="normaltextrun"/>
          <w:sz w:val="20"/>
          <w:szCs w:val="20"/>
        </w:rPr>
        <w:t>BINENBOJM</w:t>
      </w:r>
      <w:r w:rsidR="00DB1AD2" w:rsidRPr="00806A53">
        <w:rPr>
          <w:rStyle w:val="normaltextrun"/>
          <w:sz w:val="20"/>
          <w:szCs w:val="20"/>
        </w:rPr>
        <w:t>, Gustavo, Uma Teoria do Direito Admin</w:t>
      </w:r>
      <w:r w:rsidR="00C048A4" w:rsidRPr="00806A53">
        <w:rPr>
          <w:rStyle w:val="normaltextrun"/>
          <w:sz w:val="20"/>
          <w:szCs w:val="20"/>
        </w:rPr>
        <w:t>i</w:t>
      </w:r>
      <w:r w:rsidR="00DB1AD2" w:rsidRPr="00806A53">
        <w:rPr>
          <w:rStyle w:val="normaltextrun"/>
          <w:sz w:val="20"/>
          <w:szCs w:val="20"/>
        </w:rPr>
        <w:t xml:space="preserve">strativo, Direitos Fundamentais, Democracia e </w:t>
      </w:r>
      <w:r w:rsidR="00DB1AD2" w:rsidRPr="008C753D">
        <w:rPr>
          <w:rStyle w:val="normaltextrun"/>
          <w:sz w:val="20"/>
          <w:szCs w:val="20"/>
        </w:rPr>
        <w:t>Constitucionalização, 3ª edição, Rio de Janeiro</w:t>
      </w:r>
      <w:r w:rsidR="00C77D6C" w:rsidRPr="008C753D">
        <w:rPr>
          <w:rStyle w:val="normaltextrun"/>
          <w:sz w:val="20"/>
          <w:szCs w:val="20"/>
        </w:rPr>
        <w:t>: Renovar</w:t>
      </w:r>
      <w:r w:rsidR="00DB1AD2" w:rsidRPr="008C753D">
        <w:rPr>
          <w:rStyle w:val="normaltextrun"/>
          <w:sz w:val="20"/>
          <w:szCs w:val="20"/>
        </w:rPr>
        <w:t>, 2014.</w:t>
      </w:r>
    </w:p>
    <w:p w14:paraId="3600F5EE" w14:textId="77777777" w:rsidR="00DB1AD2" w:rsidRPr="008C753D" w:rsidRDefault="00DB1AD2" w:rsidP="00867FE2">
      <w:pPr>
        <w:pStyle w:val="paragraph"/>
        <w:spacing w:before="0" w:beforeAutospacing="0" w:after="0" w:afterAutospacing="0"/>
        <w:jc w:val="both"/>
        <w:textAlignment w:val="baseline"/>
        <w:rPr>
          <w:rStyle w:val="normaltextrun"/>
          <w:sz w:val="20"/>
          <w:szCs w:val="20"/>
        </w:rPr>
      </w:pPr>
    </w:p>
    <w:p w14:paraId="3D0A94D1" w14:textId="3981212C" w:rsidR="008C753D" w:rsidRPr="008C753D" w:rsidRDefault="008C753D" w:rsidP="00867FE2">
      <w:pPr>
        <w:pStyle w:val="paragraph"/>
        <w:spacing w:before="0" w:beforeAutospacing="0" w:after="0" w:afterAutospacing="0"/>
        <w:jc w:val="both"/>
        <w:textAlignment w:val="baseline"/>
        <w:rPr>
          <w:rStyle w:val="normaltextrun"/>
          <w:sz w:val="20"/>
          <w:szCs w:val="20"/>
        </w:rPr>
      </w:pPr>
      <w:r w:rsidRPr="008C753D">
        <w:rPr>
          <w:sz w:val="20"/>
          <w:szCs w:val="20"/>
        </w:rPr>
        <w:t xml:space="preserve">CASAGRANDE, Cássio Luís; BARREIRA, Jônatas Henriques. O caso </w:t>
      </w:r>
      <w:proofErr w:type="spellStart"/>
      <w:r w:rsidRPr="008C753D">
        <w:rPr>
          <w:sz w:val="20"/>
          <w:szCs w:val="20"/>
        </w:rPr>
        <w:t>McCulloch</w:t>
      </w:r>
      <w:proofErr w:type="spellEnd"/>
      <w:r w:rsidRPr="008C753D">
        <w:rPr>
          <w:sz w:val="20"/>
          <w:szCs w:val="20"/>
        </w:rPr>
        <w:t xml:space="preserve"> v. Maryland e sua utilização na jurisprudência do STF. Revista de Informação Legislativa: RIL, Brasília, DF, v. 56, n. 221, p. 247-270, jan./mar. 2019. Disponível em: http://www12.senado.leg.br/ril/edicoes/56/221/ril_v56_n221.</w:t>
      </w:r>
    </w:p>
    <w:p w14:paraId="2FF95196" w14:textId="77777777" w:rsidR="008C753D" w:rsidRPr="008C753D" w:rsidRDefault="008C753D" w:rsidP="00867FE2">
      <w:pPr>
        <w:pStyle w:val="paragraph"/>
        <w:spacing w:before="0" w:beforeAutospacing="0" w:after="0" w:afterAutospacing="0"/>
        <w:jc w:val="both"/>
        <w:textAlignment w:val="baseline"/>
        <w:rPr>
          <w:rStyle w:val="normaltextrun"/>
          <w:sz w:val="20"/>
          <w:szCs w:val="20"/>
        </w:rPr>
      </w:pPr>
    </w:p>
    <w:p w14:paraId="008673B1" w14:textId="59FBE7D2" w:rsidR="003C71DD" w:rsidRPr="00806A53" w:rsidRDefault="003C71DD" w:rsidP="00867FE2">
      <w:pPr>
        <w:pStyle w:val="paragraph"/>
        <w:spacing w:before="0" w:beforeAutospacing="0" w:after="0" w:afterAutospacing="0"/>
        <w:jc w:val="both"/>
        <w:textAlignment w:val="baseline"/>
        <w:rPr>
          <w:rStyle w:val="eop"/>
          <w:sz w:val="20"/>
          <w:szCs w:val="20"/>
        </w:rPr>
      </w:pPr>
      <w:proofErr w:type="spellStart"/>
      <w:r w:rsidRPr="00806A53">
        <w:rPr>
          <w:rStyle w:val="normaltextrun"/>
          <w:sz w:val="20"/>
          <w:szCs w:val="20"/>
        </w:rPr>
        <w:t>Dworkin</w:t>
      </w:r>
      <w:proofErr w:type="spellEnd"/>
      <w:r w:rsidRPr="00806A53">
        <w:rPr>
          <w:rStyle w:val="normaltextrun"/>
          <w:sz w:val="20"/>
          <w:szCs w:val="20"/>
        </w:rPr>
        <w:t xml:space="preserve">, Ronald. </w:t>
      </w:r>
      <w:r w:rsidRPr="00806A53">
        <w:rPr>
          <w:rStyle w:val="normaltextrun"/>
          <w:b/>
          <w:bCs/>
          <w:sz w:val="20"/>
          <w:szCs w:val="20"/>
        </w:rPr>
        <w:t>Levando os Direitos a Sério</w:t>
      </w:r>
      <w:r w:rsidRPr="00806A53">
        <w:rPr>
          <w:rStyle w:val="normaltextrun"/>
          <w:sz w:val="20"/>
          <w:szCs w:val="20"/>
        </w:rPr>
        <w:t>. Tradução Nelson Bandeira. São Paulo: Martins Fontes, 2002.</w:t>
      </w:r>
      <w:r w:rsidRPr="00806A53">
        <w:rPr>
          <w:rStyle w:val="eop"/>
          <w:sz w:val="20"/>
          <w:szCs w:val="20"/>
        </w:rPr>
        <w:t> </w:t>
      </w:r>
    </w:p>
    <w:p w14:paraId="7AED3706" w14:textId="77777777" w:rsidR="00867FE2" w:rsidRPr="00806A53" w:rsidRDefault="00867FE2" w:rsidP="00867FE2">
      <w:pPr>
        <w:pStyle w:val="paragraph"/>
        <w:spacing w:before="0" w:beforeAutospacing="0" w:after="0" w:afterAutospacing="0"/>
        <w:jc w:val="both"/>
        <w:textAlignment w:val="baseline"/>
        <w:rPr>
          <w:rStyle w:val="eop"/>
          <w:sz w:val="20"/>
          <w:szCs w:val="20"/>
        </w:rPr>
      </w:pPr>
    </w:p>
    <w:p w14:paraId="2B0DE20B" w14:textId="0FE8B7FE" w:rsidR="00867FE2" w:rsidRPr="00806A53" w:rsidRDefault="00867FE2" w:rsidP="00867FE2">
      <w:pPr>
        <w:pStyle w:val="paragraph"/>
        <w:spacing w:before="0" w:beforeAutospacing="0" w:after="0" w:afterAutospacing="0"/>
        <w:jc w:val="both"/>
        <w:textAlignment w:val="baseline"/>
        <w:rPr>
          <w:rFonts w:ascii="Segoe UI" w:hAnsi="Segoe UI" w:cs="Segoe UI"/>
          <w:sz w:val="20"/>
          <w:szCs w:val="20"/>
        </w:rPr>
      </w:pPr>
      <w:proofErr w:type="spellStart"/>
      <w:r w:rsidRPr="00806A53">
        <w:rPr>
          <w:sz w:val="20"/>
          <w:szCs w:val="20"/>
        </w:rPr>
        <w:t>Gussoli</w:t>
      </w:r>
      <w:proofErr w:type="spellEnd"/>
      <w:r w:rsidRPr="00806A53">
        <w:rPr>
          <w:sz w:val="20"/>
          <w:szCs w:val="20"/>
        </w:rPr>
        <w:t>, Felipe Klein</w:t>
      </w:r>
      <w:r w:rsidR="00806A53" w:rsidRPr="00806A53">
        <w:rPr>
          <w:sz w:val="20"/>
          <w:szCs w:val="20"/>
        </w:rPr>
        <w:t>;</w:t>
      </w:r>
      <w:r w:rsidRPr="00806A53">
        <w:rPr>
          <w:sz w:val="20"/>
          <w:szCs w:val="20"/>
        </w:rPr>
        <w:t xml:space="preserve"> em </w:t>
      </w:r>
      <w:hyperlink r:id="rId12" w:history="1">
        <w:r w:rsidRPr="00806A53">
          <w:rPr>
            <w:rStyle w:val="Hyperlink"/>
            <w:sz w:val="20"/>
            <w:szCs w:val="20"/>
          </w:rPr>
          <w:t>https://www.conjur.com.br/2021-out-06/gussoli-juridicidade-norma-motora-direito-administrativo</w:t>
        </w:r>
      </w:hyperlink>
      <w:r w:rsidRPr="00806A53">
        <w:rPr>
          <w:sz w:val="20"/>
          <w:szCs w:val="20"/>
        </w:rPr>
        <w:t xml:space="preserve">  - Acesso em 31.08.2023</w:t>
      </w:r>
    </w:p>
    <w:p w14:paraId="41110679" w14:textId="77777777" w:rsidR="003C71DD" w:rsidRPr="00806A53" w:rsidRDefault="003C71DD" w:rsidP="00867FE2">
      <w:pPr>
        <w:pStyle w:val="paragraph"/>
        <w:spacing w:before="0" w:beforeAutospacing="0" w:after="0" w:afterAutospacing="0"/>
        <w:jc w:val="both"/>
        <w:textAlignment w:val="baseline"/>
        <w:rPr>
          <w:rFonts w:ascii="Segoe UI" w:hAnsi="Segoe UI" w:cs="Segoe UI"/>
          <w:sz w:val="20"/>
          <w:szCs w:val="20"/>
        </w:rPr>
      </w:pPr>
      <w:r w:rsidRPr="00806A53">
        <w:rPr>
          <w:rStyle w:val="eop"/>
          <w:sz w:val="20"/>
          <w:szCs w:val="20"/>
        </w:rPr>
        <w:t> </w:t>
      </w:r>
    </w:p>
    <w:p w14:paraId="1BE59D26" w14:textId="2A587CBB" w:rsidR="003C71DD" w:rsidRPr="00806A53" w:rsidRDefault="003C71DD" w:rsidP="00867FE2">
      <w:pPr>
        <w:pStyle w:val="paragraph"/>
        <w:spacing w:before="0" w:beforeAutospacing="0" w:after="0" w:afterAutospacing="0"/>
        <w:jc w:val="both"/>
        <w:textAlignment w:val="baseline"/>
        <w:rPr>
          <w:rStyle w:val="normaltextrun"/>
          <w:sz w:val="20"/>
          <w:szCs w:val="20"/>
        </w:rPr>
      </w:pPr>
      <w:proofErr w:type="spellStart"/>
      <w:r w:rsidRPr="00806A53">
        <w:rPr>
          <w:rStyle w:val="normaltextrun"/>
          <w:sz w:val="20"/>
          <w:szCs w:val="20"/>
        </w:rPr>
        <w:t>Streck</w:t>
      </w:r>
      <w:proofErr w:type="spellEnd"/>
      <w:r w:rsidRPr="00806A53">
        <w:rPr>
          <w:rStyle w:val="normaltextrun"/>
          <w:sz w:val="20"/>
          <w:szCs w:val="20"/>
        </w:rPr>
        <w:t xml:space="preserve">, </w:t>
      </w:r>
      <w:proofErr w:type="spellStart"/>
      <w:r w:rsidRPr="00806A53">
        <w:rPr>
          <w:rStyle w:val="normaltextrun"/>
          <w:sz w:val="20"/>
          <w:szCs w:val="20"/>
        </w:rPr>
        <w:t>Lenio</w:t>
      </w:r>
      <w:proofErr w:type="spellEnd"/>
      <w:r w:rsidRPr="00806A53">
        <w:rPr>
          <w:rStyle w:val="normaltextrun"/>
          <w:sz w:val="20"/>
          <w:szCs w:val="20"/>
        </w:rPr>
        <w:t xml:space="preserve"> Luiz. Dicionário de Hermenêutica. Quarenta temas Fundamentais da Teoria do Direito à Luz da Crítica Hermenêutica do Direito. Responsa adequada à constituição (resposta correta). Belo Horizonte: Letramento, 2017.</w:t>
      </w:r>
    </w:p>
    <w:p w14:paraId="04F727B1" w14:textId="77777777" w:rsidR="00806A53" w:rsidRPr="00806A53" w:rsidRDefault="00806A53" w:rsidP="00867FE2">
      <w:pPr>
        <w:pStyle w:val="paragraph"/>
        <w:spacing w:before="0" w:beforeAutospacing="0" w:after="0" w:afterAutospacing="0"/>
        <w:jc w:val="both"/>
        <w:textAlignment w:val="baseline"/>
        <w:rPr>
          <w:rStyle w:val="normaltextrun"/>
          <w:sz w:val="20"/>
          <w:szCs w:val="20"/>
        </w:rPr>
      </w:pPr>
    </w:p>
    <w:p w14:paraId="3EF5D7C8" w14:textId="5E72B9FC" w:rsidR="00806A53" w:rsidRPr="00806A53" w:rsidRDefault="00806A53" w:rsidP="00806A53">
      <w:pPr>
        <w:pStyle w:val="Textodenotaderodap"/>
        <w:jc w:val="both"/>
        <w:rPr>
          <w:rFonts w:ascii="Segoe UI" w:hAnsi="Segoe UI" w:cs="Segoe UI"/>
        </w:rPr>
      </w:pPr>
      <w:proofErr w:type="spellStart"/>
      <w:r w:rsidRPr="00806A53">
        <w:rPr>
          <w:rStyle w:val="normaltextrun"/>
          <w:rFonts w:ascii="Times New Roman" w:hAnsi="Times New Roman" w:cs="Times New Roman"/>
          <w:color w:val="000000"/>
          <w:shd w:val="clear" w:color="auto" w:fill="FFFFFF"/>
        </w:rPr>
        <w:t>Streck</w:t>
      </w:r>
      <w:proofErr w:type="spellEnd"/>
      <w:r w:rsidRPr="00806A53">
        <w:rPr>
          <w:rStyle w:val="normaltextrun"/>
          <w:rFonts w:ascii="Times New Roman" w:hAnsi="Times New Roman" w:cs="Times New Roman"/>
          <w:color w:val="000000"/>
          <w:shd w:val="clear" w:color="auto" w:fill="FFFFFF"/>
        </w:rPr>
        <w:t xml:space="preserve">, </w:t>
      </w:r>
      <w:proofErr w:type="spellStart"/>
      <w:r w:rsidRPr="00806A53">
        <w:rPr>
          <w:rStyle w:val="normaltextrun"/>
          <w:rFonts w:ascii="Times New Roman" w:hAnsi="Times New Roman" w:cs="Times New Roman"/>
          <w:color w:val="000000"/>
          <w:shd w:val="clear" w:color="auto" w:fill="FFFFFF"/>
        </w:rPr>
        <w:t>Lenio</w:t>
      </w:r>
      <w:proofErr w:type="spellEnd"/>
      <w:r w:rsidRPr="00806A53">
        <w:rPr>
          <w:rStyle w:val="normaltextrun"/>
          <w:rFonts w:ascii="Times New Roman" w:hAnsi="Times New Roman" w:cs="Times New Roman"/>
          <w:color w:val="000000"/>
          <w:shd w:val="clear" w:color="auto" w:fill="FFFFFF"/>
        </w:rPr>
        <w:t xml:space="preserve"> Luiz; em </w:t>
      </w:r>
      <w:hyperlink r:id="rId13" w:history="1">
        <w:r w:rsidRPr="00806A53">
          <w:rPr>
            <w:rStyle w:val="Hyperlink"/>
            <w:rFonts w:ascii="Times New Roman" w:hAnsi="Times New Roman" w:cs="Times New Roman"/>
          </w:rPr>
          <w:t>https://www.conjur.com.br/2016-abr-23/observatorio-constitucional-jurisdicao-fundamentacao-dever-coerencia-integridade-cpc</w:t>
        </w:r>
      </w:hyperlink>
      <w:r w:rsidRPr="00806A53">
        <w:rPr>
          <w:rFonts w:ascii="Times New Roman" w:hAnsi="Times New Roman" w:cs="Times New Roman"/>
        </w:rPr>
        <w:t xml:space="preserve"> - Acesso em 30.08.2023</w:t>
      </w:r>
    </w:p>
    <w:p w14:paraId="08883212" w14:textId="77777777" w:rsidR="003C71DD" w:rsidRPr="00C048A4" w:rsidRDefault="003C71DD" w:rsidP="00867FE2">
      <w:pPr>
        <w:pStyle w:val="paragraph"/>
        <w:spacing w:before="0" w:beforeAutospacing="0" w:after="0" w:afterAutospacing="0"/>
        <w:jc w:val="both"/>
        <w:textAlignment w:val="baseline"/>
        <w:rPr>
          <w:rStyle w:val="normaltextrun"/>
        </w:rPr>
      </w:pPr>
    </w:p>
    <w:sectPr w:rsidR="003C71DD" w:rsidRPr="00C048A4" w:rsidSect="00391A08">
      <w:headerReference w:type="default" r:id="rId14"/>
      <w:footerReference w:type="default" r:id="rId15"/>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D97DB" w14:textId="77777777" w:rsidR="00E859EF" w:rsidRDefault="00E859EF" w:rsidP="00D25610">
      <w:pPr>
        <w:spacing w:after="0" w:line="240" w:lineRule="auto"/>
      </w:pPr>
      <w:r>
        <w:separator/>
      </w:r>
    </w:p>
  </w:endnote>
  <w:endnote w:type="continuationSeparator" w:id="0">
    <w:p w14:paraId="52E5FE95" w14:textId="77777777" w:rsidR="00E859EF" w:rsidRDefault="00E859EF" w:rsidP="00D25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109292"/>
      <w:docPartObj>
        <w:docPartGallery w:val="Page Numbers (Bottom of Page)"/>
        <w:docPartUnique/>
      </w:docPartObj>
    </w:sdtPr>
    <w:sdtContent>
      <w:p w14:paraId="6AA51BE2" w14:textId="30EA3175" w:rsidR="008E33BD" w:rsidRDefault="008E33BD">
        <w:pPr>
          <w:pStyle w:val="Rodap"/>
          <w:jc w:val="center"/>
        </w:pPr>
        <w:r>
          <w:fldChar w:fldCharType="begin"/>
        </w:r>
        <w:r>
          <w:instrText>PAGE   \* MERGEFORMAT</w:instrText>
        </w:r>
        <w:r>
          <w:fldChar w:fldCharType="separate"/>
        </w:r>
        <w:r>
          <w:t>2</w:t>
        </w:r>
        <w:r>
          <w:fldChar w:fldCharType="end"/>
        </w:r>
      </w:p>
    </w:sdtContent>
  </w:sdt>
  <w:p w14:paraId="2905C61B" w14:textId="77777777" w:rsidR="008E33BD" w:rsidRDefault="008E33B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9D9AD" w14:textId="77777777" w:rsidR="00E859EF" w:rsidRDefault="00E859EF" w:rsidP="00D25610">
      <w:pPr>
        <w:spacing w:after="0" w:line="240" w:lineRule="auto"/>
      </w:pPr>
      <w:r>
        <w:separator/>
      </w:r>
    </w:p>
  </w:footnote>
  <w:footnote w:type="continuationSeparator" w:id="0">
    <w:p w14:paraId="2FDA1A25" w14:textId="77777777" w:rsidR="00E859EF" w:rsidRDefault="00E859EF" w:rsidP="00D25610">
      <w:pPr>
        <w:spacing w:after="0" w:line="240" w:lineRule="auto"/>
      </w:pPr>
      <w:r>
        <w:continuationSeparator/>
      </w:r>
    </w:p>
  </w:footnote>
  <w:footnote w:id="1">
    <w:p w14:paraId="6AFF422A" w14:textId="4A6F5172" w:rsidR="00BC7D61" w:rsidRPr="00BC7D61" w:rsidRDefault="00BC7D61" w:rsidP="00BC7D61">
      <w:pPr>
        <w:pStyle w:val="Textodenotaderodap"/>
        <w:jc w:val="both"/>
        <w:rPr>
          <w:rFonts w:ascii="Times New Roman" w:hAnsi="Times New Roman" w:cs="Times New Roman"/>
        </w:rPr>
      </w:pPr>
      <w:r>
        <w:rPr>
          <w:rStyle w:val="Refdenotaderodap"/>
        </w:rPr>
        <w:footnoteRef/>
      </w:r>
      <w:r>
        <w:t xml:space="preserve"> </w:t>
      </w:r>
      <w:hyperlink r:id="rId1" w:anchor=":~:text=Ou%20seja%2C%20de%20cada%20100,Eleitoral%20por%200%2C01%25" w:history="1">
        <w:r w:rsidRPr="00D30EBF">
          <w:rPr>
            <w:rStyle w:val="Hyperlink"/>
            <w:rFonts w:ascii="Times New Roman" w:hAnsi="Times New Roman" w:cs="Times New Roman"/>
          </w:rPr>
          <w:t>https://www.cnj.jus.br/judiciario-lanca-programa-para-destravar-processos-de-execucoes-fiscais/#:~:text=Ou%20seja%2C%20de%20cada%20100,Eleitoral%20por%200%2C01%25</w:t>
        </w:r>
      </w:hyperlink>
      <w:r>
        <w:rPr>
          <w:rFonts w:ascii="Times New Roman" w:hAnsi="Times New Roman" w:cs="Times New Roman"/>
        </w:rPr>
        <w:t xml:space="preserve"> p. 164/165 – Acesso em 31.08.2023.</w:t>
      </w:r>
    </w:p>
  </w:footnote>
  <w:footnote w:id="2">
    <w:p w14:paraId="70241706" w14:textId="6FA4CF1B" w:rsidR="00A10B93" w:rsidRPr="00A10B93" w:rsidRDefault="00A10B93" w:rsidP="00A10B93">
      <w:pPr>
        <w:pStyle w:val="Textodenotaderodap"/>
        <w:jc w:val="both"/>
        <w:rPr>
          <w:rFonts w:ascii="Times New Roman" w:hAnsi="Times New Roman" w:cs="Times New Roman"/>
        </w:rPr>
      </w:pPr>
      <w:r>
        <w:rPr>
          <w:rStyle w:val="Refdenotaderodap"/>
        </w:rPr>
        <w:footnoteRef/>
      </w:r>
      <w:r>
        <w:t xml:space="preserve"> </w:t>
      </w:r>
      <w:r w:rsidRPr="00A10B93">
        <w:rPr>
          <w:rFonts w:ascii="Times New Roman" w:hAnsi="Times New Roman" w:cs="Times New Roman"/>
        </w:rPr>
        <w:t xml:space="preserve">Killenbeck (c2006, p. 110) </w:t>
      </w:r>
      <w:r w:rsidRPr="00A10B93">
        <w:rPr>
          <w:rFonts w:ascii="Times New Roman" w:hAnsi="Times New Roman" w:cs="Times New Roman"/>
          <w:i/>
          <w:iCs/>
        </w:rPr>
        <w:t xml:space="preserve">apud </w:t>
      </w:r>
      <w:r w:rsidRPr="00A10B93">
        <w:rPr>
          <w:rFonts w:ascii="Times New Roman" w:hAnsi="Times New Roman" w:cs="Times New Roman"/>
        </w:rPr>
        <w:t>CASAGRANDE, Cássio Luís; BARREIRA, Jônatas Henriques. O caso McCulloch v. Maryland e sua utilização na jurisprudência do STF. Revista de Informação Legislativa: RIL, Brasília, DF, v. 56, n. 221, p. 247-270, jan./mar. 2019. Disponível em: http://www12.senado.leg.br/ril/edicoes/56/221/ril_v56_n221_p247</w:t>
      </w:r>
      <w:r>
        <w:rPr>
          <w:rFonts w:ascii="Times New Roman" w:hAnsi="Times New Roman" w:cs="Times New Roman"/>
        </w:rPr>
        <w:t>.</w:t>
      </w:r>
    </w:p>
  </w:footnote>
  <w:footnote w:id="3">
    <w:p w14:paraId="4D4A9027" w14:textId="640785C0" w:rsidR="00B23CD2" w:rsidRPr="00B23CD2" w:rsidRDefault="00B23CD2" w:rsidP="00B23CD2">
      <w:pPr>
        <w:pStyle w:val="Textodenotaderodap"/>
        <w:jc w:val="both"/>
        <w:rPr>
          <w:rFonts w:ascii="Times New Roman" w:hAnsi="Times New Roman" w:cs="Times New Roman"/>
        </w:rPr>
      </w:pPr>
      <w:r>
        <w:rPr>
          <w:rStyle w:val="Refdenotaderodap"/>
        </w:rPr>
        <w:footnoteRef/>
      </w:r>
      <w:r>
        <w:t xml:space="preserve"> </w:t>
      </w:r>
      <w:hyperlink r:id="rId2" w:history="1">
        <w:r w:rsidRPr="004D3D06">
          <w:rPr>
            <w:rStyle w:val="Hyperlink"/>
            <w:rFonts w:ascii="Times New Roman" w:hAnsi="Times New Roman" w:cs="Times New Roman"/>
          </w:rPr>
          <w:t>https://jurisprudencia.stf.jus.br/pages/search?base=acordaos&amp;pesquisa_inteiro_teor=false&amp;sinonimo=true&amp;plural=true&amp;radicais=false&amp;buscaExata=true&amp;page=1&amp;pageSize=10&amp;queryString=%22teoria%20dos%20poderes%20impl%C3%ADcitos%22&amp;sort=_score&amp;sortBy=desc</w:t>
        </w:r>
      </w:hyperlink>
      <w:r>
        <w:rPr>
          <w:rFonts w:ascii="Times New Roman" w:hAnsi="Times New Roman" w:cs="Times New Roman"/>
        </w:rPr>
        <w:t xml:space="preserve"> – acesso em 30.08.2023</w:t>
      </w:r>
    </w:p>
  </w:footnote>
  <w:footnote w:id="4">
    <w:p w14:paraId="6486357D" w14:textId="4140E95F" w:rsidR="00104F15" w:rsidRPr="00104F15" w:rsidRDefault="00104F15">
      <w:pPr>
        <w:pStyle w:val="Textodenotaderodap"/>
        <w:rPr>
          <w:rFonts w:ascii="Times New Roman" w:hAnsi="Times New Roman" w:cs="Times New Roman"/>
        </w:rPr>
      </w:pPr>
      <w:r w:rsidRPr="00104F15">
        <w:rPr>
          <w:rStyle w:val="Refdenotaderodap"/>
          <w:rFonts w:ascii="Times New Roman" w:hAnsi="Times New Roman" w:cs="Times New Roman"/>
        </w:rPr>
        <w:footnoteRef/>
      </w:r>
      <w:r w:rsidRPr="00104F15">
        <w:rPr>
          <w:rFonts w:ascii="Times New Roman" w:hAnsi="Times New Roman" w:cs="Times New Roman"/>
        </w:rPr>
        <w:t xml:space="preserve"> </w:t>
      </w:r>
      <w:r w:rsidRPr="00104F15">
        <w:rPr>
          <w:rFonts w:ascii="Times New Roman" w:hAnsi="Times New Roman" w:cs="Times New Roman"/>
          <w:i/>
          <w:iCs/>
        </w:rPr>
        <w:t>Ib</w:t>
      </w:r>
      <w:r>
        <w:rPr>
          <w:rFonts w:ascii="Times New Roman" w:hAnsi="Times New Roman" w:cs="Times New Roman"/>
          <w:i/>
          <w:iCs/>
        </w:rPr>
        <w:t>i</w:t>
      </w:r>
      <w:r w:rsidRPr="00104F15">
        <w:rPr>
          <w:rFonts w:ascii="Times New Roman" w:hAnsi="Times New Roman" w:cs="Times New Roman"/>
          <w:i/>
          <w:iCs/>
        </w:rPr>
        <w:t>dem</w:t>
      </w:r>
      <w:r w:rsidRPr="00104F15">
        <w:rPr>
          <w:rFonts w:ascii="Times New Roman" w:hAnsi="Times New Roman" w:cs="Times New Roman"/>
        </w:rPr>
        <w:t xml:space="preserve"> nota 1</w:t>
      </w:r>
    </w:p>
  </w:footnote>
  <w:footnote w:id="5">
    <w:p w14:paraId="1AA89F28" w14:textId="77777777" w:rsidR="00896CF1" w:rsidRDefault="00896CF1" w:rsidP="00896CF1">
      <w:pPr>
        <w:pStyle w:val="Textodenotaderodap"/>
        <w:jc w:val="both"/>
      </w:pPr>
      <w:r>
        <w:rPr>
          <w:rStyle w:val="Refdenotaderodap"/>
        </w:rPr>
        <w:footnoteRef/>
      </w:r>
      <w:r>
        <w:t xml:space="preserve"> </w:t>
      </w:r>
      <w:r w:rsidRPr="00B11C4C">
        <w:rPr>
          <w:rStyle w:val="normaltextrun"/>
          <w:rFonts w:ascii="Times New Roman" w:hAnsi="Times New Roman" w:cs="Times New Roman"/>
          <w:color w:val="000000"/>
          <w:shd w:val="clear" w:color="auto" w:fill="FFFFFF"/>
        </w:rPr>
        <w:t>Streck, Lenio Luiz. Dicionário de Hermenêutica. Quarenta temas Fundamentais da Teoria do Direito à Luz da Crítica Hermenêutica do Direito. Responsa adequada à constituição (resposta correta). Belo Horizonte: Letramento, 2017. p. 25</w:t>
      </w:r>
      <w:r>
        <w:rPr>
          <w:rStyle w:val="normaltextrun"/>
          <w:rFonts w:ascii="Times New Roman" w:hAnsi="Times New Roman" w:cs="Times New Roman"/>
          <w:color w:val="000000"/>
          <w:shd w:val="clear" w:color="auto" w:fill="FFFFFF"/>
        </w:rPr>
        <w:t>4</w:t>
      </w:r>
      <w:r>
        <w:rPr>
          <w:rStyle w:val="eop"/>
          <w:color w:val="000000"/>
          <w:shd w:val="clear" w:color="auto" w:fill="FFFFFF"/>
        </w:rPr>
        <w:t> </w:t>
      </w:r>
    </w:p>
  </w:footnote>
  <w:footnote w:id="6">
    <w:p w14:paraId="40197D1E" w14:textId="66A643EF" w:rsidR="00881C4E" w:rsidRPr="00881C4E" w:rsidRDefault="00881C4E" w:rsidP="00881C4E">
      <w:pPr>
        <w:pStyle w:val="Textodenotaderodap"/>
        <w:jc w:val="both"/>
        <w:rPr>
          <w:rFonts w:ascii="Times New Roman" w:hAnsi="Times New Roman" w:cs="Times New Roman"/>
        </w:rPr>
      </w:pPr>
      <w:r>
        <w:rPr>
          <w:rStyle w:val="Refdenotaderodap"/>
        </w:rPr>
        <w:footnoteRef/>
      </w:r>
      <w:r>
        <w:t xml:space="preserve"> </w:t>
      </w:r>
      <w:hyperlink r:id="rId3" w:history="1">
        <w:r w:rsidRPr="00D30EBF">
          <w:rPr>
            <w:rStyle w:val="Hyperlink"/>
            <w:rFonts w:ascii="Times New Roman" w:hAnsi="Times New Roman" w:cs="Times New Roman"/>
          </w:rPr>
          <w:t>https://www.conjur.com.br/2016-abr-23/observatorio-constitucional-jurisdicao-fundamentacao-dever-coerencia-integridade-cpc</w:t>
        </w:r>
      </w:hyperlink>
      <w:r>
        <w:rPr>
          <w:rFonts w:ascii="Times New Roman" w:hAnsi="Times New Roman" w:cs="Times New Roman"/>
        </w:rPr>
        <w:t xml:space="preserve"> - Acesso em 30.08.2023</w:t>
      </w:r>
    </w:p>
  </w:footnote>
  <w:footnote w:id="7">
    <w:p w14:paraId="06C33AAF" w14:textId="77777777" w:rsidR="00DA47DC" w:rsidRPr="00616D68" w:rsidRDefault="00DA47DC" w:rsidP="00DA47DC">
      <w:pPr>
        <w:pStyle w:val="Textodenotaderodap"/>
        <w:jc w:val="both"/>
        <w:rPr>
          <w:rFonts w:ascii="Times New Roman" w:hAnsi="Times New Roman" w:cs="Times New Roman"/>
        </w:rPr>
      </w:pPr>
      <w:r w:rsidRPr="00616D68">
        <w:rPr>
          <w:rStyle w:val="Refdenotaderodap"/>
          <w:rFonts w:ascii="Times New Roman" w:hAnsi="Times New Roman" w:cs="Times New Roman"/>
        </w:rPr>
        <w:footnoteRef/>
      </w:r>
      <w:r w:rsidRPr="00616D68">
        <w:rPr>
          <w:rFonts w:ascii="Times New Roman" w:hAnsi="Times New Roman" w:cs="Times New Roman"/>
        </w:rPr>
        <w:t xml:space="preserve"> </w:t>
      </w:r>
      <w:hyperlink r:id="rId4" w:history="1">
        <w:r w:rsidRPr="00D30EBF">
          <w:rPr>
            <w:rStyle w:val="Hyperlink"/>
            <w:rFonts w:ascii="Times New Roman" w:hAnsi="Times New Roman" w:cs="Times New Roman"/>
          </w:rPr>
          <w:t>https://enciclopediajuridica.pucsp.br/verbete/177/edicao-1/coisa-julgada</w:t>
        </w:r>
      </w:hyperlink>
      <w:r>
        <w:rPr>
          <w:rFonts w:ascii="Times New Roman" w:hAnsi="Times New Roman" w:cs="Times New Roman"/>
        </w:rPr>
        <w:t xml:space="preserve"> - Acesso em 30.08.2023.</w:t>
      </w:r>
    </w:p>
  </w:footnote>
  <w:footnote w:id="8">
    <w:p w14:paraId="58E73E67" w14:textId="186A75C0" w:rsidR="00E11D62" w:rsidRPr="00C028CC" w:rsidRDefault="00E11D62" w:rsidP="00E11D62">
      <w:pPr>
        <w:pStyle w:val="Textodenotaderodap"/>
        <w:jc w:val="both"/>
        <w:rPr>
          <w:rFonts w:ascii="Times New Roman" w:hAnsi="Times New Roman" w:cs="Times New Roman"/>
        </w:rPr>
      </w:pPr>
      <w:r w:rsidRPr="00C028CC">
        <w:rPr>
          <w:rStyle w:val="Refdenotaderodap"/>
          <w:rFonts w:ascii="Times New Roman" w:hAnsi="Times New Roman" w:cs="Times New Roman"/>
        </w:rPr>
        <w:footnoteRef/>
      </w:r>
      <w:r w:rsidRPr="00C028CC">
        <w:rPr>
          <w:rFonts w:ascii="Times New Roman" w:hAnsi="Times New Roman" w:cs="Times New Roman"/>
        </w:rPr>
        <w:t xml:space="preserve"> </w:t>
      </w:r>
      <w:r w:rsidRPr="00991EAD">
        <w:rPr>
          <w:rFonts w:ascii="Times New Roman" w:hAnsi="Times New Roman" w:cs="Times New Roman"/>
        </w:rPr>
        <w:t>Binenbojm, Gustavo, Uma Teoria do Direito Admini</w:t>
      </w:r>
      <w:r>
        <w:rPr>
          <w:rFonts w:ascii="Times New Roman" w:hAnsi="Times New Roman" w:cs="Times New Roman"/>
        </w:rPr>
        <w:t>s</w:t>
      </w:r>
      <w:r w:rsidRPr="00991EAD">
        <w:rPr>
          <w:rFonts w:ascii="Times New Roman" w:hAnsi="Times New Roman" w:cs="Times New Roman"/>
        </w:rPr>
        <w:t xml:space="preserve">trativo, Direitos Fundamentais, Democracia e Constitucionalização, 3ª edição, Renovar, Rio de Janeiro, 2014, p. </w:t>
      </w:r>
      <w:r w:rsidRPr="00C028CC">
        <w:rPr>
          <w:rFonts w:ascii="Times New Roman" w:hAnsi="Times New Roman" w:cs="Times New Roman"/>
        </w:rPr>
        <w:t>37/38.</w:t>
      </w:r>
    </w:p>
  </w:footnote>
  <w:footnote w:id="9">
    <w:p w14:paraId="570975A5" w14:textId="32A695CA" w:rsidR="00695D42" w:rsidRDefault="00695D42" w:rsidP="00695D42">
      <w:pPr>
        <w:pStyle w:val="Textodenotaderodap"/>
        <w:jc w:val="both"/>
      </w:pPr>
      <w:r>
        <w:rPr>
          <w:rStyle w:val="Refdenotaderodap"/>
        </w:rPr>
        <w:footnoteRef/>
      </w:r>
      <w:r>
        <w:t xml:space="preserve"> </w:t>
      </w:r>
      <w:r w:rsidRPr="00695D42">
        <w:rPr>
          <w:rFonts w:ascii="Times New Roman" w:hAnsi="Times New Roman" w:cs="Times New Roman"/>
        </w:rPr>
        <w:t xml:space="preserve">Ver </w:t>
      </w:r>
      <w:r>
        <w:rPr>
          <w:rFonts w:ascii="Times New Roman" w:hAnsi="Times New Roman" w:cs="Times New Roman"/>
        </w:rPr>
        <w:t xml:space="preserve">Gussoli, Felipe Klein em </w:t>
      </w:r>
      <w:hyperlink r:id="rId5" w:history="1">
        <w:r w:rsidRPr="00D30EBF">
          <w:rPr>
            <w:rStyle w:val="Hyperlink"/>
            <w:rFonts w:ascii="Times New Roman" w:hAnsi="Times New Roman" w:cs="Times New Roman"/>
          </w:rPr>
          <w:t>https://www.conjur.com.br/2021-out-06/gussoli-juridicidade-norma-motora-direito-administrativo</w:t>
        </w:r>
      </w:hyperlink>
      <w:r>
        <w:rPr>
          <w:rFonts w:ascii="Times New Roman" w:hAnsi="Times New Roman" w:cs="Times New Roman"/>
        </w:rPr>
        <w:t xml:space="preserve">  - Acesso em 31.08.2023.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6C8B" w14:textId="08ADE4A5" w:rsidR="00121773" w:rsidRDefault="00121773">
    <w:pPr>
      <w:pStyle w:val="Cabealho"/>
      <w:jc w:val="right"/>
    </w:pPr>
  </w:p>
  <w:p w14:paraId="55007B7D" w14:textId="77777777" w:rsidR="00121773" w:rsidRDefault="0012177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31D1"/>
    <w:multiLevelType w:val="hybridMultilevel"/>
    <w:tmpl w:val="5E868ED8"/>
    <w:lvl w:ilvl="0" w:tplc="63C0223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2A2C2B"/>
    <w:multiLevelType w:val="hybridMultilevel"/>
    <w:tmpl w:val="65B2BBAC"/>
    <w:lvl w:ilvl="0" w:tplc="25EAFAF0">
      <w:start w:val="1"/>
      <w:numFmt w:val="upp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 w15:restartNumberingAfterBreak="0">
    <w:nsid w:val="3D594D98"/>
    <w:multiLevelType w:val="multilevel"/>
    <w:tmpl w:val="2196FC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6B11E5"/>
    <w:multiLevelType w:val="hybridMultilevel"/>
    <w:tmpl w:val="FB269FF8"/>
    <w:lvl w:ilvl="0" w:tplc="587CF956">
      <w:start w:val="1"/>
      <w:numFmt w:val="decimal"/>
      <w:lvlText w:val="(%1)"/>
      <w:lvlJc w:val="left"/>
      <w:pPr>
        <w:ind w:left="756" w:hanging="396"/>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12625502">
    <w:abstractNumId w:val="2"/>
  </w:num>
  <w:num w:numId="2" w16cid:durableId="1576092090">
    <w:abstractNumId w:val="0"/>
  </w:num>
  <w:num w:numId="3" w16cid:durableId="956106719">
    <w:abstractNumId w:val="3"/>
  </w:num>
  <w:num w:numId="4" w16cid:durableId="1128089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C3"/>
    <w:rsid w:val="0000023B"/>
    <w:rsid w:val="00001189"/>
    <w:rsid w:val="00001D70"/>
    <w:rsid w:val="00002EC8"/>
    <w:rsid w:val="00003990"/>
    <w:rsid w:val="000039DD"/>
    <w:rsid w:val="000043E0"/>
    <w:rsid w:val="00004BE6"/>
    <w:rsid w:val="00005EC9"/>
    <w:rsid w:val="00011E92"/>
    <w:rsid w:val="0001320C"/>
    <w:rsid w:val="00014BAA"/>
    <w:rsid w:val="00017CAB"/>
    <w:rsid w:val="00020F1A"/>
    <w:rsid w:val="00022914"/>
    <w:rsid w:val="00023502"/>
    <w:rsid w:val="000241F3"/>
    <w:rsid w:val="00026EDD"/>
    <w:rsid w:val="0003151F"/>
    <w:rsid w:val="000318AE"/>
    <w:rsid w:val="0003240B"/>
    <w:rsid w:val="000331D5"/>
    <w:rsid w:val="00033472"/>
    <w:rsid w:val="00033497"/>
    <w:rsid w:val="00034DD8"/>
    <w:rsid w:val="00035176"/>
    <w:rsid w:val="00036D37"/>
    <w:rsid w:val="0004021D"/>
    <w:rsid w:val="00042778"/>
    <w:rsid w:val="000445D9"/>
    <w:rsid w:val="00044E1B"/>
    <w:rsid w:val="00046DD9"/>
    <w:rsid w:val="00047150"/>
    <w:rsid w:val="00047901"/>
    <w:rsid w:val="00052925"/>
    <w:rsid w:val="00052D46"/>
    <w:rsid w:val="00052E0F"/>
    <w:rsid w:val="00055130"/>
    <w:rsid w:val="00055185"/>
    <w:rsid w:val="0005729A"/>
    <w:rsid w:val="00060C5E"/>
    <w:rsid w:val="000626CF"/>
    <w:rsid w:val="00062B76"/>
    <w:rsid w:val="000653E4"/>
    <w:rsid w:val="00065646"/>
    <w:rsid w:val="000666C9"/>
    <w:rsid w:val="00067939"/>
    <w:rsid w:val="00071A9D"/>
    <w:rsid w:val="00071B5E"/>
    <w:rsid w:val="00073623"/>
    <w:rsid w:val="00073AE0"/>
    <w:rsid w:val="00074B74"/>
    <w:rsid w:val="0007569A"/>
    <w:rsid w:val="0007672D"/>
    <w:rsid w:val="0008081B"/>
    <w:rsid w:val="00080837"/>
    <w:rsid w:val="00083427"/>
    <w:rsid w:val="00083B39"/>
    <w:rsid w:val="0008516D"/>
    <w:rsid w:val="00085DB4"/>
    <w:rsid w:val="000860EA"/>
    <w:rsid w:val="0008616C"/>
    <w:rsid w:val="00087084"/>
    <w:rsid w:val="00087ECC"/>
    <w:rsid w:val="0009002F"/>
    <w:rsid w:val="0009106A"/>
    <w:rsid w:val="00091A14"/>
    <w:rsid w:val="00092F51"/>
    <w:rsid w:val="00093127"/>
    <w:rsid w:val="000941C1"/>
    <w:rsid w:val="00095B52"/>
    <w:rsid w:val="000963C3"/>
    <w:rsid w:val="00096574"/>
    <w:rsid w:val="0009723A"/>
    <w:rsid w:val="000A03A3"/>
    <w:rsid w:val="000A26AA"/>
    <w:rsid w:val="000A4701"/>
    <w:rsid w:val="000A478F"/>
    <w:rsid w:val="000A4EF4"/>
    <w:rsid w:val="000A55AB"/>
    <w:rsid w:val="000A59E0"/>
    <w:rsid w:val="000A6FB3"/>
    <w:rsid w:val="000A6FE3"/>
    <w:rsid w:val="000A7905"/>
    <w:rsid w:val="000A7BD7"/>
    <w:rsid w:val="000B0540"/>
    <w:rsid w:val="000B19C9"/>
    <w:rsid w:val="000B26C0"/>
    <w:rsid w:val="000B3D10"/>
    <w:rsid w:val="000B5C7B"/>
    <w:rsid w:val="000B6074"/>
    <w:rsid w:val="000C1473"/>
    <w:rsid w:val="000C1CD1"/>
    <w:rsid w:val="000C2F52"/>
    <w:rsid w:val="000C368F"/>
    <w:rsid w:val="000C36EA"/>
    <w:rsid w:val="000C441C"/>
    <w:rsid w:val="000C4773"/>
    <w:rsid w:val="000C6F32"/>
    <w:rsid w:val="000D0B99"/>
    <w:rsid w:val="000D0BC0"/>
    <w:rsid w:val="000D1CB7"/>
    <w:rsid w:val="000D36B5"/>
    <w:rsid w:val="000D401C"/>
    <w:rsid w:val="000D6841"/>
    <w:rsid w:val="000E053A"/>
    <w:rsid w:val="000E0B85"/>
    <w:rsid w:val="000E0D8D"/>
    <w:rsid w:val="000E0F0B"/>
    <w:rsid w:val="000E1FDF"/>
    <w:rsid w:val="000E2480"/>
    <w:rsid w:val="000E2D50"/>
    <w:rsid w:val="000E6034"/>
    <w:rsid w:val="000E6D0E"/>
    <w:rsid w:val="000F0ABF"/>
    <w:rsid w:val="000F2607"/>
    <w:rsid w:val="000F2ABF"/>
    <w:rsid w:val="000F2DB3"/>
    <w:rsid w:val="000F42DD"/>
    <w:rsid w:val="000F49B7"/>
    <w:rsid w:val="000F734B"/>
    <w:rsid w:val="00100311"/>
    <w:rsid w:val="0010239D"/>
    <w:rsid w:val="00102570"/>
    <w:rsid w:val="00103E4B"/>
    <w:rsid w:val="0010408F"/>
    <w:rsid w:val="00104C39"/>
    <w:rsid w:val="00104F15"/>
    <w:rsid w:val="00104F2D"/>
    <w:rsid w:val="00104FDF"/>
    <w:rsid w:val="00106301"/>
    <w:rsid w:val="0010657D"/>
    <w:rsid w:val="00106E3A"/>
    <w:rsid w:val="0010731A"/>
    <w:rsid w:val="00111EA5"/>
    <w:rsid w:val="00112E69"/>
    <w:rsid w:val="00115C50"/>
    <w:rsid w:val="00115E01"/>
    <w:rsid w:val="0011735B"/>
    <w:rsid w:val="00117EB6"/>
    <w:rsid w:val="00120C7B"/>
    <w:rsid w:val="00121773"/>
    <w:rsid w:val="00121F9B"/>
    <w:rsid w:val="00122E14"/>
    <w:rsid w:val="001234D2"/>
    <w:rsid w:val="0012447A"/>
    <w:rsid w:val="00125B27"/>
    <w:rsid w:val="001265D1"/>
    <w:rsid w:val="001267D5"/>
    <w:rsid w:val="00126F44"/>
    <w:rsid w:val="001279F0"/>
    <w:rsid w:val="00127E27"/>
    <w:rsid w:val="001301F9"/>
    <w:rsid w:val="00130AD2"/>
    <w:rsid w:val="00133282"/>
    <w:rsid w:val="001357C0"/>
    <w:rsid w:val="001363ED"/>
    <w:rsid w:val="00136791"/>
    <w:rsid w:val="001368D7"/>
    <w:rsid w:val="00136930"/>
    <w:rsid w:val="0013769A"/>
    <w:rsid w:val="00137EA0"/>
    <w:rsid w:val="00140B80"/>
    <w:rsid w:val="00140FEC"/>
    <w:rsid w:val="00141852"/>
    <w:rsid w:val="00141C36"/>
    <w:rsid w:val="0014529C"/>
    <w:rsid w:val="001455E7"/>
    <w:rsid w:val="00147AF9"/>
    <w:rsid w:val="001504FB"/>
    <w:rsid w:val="0015090D"/>
    <w:rsid w:val="001528A1"/>
    <w:rsid w:val="0015479C"/>
    <w:rsid w:val="00154B4F"/>
    <w:rsid w:val="001570BC"/>
    <w:rsid w:val="0015797C"/>
    <w:rsid w:val="001579A2"/>
    <w:rsid w:val="00160CA9"/>
    <w:rsid w:val="00162231"/>
    <w:rsid w:val="00162E93"/>
    <w:rsid w:val="001644AE"/>
    <w:rsid w:val="0016576F"/>
    <w:rsid w:val="00165DD1"/>
    <w:rsid w:val="00166F8D"/>
    <w:rsid w:val="00167565"/>
    <w:rsid w:val="00170CBB"/>
    <w:rsid w:val="00171149"/>
    <w:rsid w:val="001716DE"/>
    <w:rsid w:val="001736E8"/>
    <w:rsid w:val="0017456D"/>
    <w:rsid w:val="001746ED"/>
    <w:rsid w:val="00174FDF"/>
    <w:rsid w:val="00175425"/>
    <w:rsid w:val="00176E9E"/>
    <w:rsid w:val="001815DC"/>
    <w:rsid w:val="00181CEC"/>
    <w:rsid w:val="001840DC"/>
    <w:rsid w:val="0018579F"/>
    <w:rsid w:val="00185E06"/>
    <w:rsid w:val="001864E4"/>
    <w:rsid w:val="00187AE0"/>
    <w:rsid w:val="0019157F"/>
    <w:rsid w:val="00195A04"/>
    <w:rsid w:val="001961C7"/>
    <w:rsid w:val="00196411"/>
    <w:rsid w:val="001A53FF"/>
    <w:rsid w:val="001A618C"/>
    <w:rsid w:val="001B029D"/>
    <w:rsid w:val="001B0DBA"/>
    <w:rsid w:val="001B45A0"/>
    <w:rsid w:val="001B4930"/>
    <w:rsid w:val="001B606D"/>
    <w:rsid w:val="001C04B1"/>
    <w:rsid w:val="001C11A7"/>
    <w:rsid w:val="001C35A5"/>
    <w:rsid w:val="001C3F21"/>
    <w:rsid w:val="001C5455"/>
    <w:rsid w:val="001C61FD"/>
    <w:rsid w:val="001C6607"/>
    <w:rsid w:val="001C6D16"/>
    <w:rsid w:val="001D2249"/>
    <w:rsid w:val="001D3086"/>
    <w:rsid w:val="001D46DB"/>
    <w:rsid w:val="001D5680"/>
    <w:rsid w:val="001D62F6"/>
    <w:rsid w:val="001D7D49"/>
    <w:rsid w:val="001E05FD"/>
    <w:rsid w:val="001E0CEE"/>
    <w:rsid w:val="001E18C2"/>
    <w:rsid w:val="001E1AD7"/>
    <w:rsid w:val="001E1B7C"/>
    <w:rsid w:val="001E286A"/>
    <w:rsid w:val="001E334A"/>
    <w:rsid w:val="001E3D7C"/>
    <w:rsid w:val="001E40E1"/>
    <w:rsid w:val="001E45C7"/>
    <w:rsid w:val="001E6456"/>
    <w:rsid w:val="001E6AD1"/>
    <w:rsid w:val="001F26AF"/>
    <w:rsid w:val="001F515A"/>
    <w:rsid w:val="001F6AAE"/>
    <w:rsid w:val="001F7E51"/>
    <w:rsid w:val="002023D8"/>
    <w:rsid w:val="002041F7"/>
    <w:rsid w:val="0020507D"/>
    <w:rsid w:val="00205C7A"/>
    <w:rsid w:val="002123C6"/>
    <w:rsid w:val="002128FA"/>
    <w:rsid w:val="0021294C"/>
    <w:rsid w:val="00212DDC"/>
    <w:rsid w:val="00216D81"/>
    <w:rsid w:val="002211A1"/>
    <w:rsid w:val="0022356C"/>
    <w:rsid w:val="00230112"/>
    <w:rsid w:val="002317EB"/>
    <w:rsid w:val="00233901"/>
    <w:rsid w:val="00234817"/>
    <w:rsid w:val="00236CD9"/>
    <w:rsid w:val="002379CA"/>
    <w:rsid w:val="00241152"/>
    <w:rsid w:val="00241924"/>
    <w:rsid w:val="00241E8B"/>
    <w:rsid w:val="002425A0"/>
    <w:rsid w:val="0024303F"/>
    <w:rsid w:val="002431E7"/>
    <w:rsid w:val="002437B9"/>
    <w:rsid w:val="0024453C"/>
    <w:rsid w:val="002446DD"/>
    <w:rsid w:val="00246623"/>
    <w:rsid w:val="002479FF"/>
    <w:rsid w:val="00247DEB"/>
    <w:rsid w:val="00251C2E"/>
    <w:rsid w:val="002520E6"/>
    <w:rsid w:val="0025278E"/>
    <w:rsid w:val="00252B46"/>
    <w:rsid w:val="00253A09"/>
    <w:rsid w:val="002545BB"/>
    <w:rsid w:val="00254C93"/>
    <w:rsid w:val="00256C79"/>
    <w:rsid w:val="00257FD3"/>
    <w:rsid w:val="002602A9"/>
    <w:rsid w:val="002625BF"/>
    <w:rsid w:val="002635AB"/>
    <w:rsid w:val="00263BB5"/>
    <w:rsid w:val="00263C23"/>
    <w:rsid w:val="00264704"/>
    <w:rsid w:val="0026471C"/>
    <w:rsid w:val="00265B9E"/>
    <w:rsid w:val="00267936"/>
    <w:rsid w:val="00270864"/>
    <w:rsid w:val="002722F0"/>
    <w:rsid w:val="0027249A"/>
    <w:rsid w:val="00272764"/>
    <w:rsid w:val="00273431"/>
    <w:rsid w:val="00273C17"/>
    <w:rsid w:val="0027428B"/>
    <w:rsid w:val="002746A9"/>
    <w:rsid w:val="00274FFC"/>
    <w:rsid w:val="00277DCF"/>
    <w:rsid w:val="00281172"/>
    <w:rsid w:val="00281C32"/>
    <w:rsid w:val="00285FD3"/>
    <w:rsid w:val="0028696A"/>
    <w:rsid w:val="00286F8D"/>
    <w:rsid w:val="002877E3"/>
    <w:rsid w:val="002915B0"/>
    <w:rsid w:val="00291B08"/>
    <w:rsid w:val="00293755"/>
    <w:rsid w:val="00293BF6"/>
    <w:rsid w:val="00293CB2"/>
    <w:rsid w:val="002942D6"/>
    <w:rsid w:val="00295391"/>
    <w:rsid w:val="00295444"/>
    <w:rsid w:val="002955CA"/>
    <w:rsid w:val="00295DB7"/>
    <w:rsid w:val="0029647B"/>
    <w:rsid w:val="00297235"/>
    <w:rsid w:val="002A0386"/>
    <w:rsid w:val="002A12CA"/>
    <w:rsid w:val="002A19BE"/>
    <w:rsid w:val="002A4029"/>
    <w:rsid w:val="002A43E8"/>
    <w:rsid w:val="002A5147"/>
    <w:rsid w:val="002A65AB"/>
    <w:rsid w:val="002A6C66"/>
    <w:rsid w:val="002A7571"/>
    <w:rsid w:val="002B1069"/>
    <w:rsid w:val="002B1143"/>
    <w:rsid w:val="002B17AF"/>
    <w:rsid w:val="002B1C5B"/>
    <w:rsid w:val="002B2432"/>
    <w:rsid w:val="002B2EDD"/>
    <w:rsid w:val="002B49C0"/>
    <w:rsid w:val="002B5823"/>
    <w:rsid w:val="002B6221"/>
    <w:rsid w:val="002B6401"/>
    <w:rsid w:val="002C1B8B"/>
    <w:rsid w:val="002C1EBF"/>
    <w:rsid w:val="002C2222"/>
    <w:rsid w:val="002C263F"/>
    <w:rsid w:val="002C4AFD"/>
    <w:rsid w:val="002C4B24"/>
    <w:rsid w:val="002C54D4"/>
    <w:rsid w:val="002C689C"/>
    <w:rsid w:val="002C7B74"/>
    <w:rsid w:val="002D037B"/>
    <w:rsid w:val="002D0692"/>
    <w:rsid w:val="002D07E1"/>
    <w:rsid w:val="002D248E"/>
    <w:rsid w:val="002D2CB9"/>
    <w:rsid w:val="002D3906"/>
    <w:rsid w:val="002D3FED"/>
    <w:rsid w:val="002D447C"/>
    <w:rsid w:val="002D458D"/>
    <w:rsid w:val="002D478B"/>
    <w:rsid w:val="002D4B5F"/>
    <w:rsid w:val="002D50DB"/>
    <w:rsid w:val="002D572B"/>
    <w:rsid w:val="002D6398"/>
    <w:rsid w:val="002D7FFB"/>
    <w:rsid w:val="002E075A"/>
    <w:rsid w:val="002E0E65"/>
    <w:rsid w:val="002E3DDE"/>
    <w:rsid w:val="002E5A74"/>
    <w:rsid w:val="002E6926"/>
    <w:rsid w:val="002F01F8"/>
    <w:rsid w:val="002F02B7"/>
    <w:rsid w:val="002F1113"/>
    <w:rsid w:val="002F2499"/>
    <w:rsid w:val="002F38CB"/>
    <w:rsid w:val="002F3D4D"/>
    <w:rsid w:val="002F613F"/>
    <w:rsid w:val="002F6151"/>
    <w:rsid w:val="002F66F2"/>
    <w:rsid w:val="00300082"/>
    <w:rsid w:val="00301F96"/>
    <w:rsid w:val="00302BC1"/>
    <w:rsid w:val="00302E53"/>
    <w:rsid w:val="0030352A"/>
    <w:rsid w:val="00303775"/>
    <w:rsid w:val="00304A0E"/>
    <w:rsid w:val="00304BFB"/>
    <w:rsid w:val="003055C1"/>
    <w:rsid w:val="00306536"/>
    <w:rsid w:val="0031099D"/>
    <w:rsid w:val="00311CF5"/>
    <w:rsid w:val="00311E74"/>
    <w:rsid w:val="003172D1"/>
    <w:rsid w:val="00317AEC"/>
    <w:rsid w:val="00320005"/>
    <w:rsid w:val="003241C0"/>
    <w:rsid w:val="00324ADB"/>
    <w:rsid w:val="00325F25"/>
    <w:rsid w:val="00326C04"/>
    <w:rsid w:val="0033098C"/>
    <w:rsid w:val="00330A49"/>
    <w:rsid w:val="00331168"/>
    <w:rsid w:val="0033354D"/>
    <w:rsid w:val="00334306"/>
    <w:rsid w:val="0033532D"/>
    <w:rsid w:val="00335B0B"/>
    <w:rsid w:val="00335F2F"/>
    <w:rsid w:val="00336817"/>
    <w:rsid w:val="00336C6B"/>
    <w:rsid w:val="0034022F"/>
    <w:rsid w:val="00340416"/>
    <w:rsid w:val="00341F43"/>
    <w:rsid w:val="003424A6"/>
    <w:rsid w:val="00343B2C"/>
    <w:rsid w:val="00344433"/>
    <w:rsid w:val="00345074"/>
    <w:rsid w:val="00345148"/>
    <w:rsid w:val="0034706C"/>
    <w:rsid w:val="00352BE9"/>
    <w:rsid w:val="0035411C"/>
    <w:rsid w:val="00354580"/>
    <w:rsid w:val="00354DD7"/>
    <w:rsid w:val="0035568A"/>
    <w:rsid w:val="00360D78"/>
    <w:rsid w:val="00360DB8"/>
    <w:rsid w:val="003640CC"/>
    <w:rsid w:val="003645DA"/>
    <w:rsid w:val="003650B2"/>
    <w:rsid w:val="003659BE"/>
    <w:rsid w:val="00365AE8"/>
    <w:rsid w:val="00366BC8"/>
    <w:rsid w:val="00373C7E"/>
    <w:rsid w:val="00373EDC"/>
    <w:rsid w:val="00374A67"/>
    <w:rsid w:val="0037617B"/>
    <w:rsid w:val="00376B74"/>
    <w:rsid w:val="00377A4A"/>
    <w:rsid w:val="0038031A"/>
    <w:rsid w:val="00380865"/>
    <w:rsid w:val="003826D0"/>
    <w:rsid w:val="00382DD8"/>
    <w:rsid w:val="0038421E"/>
    <w:rsid w:val="00385366"/>
    <w:rsid w:val="00385F0B"/>
    <w:rsid w:val="00386302"/>
    <w:rsid w:val="003870F7"/>
    <w:rsid w:val="00387AD7"/>
    <w:rsid w:val="0039168A"/>
    <w:rsid w:val="00391A08"/>
    <w:rsid w:val="003936D6"/>
    <w:rsid w:val="003937D5"/>
    <w:rsid w:val="0039415F"/>
    <w:rsid w:val="00395417"/>
    <w:rsid w:val="00397A25"/>
    <w:rsid w:val="003A176D"/>
    <w:rsid w:val="003A2005"/>
    <w:rsid w:val="003A266C"/>
    <w:rsid w:val="003A3378"/>
    <w:rsid w:val="003A3BCD"/>
    <w:rsid w:val="003A3EAF"/>
    <w:rsid w:val="003A4F31"/>
    <w:rsid w:val="003A5288"/>
    <w:rsid w:val="003A7E31"/>
    <w:rsid w:val="003B1147"/>
    <w:rsid w:val="003B19C0"/>
    <w:rsid w:val="003B242C"/>
    <w:rsid w:val="003B3701"/>
    <w:rsid w:val="003B3C03"/>
    <w:rsid w:val="003B3F05"/>
    <w:rsid w:val="003B62F3"/>
    <w:rsid w:val="003B7D78"/>
    <w:rsid w:val="003C0A30"/>
    <w:rsid w:val="003C1405"/>
    <w:rsid w:val="003C1EC6"/>
    <w:rsid w:val="003C1F70"/>
    <w:rsid w:val="003C25FE"/>
    <w:rsid w:val="003C2BB3"/>
    <w:rsid w:val="003C5593"/>
    <w:rsid w:val="003C59C7"/>
    <w:rsid w:val="003C5ECC"/>
    <w:rsid w:val="003C71DD"/>
    <w:rsid w:val="003D091E"/>
    <w:rsid w:val="003D1AF7"/>
    <w:rsid w:val="003D2DE3"/>
    <w:rsid w:val="003D48D1"/>
    <w:rsid w:val="003D49A5"/>
    <w:rsid w:val="003D7F5E"/>
    <w:rsid w:val="003E1CFC"/>
    <w:rsid w:val="003E2118"/>
    <w:rsid w:val="003E3D1C"/>
    <w:rsid w:val="003E3E45"/>
    <w:rsid w:val="003E4868"/>
    <w:rsid w:val="003E7ADA"/>
    <w:rsid w:val="003F03CE"/>
    <w:rsid w:val="003F105A"/>
    <w:rsid w:val="003F4663"/>
    <w:rsid w:val="003F4AE8"/>
    <w:rsid w:val="003F5725"/>
    <w:rsid w:val="003F62D7"/>
    <w:rsid w:val="003F68DF"/>
    <w:rsid w:val="003F6F38"/>
    <w:rsid w:val="004028D0"/>
    <w:rsid w:val="00402BA4"/>
    <w:rsid w:val="00402D5F"/>
    <w:rsid w:val="00404896"/>
    <w:rsid w:val="0040500E"/>
    <w:rsid w:val="00410BF0"/>
    <w:rsid w:val="00411313"/>
    <w:rsid w:val="00413AE1"/>
    <w:rsid w:val="00414E25"/>
    <w:rsid w:val="00416798"/>
    <w:rsid w:val="00421404"/>
    <w:rsid w:val="00422C6A"/>
    <w:rsid w:val="00422F88"/>
    <w:rsid w:val="00423906"/>
    <w:rsid w:val="004257FF"/>
    <w:rsid w:val="00425840"/>
    <w:rsid w:val="00426028"/>
    <w:rsid w:val="004262A6"/>
    <w:rsid w:val="00426B7D"/>
    <w:rsid w:val="00426E36"/>
    <w:rsid w:val="004277B0"/>
    <w:rsid w:val="00427D53"/>
    <w:rsid w:val="004300E1"/>
    <w:rsid w:val="0043040F"/>
    <w:rsid w:val="0043503E"/>
    <w:rsid w:val="00435927"/>
    <w:rsid w:val="00435C71"/>
    <w:rsid w:val="00436D20"/>
    <w:rsid w:val="00437201"/>
    <w:rsid w:val="0044483D"/>
    <w:rsid w:val="00445835"/>
    <w:rsid w:val="00447AC4"/>
    <w:rsid w:val="0045553D"/>
    <w:rsid w:val="00455877"/>
    <w:rsid w:val="004608D2"/>
    <w:rsid w:val="00460BE1"/>
    <w:rsid w:val="00460EFB"/>
    <w:rsid w:val="004619B4"/>
    <w:rsid w:val="00461F9F"/>
    <w:rsid w:val="004625BD"/>
    <w:rsid w:val="004627B9"/>
    <w:rsid w:val="00462B3B"/>
    <w:rsid w:val="00462C58"/>
    <w:rsid w:val="00462EBE"/>
    <w:rsid w:val="00463DDF"/>
    <w:rsid w:val="00464678"/>
    <w:rsid w:val="004647D7"/>
    <w:rsid w:val="0046588C"/>
    <w:rsid w:val="00466D07"/>
    <w:rsid w:val="00467196"/>
    <w:rsid w:val="00467D90"/>
    <w:rsid w:val="00471666"/>
    <w:rsid w:val="004720CF"/>
    <w:rsid w:val="00472B79"/>
    <w:rsid w:val="004755CB"/>
    <w:rsid w:val="004774AD"/>
    <w:rsid w:val="00477681"/>
    <w:rsid w:val="004779B1"/>
    <w:rsid w:val="00480482"/>
    <w:rsid w:val="00482F7D"/>
    <w:rsid w:val="00483729"/>
    <w:rsid w:val="004858B2"/>
    <w:rsid w:val="004863B1"/>
    <w:rsid w:val="00486472"/>
    <w:rsid w:val="00486838"/>
    <w:rsid w:val="00491B53"/>
    <w:rsid w:val="00492153"/>
    <w:rsid w:val="004921CA"/>
    <w:rsid w:val="00492873"/>
    <w:rsid w:val="004929F1"/>
    <w:rsid w:val="0049380E"/>
    <w:rsid w:val="0049398C"/>
    <w:rsid w:val="00495059"/>
    <w:rsid w:val="00496143"/>
    <w:rsid w:val="00496AE2"/>
    <w:rsid w:val="004974D3"/>
    <w:rsid w:val="0049767B"/>
    <w:rsid w:val="0049788C"/>
    <w:rsid w:val="004A1EC9"/>
    <w:rsid w:val="004A23D1"/>
    <w:rsid w:val="004A26DC"/>
    <w:rsid w:val="004A3EF0"/>
    <w:rsid w:val="004A419A"/>
    <w:rsid w:val="004A45D9"/>
    <w:rsid w:val="004A515A"/>
    <w:rsid w:val="004A520E"/>
    <w:rsid w:val="004A6417"/>
    <w:rsid w:val="004B1842"/>
    <w:rsid w:val="004B1C02"/>
    <w:rsid w:val="004B2600"/>
    <w:rsid w:val="004B2BFC"/>
    <w:rsid w:val="004B354C"/>
    <w:rsid w:val="004B3967"/>
    <w:rsid w:val="004B5041"/>
    <w:rsid w:val="004B591E"/>
    <w:rsid w:val="004B724E"/>
    <w:rsid w:val="004B7771"/>
    <w:rsid w:val="004C2D77"/>
    <w:rsid w:val="004C36E1"/>
    <w:rsid w:val="004C399A"/>
    <w:rsid w:val="004C52BB"/>
    <w:rsid w:val="004C61BC"/>
    <w:rsid w:val="004C6274"/>
    <w:rsid w:val="004D1B5F"/>
    <w:rsid w:val="004D1CBD"/>
    <w:rsid w:val="004D228B"/>
    <w:rsid w:val="004D338C"/>
    <w:rsid w:val="004D47AA"/>
    <w:rsid w:val="004D50A5"/>
    <w:rsid w:val="004D6469"/>
    <w:rsid w:val="004D6CB2"/>
    <w:rsid w:val="004D6DE3"/>
    <w:rsid w:val="004D783D"/>
    <w:rsid w:val="004E097C"/>
    <w:rsid w:val="004E1E35"/>
    <w:rsid w:val="004E5C4B"/>
    <w:rsid w:val="004E792C"/>
    <w:rsid w:val="004E7B51"/>
    <w:rsid w:val="004F0239"/>
    <w:rsid w:val="004F058C"/>
    <w:rsid w:val="004F2492"/>
    <w:rsid w:val="004F287C"/>
    <w:rsid w:val="004F3093"/>
    <w:rsid w:val="004F32A6"/>
    <w:rsid w:val="004F44E2"/>
    <w:rsid w:val="004F52A2"/>
    <w:rsid w:val="004F5D58"/>
    <w:rsid w:val="004F616D"/>
    <w:rsid w:val="004F7429"/>
    <w:rsid w:val="00501319"/>
    <w:rsid w:val="00501F75"/>
    <w:rsid w:val="00502ADF"/>
    <w:rsid w:val="00503A67"/>
    <w:rsid w:val="0050456A"/>
    <w:rsid w:val="00504B8F"/>
    <w:rsid w:val="00505687"/>
    <w:rsid w:val="00506A52"/>
    <w:rsid w:val="00507590"/>
    <w:rsid w:val="005101DE"/>
    <w:rsid w:val="00510A8E"/>
    <w:rsid w:val="00511848"/>
    <w:rsid w:val="00512658"/>
    <w:rsid w:val="00512A01"/>
    <w:rsid w:val="00512A17"/>
    <w:rsid w:val="0051331B"/>
    <w:rsid w:val="00513E9D"/>
    <w:rsid w:val="00514BC3"/>
    <w:rsid w:val="0051617C"/>
    <w:rsid w:val="005163DB"/>
    <w:rsid w:val="00517248"/>
    <w:rsid w:val="00517B73"/>
    <w:rsid w:val="00517B8A"/>
    <w:rsid w:val="005214FF"/>
    <w:rsid w:val="005236E2"/>
    <w:rsid w:val="0052405A"/>
    <w:rsid w:val="0052485D"/>
    <w:rsid w:val="00527D4E"/>
    <w:rsid w:val="00527E60"/>
    <w:rsid w:val="0053038D"/>
    <w:rsid w:val="00531FCA"/>
    <w:rsid w:val="005322AE"/>
    <w:rsid w:val="005348F9"/>
    <w:rsid w:val="00535D08"/>
    <w:rsid w:val="0053600C"/>
    <w:rsid w:val="0053665A"/>
    <w:rsid w:val="00537826"/>
    <w:rsid w:val="00537859"/>
    <w:rsid w:val="00537BC6"/>
    <w:rsid w:val="00537D0B"/>
    <w:rsid w:val="0054082E"/>
    <w:rsid w:val="00540B82"/>
    <w:rsid w:val="00540F79"/>
    <w:rsid w:val="00541FCA"/>
    <w:rsid w:val="005427B7"/>
    <w:rsid w:val="005434A6"/>
    <w:rsid w:val="005450BC"/>
    <w:rsid w:val="00546611"/>
    <w:rsid w:val="00547629"/>
    <w:rsid w:val="00550EF3"/>
    <w:rsid w:val="0055311D"/>
    <w:rsid w:val="005556C7"/>
    <w:rsid w:val="005560CF"/>
    <w:rsid w:val="005567A0"/>
    <w:rsid w:val="00557401"/>
    <w:rsid w:val="00557E1C"/>
    <w:rsid w:val="005604AB"/>
    <w:rsid w:val="005605C1"/>
    <w:rsid w:val="00561FDD"/>
    <w:rsid w:val="00562005"/>
    <w:rsid w:val="00562C8B"/>
    <w:rsid w:val="0056424A"/>
    <w:rsid w:val="00564433"/>
    <w:rsid w:val="0056547F"/>
    <w:rsid w:val="005657D3"/>
    <w:rsid w:val="00565F90"/>
    <w:rsid w:val="00570CD2"/>
    <w:rsid w:val="00572017"/>
    <w:rsid w:val="00572D49"/>
    <w:rsid w:val="00573C35"/>
    <w:rsid w:val="005764A8"/>
    <w:rsid w:val="005811C0"/>
    <w:rsid w:val="0058129E"/>
    <w:rsid w:val="00581ADE"/>
    <w:rsid w:val="00582AA9"/>
    <w:rsid w:val="00584A12"/>
    <w:rsid w:val="00585587"/>
    <w:rsid w:val="00585975"/>
    <w:rsid w:val="0058725D"/>
    <w:rsid w:val="00590F99"/>
    <w:rsid w:val="00591759"/>
    <w:rsid w:val="00591C13"/>
    <w:rsid w:val="0059271D"/>
    <w:rsid w:val="005930F9"/>
    <w:rsid w:val="0059486A"/>
    <w:rsid w:val="0059511D"/>
    <w:rsid w:val="0059673F"/>
    <w:rsid w:val="00597AAF"/>
    <w:rsid w:val="00597CCE"/>
    <w:rsid w:val="005A35F0"/>
    <w:rsid w:val="005A6E02"/>
    <w:rsid w:val="005B0E79"/>
    <w:rsid w:val="005B1656"/>
    <w:rsid w:val="005B1FFB"/>
    <w:rsid w:val="005B3034"/>
    <w:rsid w:val="005B3839"/>
    <w:rsid w:val="005B463C"/>
    <w:rsid w:val="005B5CF8"/>
    <w:rsid w:val="005B65F7"/>
    <w:rsid w:val="005C1236"/>
    <w:rsid w:val="005C1CB3"/>
    <w:rsid w:val="005C38FE"/>
    <w:rsid w:val="005C3C59"/>
    <w:rsid w:val="005C5683"/>
    <w:rsid w:val="005C6732"/>
    <w:rsid w:val="005C6F0D"/>
    <w:rsid w:val="005D0B0C"/>
    <w:rsid w:val="005D1578"/>
    <w:rsid w:val="005D1657"/>
    <w:rsid w:val="005D1F30"/>
    <w:rsid w:val="005D2BA0"/>
    <w:rsid w:val="005D41D5"/>
    <w:rsid w:val="005D42F2"/>
    <w:rsid w:val="005D4CCD"/>
    <w:rsid w:val="005D5904"/>
    <w:rsid w:val="005E0221"/>
    <w:rsid w:val="005E3831"/>
    <w:rsid w:val="005E3BFB"/>
    <w:rsid w:val="005E5F46"/>
    <w:rsid w:val="005F00AA"/>
    <w:rsid w:val="005F09EE"/>
    <w:rsid w:val="005F2257"/>
    <w:rsid w:val="005F251E"/>
    <w:rsid w:val="005F2A43"/>
    <w:rsid w:val="005F33A3"/>
    <w:rsid w:val="005F43B0"/>
    <w:rsid w:val="005F630E"/>
    <w:rsid w:val="00600128"/>
    <w:rsid w:val="006005AE"/>
    <w:rsid w:val="00601501"/>
    <w:rsid w:val="00604ECE"/>
    <w:rsid w:val="00605E1C"/>
    <w:rsid w:val="0060629F"/>
    <w:rsid w:val="00606B8D"/>
    <w:rsid w:val="00607539"/>
    <w:rsid w:val="0061106D"/>
    <w:rsid w:val="00611177"/>
    <w:rsid w:val="0061261A"/>
    <w:rsid w:val="006138CE"/>
    <w:rsid w:val="00614339"/>
    <w:rsid w:val="00615186"/>
    <w:rsid w:val="0061597E"/>
    <w:rsid w:val="00616D68"/>
    <w:rsid w:val="00620885"/>
    <w:rsid w:val="00621F14"/>
    <w:rsid w:val="00622C30"/>
    <w:rsid w:val="0062305E"/>
    <w:rsid w:val="00623D3A"/>
    <w:rsid w:val="006248B2"/>
    <w:rsid w:val="00624F88"/>
    <w:rsid w:val="00626495"/>
    <w:rsid w:val="00627E48"/>
    <w:rsid w:val="006311BE"/>
    <w:rsid w:val="00631923"/>
    <w:rsid w:val="006356E1"/>
    <w:rsid w:val="00637197"/>
    <w:rsid w:val="00637335"/>
    <w:rsid w:val="006376A9"/>
    <w:rsid w:val="00637C63"/>
    <w:rsid w:val="006409DB"/>
    <w:rsid w:val="00640A85"/>
    <w:rsid w:val="006415F0"/>
    <w:rsid w:val="006418BE"/>
    <w:rsid w:val="00642050"/>
    <w:rsid w:val="006428AF"/>
    <w:rsid w:val="006428D0"/>
    <w:rsid w:val="00642E6C"/>
    <w:rsid w:val="00644BFC"/>
    <w:rsid w:val="00644DC4"/>
    <w:rsid w:val="00645E1B"/>
    <w:rsid w:val="00647122"/>
    <w:rsid w:val="0064722F"/>
    <w:rsid w:val="006501CA"/>
    <w:rsid w:val="006508A3"/>
    <w:rsid w:val="0065114F"/>
    <w:rsid w:val="006518CB"/>
    <w:rsid w:val="00652A9F"/>
    <w:rsid w:val="0065375D"/>
    <w:rsid w:val="00653B2E"/>
    <w:rsid w:val="0065519A"/>
    <w:rsid w:val="006562BB"/>
    <w:rsid w:val="006568EB"/>
    <w:rsid w:val="00656C97"/>
    <w:rsid w:val="0065774B"/>
    <w:rsid w:val="0066296C"/>
    <w:rsid w:val="00663CD8"/>
    <w:rsid w:val="006647C9"/>
    <w:rsid w:val="00665980"/>
    <w:rsid w:val="00665A86"/>
    <w:rsid w:val="006707BF"/>
    <w:rsid w:val="006709AF"/>
    <w:rsid w:val="00671323"/>
    <w:rsid w:val="00671FCE"/>
    <w:rsid w:val="006731D5"/>
    <w:rsid w:val="00676452"/>
    <w:rsid w:val="00677698"/>
    <w:rsid w:val="00677FD9"/>
    <w:rsid w:val="00680A48"/>
    <w:rsid w:val="0068101C"/>
    <w:rsid w:val="0068220D"/>
    <w:rsid w:val="00682E7D"/>
    <w:rsid w:val="00684A82"/>
    <w:rsid w:val="00685013"/>
    <w:rsid w:val="0068597C"/>
    <w:rsid w:val="00686B8F"/>
    <w:rsid w:val="00686D0A"/>
    <w:rsid w:val="00687743"/>
    <w:rsid w:val="00690693"/>
    <w:rsid w:val="006911D3"/>
    <w:rsid w:val="00691484"/>
    <w:rsid w:val="006921CA"/>
    <w:rsid w:val="0069303B"/>
    <w:rsid w:val="0069339E"/>
    <w:rsid w:val="006937D0"/>
    <w:rsid w:val="006942D3"/>
    <w:rsid w:val="00695295"/>
    <w:rsid w:val="00695D42"/>
    <w:rsid w:val="006A0A1A"/>
    <w:rsid w:val="006A184F"/>
    <w:rsid w:val="006A2105"/>
    <w:rsid w:val="006A2B1B"/>
    <w:rsid w:val="006A34BB"/>
    <w:rsid w:val="006A3A15"/>
    <w:rsid w:val="006A5A63"/>
    <w:rsid w:val="006A5E0A"/>
    <w:rsid w:val="006A6C58"/>
    <w:rsid w:val="006A744E"/>
    <w:rsid w:val="006B0790"/>
    <w:rsid w:val="006B0FC1"/>
    <w:rsid w:val="006B2003"/>
    <w:rsid w:val="006B2431"/>
    <w:rsid w:val="006B2B12"/>
    <w:rsid w:val="006B307D"/>
    <w:rsid w:val="006B443C"/>
    <w:rsid w:val="006B44C8"/>
    <w:rsid w:val="006B4942"/>
    <w:rsid w:val="006B67FC"/>
    <w:rsid w:val="006B6DFB"/>
    <w:rsid w:val="006C0157"/>
    <w:rsid w:val="006C1154"/>
    <w:rsid w:val="006C161F"/>
    <w:rsid w:val="006C1707"/>
    <w:rsid w:val="006C240B"/>
    <w:rsid w:val="006C2494"/>
    <w:rsid w:val="006C253A"/>
    <w:rsid w:val="006C25EA"/>
    <w:rsid w:val="006C3AD8"/>
    <w:rsid w:val="006C3B7E"/>
    <w:rsid w:val="006C4274"/>
    <w:rsid w:val="006C4EB1"/>
    <w:rsid w:val="006C65FC"/>
    <w:rsid w:val="006C6F01"/>
    <w:rsid w:val="006D0184"/>
    <w:rsid w:val="006D18D9"/>
    <w:rsid w:val="006D281A"/>
    <w:rsid w:val="006D3D16"/>
    <w:rsid w:val="006D59F4"/>
    <w:rsid w:val="006D6FD3"/>
    <w:rsid w:val="006D72BB"/>
    <w:rsid w:val="006E01E8"/>
    <w:rsid w:val="006E34E2"/>
    <w:rsid w:val="006E35C9"/>
    <w:rsid w:val="006E36F1"/>
    <w:rsid w:val="006E4197"/>
    <w:rsid w:val="006E4927"/>
    <w:rsid w:val="006E4DB4"/>
    <w:rsid w:val="006E4F7B"/>
    <w:rsid w:val="006E7ACA"/>
    <w:rsid w:val="006E7DA2"/>
    <w:rsid w:val="006E7F17"/>
    <w:rsid w:val="006F0107"/>
    <w:rsid w:val="006F07AF"/>
    <w:rsid w:val="006F1D9B"/>
    <w:rsid w:val="006F2089"/>
    <w:rsid w:val="006F22F2"/>
    <w:rsid w:val="006F2C17"/>
    <w:rsid w:val="006F4887"/>
    <w:rsid w:val="006F4D3C"/>
    <w:rsid w:val="006F5E85"/>
    <w:rsid w:val="006F680F"/>
    <w:rsid w:val="006F79E6"/>
    <w:rsid w:val="006F7B02"/>
    <w:rsid w:val="00701DEC"/>
    <w:rsid w:val="0070347B"/>
    <w:rsid w:val="00704C11"/>
    <w:rsid w:val="00705F54"/>
    <w:rsid w:val="00712694"/>
    <w:rsid w:val="007142C9"/>
    <w:rsid w:val="0071440E"/>
    <w:rsid w:val="00714A14"/>
    <w:rsid w:val="0071656C"/>
    <w:rsid w:val="0072025D"/>
    <w:rsid w:val="00722FCD"/>
    <w:rsid w:val="00723E63"/>
    <w:rsid w:val="007245E5"/>
    <w:rsid w:val="00724C1E"/>
    <w:rsid w:val="00725F20"/>
    <w:rsid w:val="00726198"/>
    <w:rsid w:val="007263FF"/>
    <w:rsid w:val="00727B96"/>
    <w:rsid w:val="0073081B"/>
    <w:rsid w:val="00733650"/>
    <w:rsid w:val="00734BF5"/>
    <w:rsid w:val="007357ED"/>
    <w:rsid w:val="007365BF"/>
    <w:rsid w:val="00736712"/>
    <w:rsid w:val="00736852"/>
    <w:rsid w:val="007369B4"/>
    <w:rsid w:val="00737637"/>
    <w:rsid w:val="007377D0"/>
    <w:rsid w:val="00737DAA"/>
    <w:rsid w:val="00737DB5"/>
    <w:rsid w:val="0074055E"/>
    <w:rsid w:val="007416DC"/>
    <w:rsid w:val="00741E81"/>
    <w:rsid w:val="00741FDB"/>
    <w:rsid w:val="00742355"/>
    <w:rsid w:val="00745E84"/>
    <w:rsid w:val="007471CD"/>
    <w:rsid w:val="007509F4"/>
    <w:rsid w:val="00751201"/>
    <w:rsid w:val="00753281"/>
    <w:rsid w:val="007537BD"/>
    <w:rsid w:val="007602BC"/>
    <w:rsid w:val="007636CF"/>
    <w:rsid w:val="00764313"/>
    <w:rsid w:val="00764440"/>
    <w:rsid w:val="007644AC"/>
    <w:rsid w:val="00764D7D"/>
    <w:rsid w:val="00764E4D"/>
    <w:rsid w:val="00766459"/>
    <w:rsid w:val="00766B2E"/>
    <w:rsid w:val="00770459"/>
    <w:rsid w:val="00771043"/>
    <w:rsid w:val="00771AF5"/>
    <w:rsid w:val="00772126"/>
    <w:rsid w:val="00772958"/>
    <w:rsid w:val="00774317"/>
    <w:rsid w:val="00774B7B"/>
    <w:rsid w:val="007754AA"/>
    <w:rsid w:val="00775C7B"/>
    <w:rsid w:val="0078057E"/>
    <w:rsid w:val="00780E6F"/>
    <w:rsid w:val="00780F5A"/>
    <w:rsid w:val="007819DF"/>
    <w:rsid w:val="0078270D"/>
    <w:rsid w:val="0078282B"/>
    <w:rsid w:val="00784975"/>
    <w:rsid w:val="0078656A"/>
    <w:rsid w:val="00787CAC"/>
    <w:rsid w:val="00791E40"/>
    <w:rsid w:val="007967F9"/>
    <w:rsid w:val="007A0AF0"/>
    <w:rsid w:val="007A0C95"/>
    <w:rsid w:val="007A14D5"/>
    <w:rsid w:val="007A2181"/>
    <w:rsid w:val="007A253A"/>
    <w:rsid w:val="007A3E15"/>
    <w:rsid w:val="007A41E0"/>
    <w:rsid w:val="007A4AB8"/>
    <w:rsid w:val="007A5FD9"/>
    <w:rsid w:val="007B051A"/>
    <w:rsid w:val="007B34DB"/>
    <w:rsid w:val="007B3518"/>
    <w:rsid w:val="007B4159"/>
    <w:rsid w:val="007B5574"/>
    <w:rsid w:val="007C06EE"/>
    <w:rsid w:val="007C25AE"/>
    <w:rsid w:val="007C36E6"/>
    <w:rsid w:val="007C3955"/>
    <w:rsid w:val="007C39FB"/>
    <w:rsid w:val="007C3CBB"/>
    <w:rsid w:val="007C46CE"/>
    <w:rsid w:val="007C4786"/>
    <w:rsid w:val="007C5044"/>
    <w:rsid w:val="007C5A04"/>
    <w:rsid w:val="007C66FB"/>
    <w:rsid w:val="007C70B7"/>
    <w:rsid w:val="007D0260"/>
    <w:rsid w:val="007D0439"/>
    <w:rsid w:val="007D0822"/>
    <w:rsid w:val="007D27E5"/>
    <w:rsid w:val="007D32C1"/>
    <w:rsid w:val="007D339F"/>
    <w:rsid w:val="007D4BC6"/>
    <w:rsid w:val="007D50CB"/>
    <w:rsid w:val="007D6F09"/>
    <w:rsid w:val="007D7880"/>
    <w:rsid w:val="007E0318"/>
    <w:rsid w:val="007E3B4D"/>
    <w:rsid w:val="007E3C96"/>
    <w:rsid w:val="007E5B5F"/>
    <w:rsid w:val="007E5C00"/>
    <w:rsid w:val="007E6392"/>
    <w:rsid w:val="007E79C8"/>
    <w:rsid w:val="007F0145"/>
    <w:rsid w:val="007F050A"/>
    <w:rsid w:val="007F0CD3"/>
    <w:rsid w:val="007F41A6"/>
    <w:rsid w:val="007F60C7"/>
    <w:rsid w:val="007F6A91"/>
    <w:rsid w:val="007F6D05"/>
    <w:rsid w:val="007F7F19"/>
    <w:rsid w:val="0080051B"/>
    <w:rsid w:val="00804C54"/>
    <w:rsid w:val="00806A53"/>
    <w:rsid w:val="0081058B"/>
    <w:rsid w:val="00811541"/>
    <w:rsid w:val="00813372"/>
    <w:rsid w:val="00813AFF"/>
    <w:rsid w:val="00815F36"/>
    <w:rsid w:val="008169BA"/>
    <w:rsid w:val="0081708E"/>
    <w:rsid w:val="00817C5F"/>
    <w:rsid w:val="00821339"/>
    <w:rsid w:val="00821A49"/>
    <w:rsid w:val="00821C1C"/>
    <w:rsid w:val="008220E5"/>
    <w:rsid w:val="00824AA6"/>
    <w:rsid w:val="00826D83"/>
    <w:rsid w:val="008272FD"/>
    <w:rsid w:val="008278EA"/>
    <w:rsid w:val="00827BF0"/>
    <w:rsid w:val="0083027C"/>
    <w:rsid w:val="008313C6"/>
    <w:rsid w:val="00833E3C"/>
    <w:rsid w:val="008350F3"/>
    <w:rsid w:val="008352AD"/>
    <w:rsid w:val="00840A1E"/>
    <w:rsid w:val="00841AE1"/>
    <w:rsid w:val="00841BC3"/>
    <w:rsid w:val="00841E2D"/>
    <w:rsid w:val="00841FB8"/>
    <w:rsid w:val="0084210F"/>
    <w:rsid w:val="008426E2"/>
    <w:rsid w:val="00842FB3"/>
    <w:rsid w:val="00843F1A"/>
    <w:rsid w:val="00847149"/>
    <w:rsid w:val="008473F6"/>
    <w:rsid w:val="0085014D"/>
    <w:rsid w:val="00851B7F"/>
    <w:rsid w:val="00852A2A"/>
    <w:rsid w:val="008537D5"/>
    <w:rsid w:val="00855C22"/>
    <w:rsid w:val="008560EC"/>
    <w:rsid w:val="0085714E"/>
    <w:rsid w:val="008601CD"/>
    <w:rsid w:val="0086323B"/>
    <w:rsid w:val="008633AE"/>
    <w:rsid w:val="00864894"/>
    <w:rsid w:val="008649A9"/>
    <w:rsid w:val="008649BD"/>
    <w:rsid w:val="00866059"/>
    <w:rsid w:val="00866090"/>
    <w:rsid w:val="00866767"/>
    <w:rsid w:val="008673CC"/>
    <w:rsid w:val="00867FE2"/>
    <w:rsid w:val="0087120B"/>
    <w:rsid w:val="00871449"/>
    <w:rsid w:val="00871757"/>
    <w:rsid w:val="008749DC"/>
    <w:rsid w:val="00876246"/>
    <w:rsid w:val="00876450"/>
    <w:rsid w:val="0087696C"/>
    <w:rsid w:val="008773CE"/>
    <w:rsid w:val="00880BD4"/>
    <w:rsid w:val="00881588"/>
    <w:rsid w:val="00881C4E"/>
    <w:rsid w:val="00882178"/>
    <w:rsid w:val="0088259F"/>
    <w:rsid w:val="00882A46"/>
    <w:rsid w:val="0088388B"/>
    <w:rsid w:val="00883BE3"/>
    <w:rsid w:val="00884635"/>
    <w:rsid w:val="0088660F"/>
    <w:rsid w:val="00891C76"/>
    <w:rsid w:val="0089364E"/>
    <w:rsid w:val="00894180"/>
    <w:rsid w:val="008941FB"/>
    <w:rsid w:val="00894605"/>
    <w:rsid w:val="00895722"/>
    <w:rsid w:val="00896C90"/>
    <w:rsid w:val="00896CF1"/>
    <w:rsid w:val="008A19CF"/>
    <w:rsid w:val="008A311D"/>
    <w:rsid w:val="008A405C"/>
    <w:rsid w:val="008A4C4F"/>
    <w:rsid w:val="008A4DA7"/>
    <w:rsid w:val="008B0834"/>
    <w:rsid w:val="008B0EBB"/>
    <w:rsid w:val="008B18D4"/>
    <w:rsid w:val="008B2B43"/>
    <w:rsid w:val="008B2C55"/>
    <w:rsid w:val="008B3B09"/>
    <w:rsid w:val="008B4238"/>
    <w:rsid w:val="008B6050"/>
    <w:rsid w:val="008B6341"/>
    <w:rsid w:val="008B6B72"/>
    <w:rsid w:val="008B72DA"/>
    <w:rsid w:val="008B765B"/>
    <w:rsid w:val="008B7B53"/>
    <w:rsid w:val="008C05A4"/>
    <w:rsid w:val="008C0DEC"/>
    <w:rsid w:val="008C277B"/>
    <w:rsid w:val="008C2C20"/>
    <w:rsid w:val="008C3BEE"/>
    <w:rsid w:val="008C4F1D"/>
    <w:rsid w:val="008C518B"/>
    <w:rsid w:val="008C529A"/>
    <w:rsid w:val="008C55D6"/>
    <w:rsid w:val="008C5800"/>
    <w:rsid w:val="008C6E86"/>
    <w:rsid w:val="008C753D"/>
    <w:rsid w:val="008C7838"/>
    <w:rsid w:val="008D239F"/>
    <w:rsid w:val="008D3B94"/>
    <w:rsid w:val="008D4043"/>
    <w:rsid w:val="008D48F6"/>
    <w:rsid w:val="008D4F74"/>
    <w:rsid w:val="008D5DDB"/>
    <w:rsid w:val="008D7634"/>
    <w:rsid w:val="008D7A3C"/>
    <w:rsid w:val="008E01DE"/>
    <w:rsid w:val="008E0BA5"/>
    <w:rsid w:val="008E0BAA"/>
    <w:rsid w:val="008E33BD"/>
    <w:rsid w:val="008E3B9D"/>
    <w:rsid w:val="008E4363"/>
    <w:rsid w:val="008E5867"/>
    <w:rsid w:val="008E7438"/>
    <w:rsid w:val="008F1026"/>
    <w:rsid w:val="008F14CB"/>
    <w:rsid w:val="008F1F0A"/>
    <w:rsid w:val="008F27A4"/>
    <w:rsid w:val="008F29D2"/>
    <w:rsid w:val="008F409A"/>
    <w:rsid w:val="008F46EE"/>
    <w:rsid w:val="008F611E"/>
    <w:rsid w:val="008F62BF"/>
    <w:rsid w:val="009013DB"/>
    <w:rsid w:val="00901E0A"/>
    <w:rsid w:val="009031E3"/>
    <w:rsid w:val="00903C65"/>
    <w:rsid w:val="0090564D"/>
    <w:rsid w:val="009076F1"/>
    <w:rsid w:val="00911517"/>
    <w:rsid w:val="00913034"/>
    <w:rsid w:val="0091355F"/>
    <w:rsid w:val="00914A9C"/>
    <w:rsid w:val="00914AEF"/>
    <w:rsid w:val="00915ABE"/>
    <w:rsid w:val="009163A4"/>
    <w:rsid w:val="00916C3B"/>
    <w:rsid w:val="00916E32"/>
    <w:rsid w:val="009176B3"/>
    <w:rsid w:val="00917B45"/>
    <w:rsid w:val="00920A73"/>
    <w:rsid w:val="0092105B"/>
    <w:rsid w:val="0092118B"/>
    <w:rsid w:val="009225AC"/>
    <w:rsid w:val="00922C69"/>
    <w:rsid w:val="00923920"/>
    <w:rsid w:val="00925890"/>
    <w:rsid w:val="0092593E"/>
    <w:rsid w:val="00925A3D"/>
    <w:rsid w:val="00926F16"/>
    <w:rsid w:val="00931F10"/>
    <w:rsid w:val="009328CA"/>
    <w:rsid w:val="00932BB8"/>
    <w:rsid w:val="00935A0C"/>
    <w:rsid w:val="009366DB"/>
    <w:rsid w:val="00937847"/>
    <w:rsid w:val="00937BD3"/>
    <w:rsid w:val="00940CB6"/>
    <w:rsid w:val="0094170D"/>
    <w:rsid w:val="009446AC"/>
    <w:rsid w:val="009454D1"/>
    <w:rsid w:val="00947300"/>
    <w:rsid w:val="0094734D"/>
    <w:rsid w:val="0095051E"/>
    <w:rsid w:val="00950D21"/>
    <w:rsid w:val="009518D4"/>
    <w:rsid w:val="00952015"/>
    <w:rsid w:val="009546BD"/>
    <w:rsid w:val="00955202"/>
    <w:rsid w:val="00955385"/>
    <w:rsid w:val="00955967"/>
    <w:rsid w:val="00955DFF"/>
    <w:rsid w:val="00955F81"/>
    <w:rsid w:val="0095620F"/>
    <w:rsid w:val="0095642D"/>
    <w:rsid w:val="0096040A"/>
    <w:rsid w:val="00960CFF"/>
    <w:rsid w:val="00961DB0"/>
    <w:rsid w:val="0096339C"/>
    <w:rsid w:val="00964F19"/>
    <w:rsid w:val="00965196"/>
    <w:rsid w:val="00966AFD"/>
    <w:rsid w:val="009700A7"/>
    <w:rsid w:val="00970F68"/>
    <w:rsid w:val="00977313"/>
    <w:rsid w:val="009816AB"/>
    <w:rsid w:val="00981760"/>
    <w:rsid w:val="00981888"/>
    <w:rsid w:val="0098490A"/>
    <w:rsid w:val="00987DEA"/>
    <w:rsid w:val="00990C86"/>
    <w:rsid w:val="00991EAD"/>
    <w:rsid w:val="00991F3A"/>
    <w:rsid w:val="00992401"/>
    <w:rsid w:val="00992770"/>
    <w:rsid w:val="009949E7"/>
    <w:rsid w:val="00995EA3"/>
    <w:rsid w:val="009962A5"/>
    <w:rsid w:val="0099673F"/>
    <w:rsid w:val="00997FDA"/>
    <w:rsid w:val="009A0AC2"/>
    <w:rsid w:val="009A1780"/>
    <w:rsid w:val="009A1C64"/>
    <w:rsid w:val="009A20EE"/>
    <w:rsid w:val="009A483F"/>
    <w:rsid w:val="009A63DD"/>
    <w:rsid w:val="009A758D"/>
    <w:rsid w:val="009B0364"/>
    <w:rsid w:val="009B0497"/>
    <w:rsid w:val="009B0C45"/>
    <w:rsid w:val="009B11B9"/>
    <w:rsid w:val="009B5E52"/>
    <w:rsid w:val="009B6DFB"/>
    <w:rsid w:val="009B77BC"/>
    <w:rsid w:val="009C0967"/>
    <w:rsid w:val="009C105D"/>
    <w:rsid w:val="009C1332"/>
    <w:rsid w:val="009C2714"/>
    <w:rsid w:val="009C2E4C"/>
    <w:rsid w:val="009C5FED"/>
    <w:rsid w:val="009C7381"/>
    <w:rsid w:val="009C7BDD"/>
    <w:rsid w:val="009D1EB6"/>
    <w:rsid w:val="009D28F0"/>
    <w:rsid w:val="009D47D9"/>
    <w:rsid w:val="009D75CE"/>
    <w:rsid w:val="009E25C8"/>
    <w:rsid w:val="009E3963"/>
    <w:rsid w:val="009E4320"/>
    <w:rsid w:val="009E46E9"/>
    <w:rsid w:val="009E5DD5"/>
    <w:rsid w:val="009F045E"/>
    <w:rsid w:val="009F1198"/>
    <w:rsid w:val="009F1AEE"/>
    <w:rsid w:val="009F1FE3"/>
    <w:rsid w:val="009F2A62"/>
    <w:rsid w:val="009F2E2C"/>
    <w:rsid w:val="009F3D7F"/>
    <w:rsid w:val="009F5C13"/>
    <w:rsid w:val="009F6625"/>
    <w:rsid w:val="009F6878"/>
    <w:rsid w:val="00A00711"/>
    <w:rsid w:val="00A00C0F"/>
    <w:rsid w:val="00A01F9A"/>
    <w:rsid w:val="00A02F52"/>
    <w:rsid w:val="00A048FB"/>
    <w:rsid w:val="00A10548"/>
    <w:rsid w:val="00A10B93"/>
    <w:rsid w:val="00A11066"/>
    <w:rsid w:val="00A1141C"/>
    <w:rsid w:val="00A11E65"/>
    <w:rsid w:val="00A14441"/>
    <w:rsid w:val="00A145CE"/>
    <w:rsid w:val="00A149AB"/>
    <w:rsid w:val="00A14D8D"/>
    <w:rsid w:val="00A15847"/>
    <w:rsid w:val="00A16CC2"/>
    <w:rsid w:val="00A175F7"/>
    <w:rsid w:val="00A17D7F"/>
    <w:rsid w:val="00A17E6E"/>
    <w:rsid w:val="00A21E9F"/>
    <w:rsid w:val="00A22B7D"/>
    <w:rsid w:val="00A257FD"/>
    <w:rsid w:val="00A25A6A"/>
    <w:rsid w:val="00A25C52"/>
    <w:rsid w:val="00A25F36"/>
    <w:rsid w:val="00A26950"/>
    <w:rsid w:val="00A26B0A"/>
    <w:rsid w:val="00A26B25"/>
    <w:rsid w:val="00A27454"/>
    <w:rsid w:val="00A279F6"/>
    <w:rsid w:val="00A27C69"/>
    <w:rsid w:val="00A27F77"/>
    <w:rsid w:val="00A32A4B"/>
    <w:rsid w:val="00A33668"/>
    <w:rsid w:val="00A33837"/>
    <w:rsid w:val="00A3468C"/>
    <w:rsid w:val="00A359CA"/>
    <w:rsid w:val="00A360A1"/>
    <w:rsid w:val="00A36F81"/>
    <w:rsid w:val="00A37342"/>
    <w:rsid w:val="00A37A36"/>
    <w:rsid w:val="00A37CE1"/>
    <w:rsid w:val="00A41384"/>
    <w:rsid w:val="00A41B98"/>
    <w:rsid w:val="00A44B11"/>
    <w:rsid w:val="00A46AA2"/>
    <w:rsid w:val="00A476A4"/>
    <w:rsid w:val="00A5041D"/>
    <w:rsid w:val="00A50D89"/>
    <w:rsid w:val="00A518C0"/>
    <w:rsid w:val="00A519B9"/>
    <w:rsid w:val="00A519C8"/>
    <w:rsid w:val="00A51E2C"/>
    <w:rsid w:val="00A521FD"/>
    <w:rsid w:val="00A5407C"/>
    <w:rsid w:val="00A54798"/>
    <w:rsid w:val="00A54ABE"/>
    <w:rsid w:val="00A54E35"/>
    <w:rsid w:val="00A55563"/>
    <w:rsid w:val="00A55BA1"/>
    <w:rsid w:val="00A5638F"/>
    <w:rsid w:val="00A56D39"/>
    <w:rsid w:val="00A57489"/>
    <w:rsid w:val="00A60FB4"/>
    <w:rsid w:val="00A62088"/>
    <w:rsid w:val="00A639F6"/>
    <w:rsid w:val="00A644C2"/>
    <w:rsid w:val="00A64EA4"/>
    <w:rsid w:val="00A654B4"/>
    <w:rsid w:val="00A6557E"/>
    <w:rsid w:val="00A669F6"/>
    <w:rsid w:val="00A67983"/>
    <w:rsid w:val="00A703A9"/>
    <w:rsid w:val="00A70A0D"/>
    <w:rsid w:val="00A70FBB"/>
    <w:rsid w:val="00A71AC1"/>
    <w:rsid w:val="00A72B01"/>
    <w:rsid w:val="00A74AEC"/>
    <w:rsid w:val="00A74B55"/>
    <w:rsid w:val="00A7688E"/>
    <w:rsid w:val="00A768CE"/>
    <w:rsid w:val="00A830FD"/>
    <w:rsid w:val="00A83E34"/>
    <w:rsid w:val="00A84324"/>
    <w:rsid w:val="00A8460F"/>
    <w:rsid w:val="00A9178E"/>
    <w:rsid w:val="00A9392B"/>
    <w:rsid w:val="00A94717"/>
    <w:rsid w:val="00A95E43"/>
    <w:rsid w:val="00A961D4"/>
    <w:rsid w:val="00A96C71"/>
    <w:rsid w:val="00A9775F"/>
    <w:rsid w:val="00AA0F02"/>
    <w:rsid w:val="00AA20F9"/>
    <w:rsid w:val="00AA3172"/>
    <w:rsid w:val="00AA31E4"/>
    <w:rsid w:val="00AA3CAC"/>
    <w:rsid w:val="00AA63CE"/>
    <w:rsid w:val="00AA64E6"/>
    <w:rsid w:val="00AA6CB2"/>
    <w:rsid w:val="00AA78D7"/>
    <w:rsid w:val="00AB0DD2"/>
    <w:rsid w:val="00AB129E"/>
    <w:rsid w:val="00AB153F"/>
    <w:rsid w:val="00AB2F23"/>
    <w:rsid w:val="00AB5667"/>
    <w:rsid w:val="00AB6952"/>
    <w:rsid w:val="00AB7548"/>
    <w:rsid w:val="00AC10E2"/>
    <w:rsid w:val="00AC2150"/>
    <w:rsid w:val="00AC498B"/>
    <w:rsid w:val="00AC763A"/>
    <w:rsid w:val="00AD11B9"/>
    <w:rsid w:val="00AD19BA"/>
    <w:rsid w:val="00AD19F3"/>
    <w:rsid w:val="00AD4E0D"/>
    <w:rsid w:val="00AD62E4"/>
    <w:rsid w:val="00AD71D1"/>
    <w:rsid w:val="00AD793C"/>
    <w:rsid w:val="00AE069D"/>
    <w:rsid w:val="00AE0A7B"/>
    <w:rsid w:val="00AE1FEA"/>
    <w:rsid w:val="00AE3978"/>
    <w:rsid w:val="00AE3ECD"/>
    <w:rsid w:val="00AE532C"/>
    <w:rsid w:val="00AE5AE4"/>
    <w:rsid w:val="00AE6893"/>
    <w:rsid w:val="00AF0493"/>
    <w:rsid w:val="00AF11E6"/>
    <w:rsid w:val="00AF1B89"/>
    <w:rsid w:val="00AF2D39"/>
    <w:rsid w:val="00AF35F2"/>
    <w:rsid w:val="00AF4C47"/>
    <w:rsid w:val="00AF57C5"/>
    <w:rsid w:val="00AF5EFF"/>
    <w:rsid w:val="00AF62E7"/>
    <w:rsid w:val="00AF6E95"/>
    <w:rsid w:val="00B012B1"/>
    <w:rsid w:val="00B01F0D"/>
    <w:rsid w:val="00B043D4"/>
    <w:rsid w:val="00B0724F"/>
    <w:rsid w:val="00B07EBA"/>
    <w:rsid w:val="00B07F6F"/>
    <w:rsid w:val="00B10B79"/>
    <w:rsid w:val="00B10BCD"/>
    <w:rsid w:val="00B1184E"/>
    <w:rsid w:val="00B11C4C"/>
    <w:rsid w:val="00B11EEA"/>
    <w:rsid w:val="00B12546"/>
    <w:rsid w:val="00B16D4F"/>
    <w:rsid w:val="00B20A89"/>
    <w:rsid w:val="00B2196D"/>
    <w:rsid w:val="00B22F0C"/>
    <w:rsid w:val="00B231C8"/>
    <w:rsid w:val="00B2373F"/>
    <w:rsid w:val="00B23835"/>
    <w:rsid w:val="00B23950"/>
    <w:rsid w:val="00B23CD2"/>
    <w:rsid w:val="00B24521"/>
    <w:rsid w:val="00B24ED1"/>
    <w:rsid w:val="00B30CAF"/>
    <w:rsid w:val="00B31450"/>
    <w:rsid w:val="00B323EA"/>
    <w:rsid w:val="00B32454"/>
    <w:rsid w:val="00B32A40"/>
    <w:rsid w:val="00B34191"/>
    <w:rsid w:val="00B34DEE"/>
    <w:rsid w:val="00B35534"/>
    <w:rsid w:val="00B3577D"/>
    <w:rsid w:val="00B37FCC"/>
    <w:rsid w:val="00B40566"/>
    <w:rsid w:val="00B4102F"/>
    <w:rsid w:val="00B425E1"/>
    <w:rsid w:val="00B42E94"/>
    <w:rsid w:val="00B47AD6"/>
    <w:rsid w:val="00B47D4A"/>
    <w:rsid w:val="00B52794"/>
    <w:rsid w:val="00B52C35"/>
    <w:rsid w:val="00B5350F"/>
    <w:rsid w:val="00B5593A"/>
    <w:rsid w:val="00B6035E"/>
    <w:rsid w:val="00B61AFB"/>
    <w:rsid w:val="00B62F12"/>
    <w:rsid w:val="00B64708"/>
    <w:rsid w:val="00B648F9"/>
    <w:rsid w:val="00B66D04"/>
    <w:rsid w:val="00B67018"/>
    <w:rsid w:val="00B702BD"/>
    <w:rsid w:val="00B728E8"/>
    <w:rsid w:val="00B73D7A"/>
    <w:rsid w:val="00B743B3"/>
    <w:rsid w:val="00B74CBC"/>
    <w:rsid w:val="00B750CF"/>
    <w:rsid w:val="00B75B3A"/>
    <w:rsid w:val="00B76811"/>
    <w:rsid w:val="00B76DD6"/>
    <w:rsid w:val="00B76F68"/>
    <w:rsid w:val="00B77C96"/>
    <w:rsid w:val="00B8070A"/>
    <w:rsid w:val="00B80717"/>
    <w:rsid w:val="00B808C4"/>
    <w:rsid w:val="00B8126C"/>
    <w:rsid w:val="00B81855"/>
    <w:rsid w:val="00B82527"/>
    <w:rsid w:val="00B82D3D"/>
    <w:rsid w:val="00B82FDC"/>
    <w:rsid w:val="00B849A2"/>
    <w:rsid w:val="00B86EA7"/>
    <w:rsid w:val="00B872B9"/>
    <w:rsid w:val="00B87360"/>
    <w:rsid w:val="00B9023E"/>
    <w:rsid w:val="00B916AD"/>
    <w:rsid w:val="00B92F62"/>
    <w:rsid w:val="00BA3CAE"/>
    <w:rsid w:val="00BA5834"/>
    <w:rsid w:val="00BA7BC3"/>
    <w:rsid w:val="00BB0E09"/>
    <w:rsid w:val="00BB28DD"/>
    <w:rsid w:val="00BB4652"/>
    <w:rsid w:val="00BB4FD0"/>
    <w:rsid w:val="00BB55F9"/>
    <w:rsid w:val="00BB56B7"/>
    <w:rsid w:val="00BC0C17"/>
    <w:rsid w:val="00BC1710"/>
    <w:rsid w:val="00BC1B30"/>
    <w:rsid w:val="00BC503C"/>
    <w:rsid w:val="00BC5940"/>
    <w:rsid w:val="00BC621C"/>
    <w:rsid w:val="00BC7CEA"/>
    <w:rsid w:val="00BC7D61"/>
    <w:rsid w:val="00BD0072"/>
    <w:rsid w:val="00BD238C"/>
    <w:rsid w:val="00BD392D"/>
    <w:rsid w:val="00BD495C"/>
    <w:rsid w:val="00BD4A5C"/>
    <w:rsid w:val="00BD6B89"/>
    <w:rsid w:val="00BE0B6D"/>
    <w:rsid w:val="00BE1693"/>
    <w:rsid w:val="00BE1C17"/>
    <w:rsid w:val="00BE26D3"/>
    <w:rsid w:val="00BE30A1"/>
    <w:rsid w:val="00BE5131"/>
    <w:rsid w:val="00BE59C2"/>
    <w:rsid w:val="00BE6056"/>
    <w:rsid w:val="00BF0D89"/>
    <w:rsid w:val="00BF0F07"/>
    <w:rsid w:val="00BF185E"/>
    <w:rsid w:val="00BF25A8"/>
    <w:rsid w:val="00BF5830"/>
    <w:rsid w:val="00BF5ABF"/>
    <w:rsid w:val="00BF5F74"/>
    <w:rsid w:val="00BF6060"/>
    <w:rsid w:val="00BF63AE"/>
    <w:rsid w:val="00BF72CC"/>
    <w:rsid w:val="00BF7C1B"/>
    <w:rsid w:val="00C016F9"/>
    <w:rsid w:val="00C01B37"/>
    <w:rsid w:val="00C02462"/>
    <w:rsid w:val="00C028CC"/>
    <w:rsid w:val="00C02F8C"/>
    <w:rsid w:val="00C0316F"/>
    <w:rsid w:val="00C048A4"/>
    <w:rsid w:val="00C132EF"/>
    <w:rsid w:val="00C15A1C"/>
    <w:rsid w:val="00C224DB"/>
    <w:rsid w:val="00C23942"/>
    <w:rsid w:val="00C25316"/>
    <w:rsid w:val="00C259E1"/>
    <w:rsid w:val="00C26442"/>
    <w:rsid w:val="00C26599"/>
    <w:rsid w:val="00C30460"/>
    <w:rsid w:val="00C304C2"/>
    <w:rsid w:val="00C316A4"/>
    <w:rsid w:val="00C35997"/>
    <w:rsid w:val="00C35AAC"/>
    <w:rsid w:val="00C362B7"/>
    <w:rsid w:val="00C36563"/>
    <w:rsid w:val="00C368B5"/>
    <w:rsid w:val="00C36CD1"/>
    <w:rsid w:val="00C401FB"/>
    <w:rsid w:val="00C40912"/>
    <w:rsid w:val="00C41CF7"/>
    <w:rsid w:val="00C41E67"/>
    <w:rsid w:val="00C42571"/>
    <w:rsid w:val="00C44917"/>
    <w:rsid w:val="00C449F0"/>
    <w:rsid w:val="00C45F3D"/>
    <w:rsid w:val="00C4606B"/>
    <w:rsid w:val="00C4614C"/>
    <w:rsid w:val="00C46D73"/>
    <w:rsid w:val="00C50ED2"/>
    <w:rsid w:val="00C50F2F"/>
    <w:rsid w:val="00C51A8C"/>
    <w:rsid w:val="00C52967"/>
    <w:rsid w:val="00C538AA"/>
    <w:rsid w:val="00C53D48"/>
    <w:rsid w:val="00C53FEE"/>
    <w:rsid w:val="00C53FFE"/>
    <w:rsid w:val="00C54681"/>
    <w:rsid w:val="00C557AA"/>
    <w:rsid w:val="00C55C66"/>
    <w:rsid w:val="00C56A83"/>
    <w:rsid w:val="00C6074E"/>
    <w:rsid w:val="00C623D9"/>
    <w:rsid w:val="00C62BE3"/>
    <w:rsid w:val="00C62F3D"/>
    <w:rsid w:val="00C6389E"/>
    <w:rsid w:val="00C63B66"/>
    <w:rsid w:val="00C64AF8"/>
    <w:rsid w:val="00C65F84"/>
    <w:rsid w:val="00C6635B"/>
    <w:rsid w:val="00C66A2B"/>
    <w:rsid w:val="00C66F60"/>
    <w:rsid w:val="00C700D3"/>
    <w:rsid w:val="00C70DC7"/>
    <w:rsid w:val="00C71F87"/>
    <w:rsid w:val="00C75796"/>
    <w:rsid w:val="00C765AB"/>
    <w:rsid w:val="00C76822"/>
    <w:rsid w:val="00C7733D"/>
    <w:rsid w:val="00C77D6C"/>
    <w:rsid w:val="00C77E3A"/>
    <w:rsid w:val="00C811F2"/>
    <w:rsid w:val="00C84141"/>
    <w:rsid w:val="00C856BA"/>
    <w:rsid w:val="00C857CF"/>
    <w:rsid w:val="00C85B90"/>
    <w:rsid w:val="00C90493"/>
    <w:rsid w:val="00C9182E"/>
    <w:rsid w:val="00C921AA"/>
    <w:rsid w:val="00C92A58"/>
    <w:rsid w:val="00C92DA6"/>
    <w:rsid w:val="00C93F76"/>
    <w:rsid w:val="00C94A5C"/>
    <w:rsid w:val="00C970B7"/>
    <w:rsid w:val="00CA07BF"/>
    <w:rsid w:val="00CA304E"/>
    <w:rsid w:val="00CA35C3"/>
    <w:rsid w:val="00CA3A37"/>
    <w:rsid w:val="00CA64B5"/>
    <w:rsid w:val="00CA6D62"/>
    <w:rsid w:val="00CA7471"/>
    <w:rsid w:val="00CA7B5E"/>
    <w:rsid w:val="00CB2115"/>
    <w:rsid w:val="00CB3B54"/>
    <w:rsid w:val="00CB441A"/>
    <w:rsid w:val="00CB4F46"/>
    <w:rsid w:val="00CB6150"/>
    <w:rsid w:val="00CB775C"/>
    <w:rsid w:val="00CB7CE0"/>
    <w:rsid w:val="00CC00D5"/>
    <w:rsid w:val="00CC166C"/>
    <w:rsid w:val="00CC267F"/>
    <w:rsid w:val="00CC2F52"/>
    <w:rsid w:val="00CC3C53"/>
    <w:rsid w:val="00CC3F92"/>
    <w:rsid w:val="00CC48C0"/>
    <w:rsid w:val="00CC4F78"/>
    <w:rsid w:val="00CC65B9"/>
    <w:rsid w:val="00CC694E"/>
    <w:rsid w:val="00CC6B9E"/>
    <w:rsid w:val="00CC70EF"/>
    <w:rsid w:val="00CD1C5F"/>
    <w:rsid w:val="00CD1CDC"/>
    <w:rsid w:val="00CD48AD"/>
    <w:rsid w:val="00CD7536"/>
    <w:rsid w:val="00CE0441"/>
    <w:rsid w:val="00CE0868"/>
    <w:rsid w:val="00CE1CFA"/>
    <w:rsid w:val="00CE27E4"/>
    <w:rsid w:val="00CE28BD"/>
    <w:rsid w:val="00CE2D80"/>
    <w:rsid w:val="00CE40A6"/>
    <w:rsid w:val="00CE7080"/>
    <w:rsid w:val="00CF0CC0"/>
    <w:rsid w:val="00CF0F46"/>
    <w:rsid w:val="00CF0F8A"/>
    <w:rsid w:val="00CF1682"/>
    <w:rsid w:val="00CF1F78"/>
    <w:rsid w:val="00CF248F"/>
    <w:rsid w:val="00CF297C"/>
    <w:rsid w:val="00CF2EF5"/>
    <w:rsid w:val="00CF34E8"/>
    <w:rsid w:val="00CF4A72"/>
    <w:rsid w:val="00CF4AD4"/>
    <w:rsid w:val="00CF5C66"/>
    <w:rsid w:val="00CF755D"/>
    <w:rsid w:val="00CF7FCE"/>
    <w:rsid w:val="00D001EA"/>
    <w:rsid w:val="00D01DF1"/>
    <w:rsid w:val="00D028CA"/>
    <w:rsid w:val="00D0388B"/>
    <w:rsid w:val="00D04D26"/>
    <w:rsid w:val="00D04E43"/>
    <w:rsid w:val="00D054CB"/>
    <w:rsid w:val="00D06CE9"/>
    <w:rsid w:val="00D077D7"/>
    <w:rsid w:val="00D12128"/>
    <w:rsid w:val="00D1495F"/>
    <w:rsid w:val="00D175E0"/>
    <w:rsid w:val="00D17A4B"/>
    <w:rsid w:val="00D20148"/>
    <w:rsid w:val="00D2029A"/>
    <w:rsid w:val="00D21F25"/>
    <w:rsid w:val="00D2394F"/>
    <w:rsid w:val="00D25610"/>
    <w:rsid w:val="00D25D2B"/>
    <w:rsid w:val="00D262F1"/>
    <w:rsid w:val="00D26C78"/>
    <w:rsid w:val="00D3152B"/>
    <w:rsid w:val="00D317B9"/>
    <w:rsid w:val="00D31BBB"/>
    <w:rsid w:val="00D32AFF"/>
    <w:rsid w:val="00D34E79"/>
    <w:rsid w:val="00D355BA"/>
    <w:rsid w:val="00D3661C"/>
    <w:rsid w:val="00D36FFF"/>
    <w:rsid w:val="00D41C6E"/>
    <w:rsid w:val="00D43ACF"/>
    <w:rsid w:val="00D44022"/>
    <w:rsid w:val="00D45825"/>
    <w:rsid w:val="00D460D4"/>
    <w:rsid w:val="00D4690C"/>
    <w:rsid w:val="00D46B1E"/>
    <w:rsid w:val="00D5025D"/>
    <w:rsid w:val="00D50B5E"/>
    <w:rsid w:val="00D50E6A"/>
    <w:rsid w:val="00D52909"/>
    <w:rsid w:val="00D53954"/>
    <w:rsid w:val="00D55C6D"/>
    <w:rsid w:val="00D5614F"/>
    <w:rsid w:val="00D56C36"/>
    <w:rsid w:val="00D57054"/>
    <w:rsid w:val="00D573F0"/>
    <w:rsid w:val="00D5744F"/>
    <w:rsid w:val="00D57597"/>
    <w:rsid w:val="00D57BA3"/>
    <w:rsid w:val="00D608A5"/>
    <w:rsid w:val="00D60C04"/>
    <w:rsid w:val="00D62FBA"/>
    <w:rsid w:val="00D630F7"/>
    <w:rsid w:val="00D644F4"/>
    <w:rsid w:val="00D6553D"/>
    <w:rsid w:val="00D6785F"/>
    <w:rsid w:val="00D708B1"/>
    <w:rsid w:val="00D712FE"/>
    <w:rsid w:val="00D749F6"/>
    <w:rsid w:val="00D75CB9"/>
    <w:rsid w:val="00D7627E"/>
    <w:rsid w:val="00D76B01"/>
    <w:rsid w:val="00D77413"/>
    <w:rsid w:val="00D80C41"/>
    <w:rsid w:val="00D8172B"/>
    <w:rsid w:val="00D818FA"/>
    <w:rsid w:val="00D819D3"/>
    <w:rsid w:val="00D832B9"/>
    <w:rsid w:val="00D834BA"/>
    <w:rsid w:val="00D83F34"/>
    <w:rsid w:val="00D84139"/>
    <w:rsid w:val="00D84C0C"/>
    <w:rsid w:val="00D84D16"/>
    <w:rsid w:val="00D85D3F"/>
    <w:rsid w:val="00D913F6"/>
    <w:rsid w:val="00D940E8"/>
    <w:rsid w:val="00D94C5A"/>
    <w:rsid w:val="00D97363"/>
    <w:rsid w:val="00D9781C"/>
    <w:rsid w:val="00DA0281"/>
    <w:rsid w:val="00DA47DC"/>
    <w:rsid w:val="00DA5161"/>
    <w:rsid w:val="00DA6696"/>
    <w:rsid w:val="00DA7B4D"/>
    <w:rsid w:val="00DA7E6D"/>
    <w:rsid w:val="00DB0B3C"/>
    <w:rsid w:val="00DB0C94"/>
    <w:rsid w:val="00DB1AD2"/>
    <w:rsid w:val="00DB2490"/>
    <w:rsid w:val="00DB3C70"/>
    <w:rsid w:val="00DB597B"/>
    <w:rsid w:val="00DB5C51"/>
    <w:rsid w:val="00DB60E6"/>
    <w:rsid w:val="00DB69F5"/>
    <w:rsid w:val="00DB69F8"/>
    <w:rsid w:val="00DB6FC1"/>
    <w:rsid w:val="00DC23D3"/>
    <w:rsid w:val="00DC2B3D"/>
    <w:rsid w:val="00DC30D8"/>
    <w:rsid w:val="00DC36B6"/>
    <w:rsid w:val="00DC5ABA"/>
    <w:rsid w:val="00DD0A65"/>
    <w:rsid w:val="00DD12E0"/>
    <w:rsid w:val="00DD1D4D"/>
    <w:rsid w:val="00DD2C89"/>
    <w:rsid w:val="00DD2D70"/>
    <w:rsid w:val="00DD38C2"/>
    <w:rsid w:val="00DD6EBE"/>
    <w:rsid w:val="00DD72BD"/>
    <w:rsid w:val="00DD73BD"/>
    <w:rsid w:val="00DD762C"/>
    <w:rsid w:val="00DE082A"/>
    <w:rsid w:val="00DE2AD9"/>
    <w:rsid w:val="00DE3679"/>
    <w:rsid w:val="00DE3DB3"/>
    <w:rsid w:val="00DE5658"/>
    <w:rsid w:val="00DE7898"/>
    <w:rsid w:val="00DF2578"/>
    <w:rsid w:val="00DF32E1"/>
    <w:rsid w:val="00DF3722"/>
    <w:rsid w:val="00DF4B3A"/>
    <w:rsid w:val="00DF52FE"/>
    <w:rsid w:val="00DF5645"/>
    <w:rsid w:val="00DF66F6"/>
    <w:rsid w:val="00DF70D3"/>
    <w:rsid w:val="00DF720D"/>
    <w:rsid w:val="00DF7815"/>
    <w:rsid w:val="00E003F7"/>
    <w:rsid w:val="00E01A98"/>
    <w:rsid w:val="00E02EB3"/>
    <w:rsid w:val="00E033D7"/>
    <w:rsid w:val="00E050AA"/>
    <w:rsid w:val="00E0528B"/>
    <w:rsid w:val="00E1145F"/>
    <w:rsid w:val="00E11CCC"/>
    <w:rsid w:val="00E11D62"/>
    <w:rsid w:val="00E12380"/>
    <w:rsid w:val="00E12D78"/>
    <w:rsid w:val="00E12E92"/>
    <w:rsid w:val="00E153B5"/>
    <w:rsid w:val="00E161E2"/>
    <w:rsid w:val="00E165BC"/>
    <w:rsid w:val="00E17D67"/>
    <w:rsid w:val="00E2031F"/>
    <w:rsid w:val="00E2047F"/>
    <w:rsid w:val="00E21828"/>
    <w:rsid w:val="00E21BC2"/>
    <w:rsid w:val="00E21D7C"/>
    <w:rsid w:val="00E22376"/>
    <w:rsid w:val="00E25D0A"/>
    <w:rsid w:val="00E26A19"/>
    <w:rsid w:val="00E34882"/>
    <w:rsid w:val="00E35FF8"/>
    <w:rsid w:val="00E41188"/>
    <w:rsid w:val="00E427DD"/>
    <w:rsid w:val="00E42988"/>
    <w:rsid w:val="00E43CD6"/>
    <w:rsid w:val="00E46CE5"/>
    <w:rsid w:val="00E50F3E"/>
    <w:rsid w:val="00E52184"/>
    <w:rsid w:val="00E525EC"/>
    <w:rsid w:val="00E53AC4"/>
    <w:rsid w:val="00E53DC1"/>
    <w:rsid w:val="00E5595A"/>
    <w:rsid w:val="00E55A38"/>
    <w:rsid w:val="00E56B7C"/>
    <w:rsid w:val="00E601C3"/>
    <w:rsid w:val="00E61075"/>
    <w:rsid w:val="00E61E0A"/>
    <w:rsid w:val="00E64C75"/>
    <w:rsid w:val="00E66E0D"/>
    <w:rsid w:val="00E66E78"/>
    <w:rsid w:val="00E72CB4"/>
    <w:rsid w:val="00E72FE2"/>
    <w:rsid w:val="00E7524F"/>
    <w:rsid w:val="00E752DD"/>
    <w:rsid w:val="00E764C6"/>
    <w:rsid w:val="00E769C1"/>
    <w:rsid w:val="00E76C7F"/>
    <w:rsid w:val="00E76D6A"/>
    <w:rsid w:val="00E77720"/>
    <w:rsid w:val="00E777AC"/>
    <w:rsid w:val="00E77B58"/>
    <w:rsid w:val="00E77C8D"/>
    <w:rsid w:val="00E80170"/>
    <w:rsid w:val="00E81456"/>
    <w:rsid w:val="00E8194E"/>
    <w:rsid w:val="00E81B30"/>
    <w:rsid w:val="00E82B29"/>
    <w:rsid w:val="00E82D58"/>
    <w:rsid w:val="00E836E6"/>
    <w:rsid w:val="00E83CD4"/>
    <w:rsid w:val="00E84A08"/>
    <w:rsid w:val="00E859EF"/>
    <w:rsid w:val="00E86EB8"/>
    <w:rsid w:val="00E90788"/>
    <w:rsid w:val="00E91488"/>
    <w:rsid w:val="00E93EB5"/>
    <w:rsid w:val="00E9638D"/>
    <w:rsid w:val="00E96BFA"/>
    <w:rsid w:val="00E96D66"/>
    <w:rsid w:val="00E97013"/>
    <w:rsid w:val="00E97094"/>
    <w:rsid w:val="00E9740F"/>
    <w:rsid w:val="00EA1839"/>
    <w:rsid w:val="00EA2563"/>
    <w:rsid w:val="00EA2A1B"/>
    <w:rsid w:val="00EA346F"/>
    <w:rsid w:val="00EA35E0"/>
    <w:rsid w:val="00EA3FA8"/>
    <w:rsid w:val="00EA46FF"/>
    <w:rsid w:val="00EA48E5"/>
    <w:rsid w:val="00EA7CEF"/>
    <w:rsid w:val="00EB099B"/>
    <w:rsid w:val="00EB0EE8"/>
    <w:rsid w:val="00EB23AC"/>
    <w:rsid w:val="00EB275F"/>
    <w:rsid w:val="00EB3813"/>
    <w:rsid w:val="00EB416D"/>
    <w:rsid w:val="00EB562F"/>
    <w:rsid w:val="00EB6463"/>
    <w:rsid w:val="00EB72FB"/>
    <w:rsid w:val="00EB787E"/>
    <w:rsid w:val="00EB799E"/>
    <w:rsid w:val="00EB79BC"/>
    <w:rsid w:val="00EB7CA4"/>
    <w:rsid w:val="00EC1F3B"/>
    <w:rsid w:val="00EC3D50"/>
    <w:rsid w:val="00EC4C84"/>
    <w:rsid w:val="00EC4FEB"/>
    <w:rsid w:val="00EC5434"/>
    <w:rsid w:val="00EC6F41"/>
    <w:rsid w:val="00ED0A05"/>
    <w:rsid w:val="00ED1203"/>
    <w:rsid w:val="00ED2A21"/>
    <w:rsid w:val="00ED34AD"/>
    <w:rsid w:val="00ED4BFD"/>
    <w:rsid w:val="00ED615A"/>
    <w:rsid w:val="00ED742D"/>
    <w:rsid w:val="00ED780B"/>
    <w:rsid w:val="00EE1448"/>
    <w:rsid w:val="00EE23E5"/>
    <w:rsid w:val="00EE297D"/>
    <w:rsid w:val="00EE3E00"/>
    <w:rsid w:val="00EE4DDA"/>
    <w:rsid w:val="00EE66EA"/>
    <w:rsid w:val="00EE71AB"/>
    <w:rsid w:val="00EE74BF"/>
    <w:rsid w:val="00EF24AF"/>
    <w:rsid w:val="00EF2833"/>
    <w:rsid w:val="00EF5D77"/>
    <w:rsid w:val="00EF5DFC"/>
    <w:rsid w:val="00F0083F"/>
    <w:rsid w:val="00F00EF9"/>
    <w:rsid w:val="00F0331A"/>
    <w:rsid w:val="00F03522"/>
    <w:rsid w:val="00F03D1E"/>
    <w:rsid w:val="00F055C5"/>
    <w:rsid w:val="00F07CDC"/>
    <w:rsid w:val="00F116FD"/>
    <w:rsid w:val="00F12605"/>
    <w:rsid w:val="00F12D76"/>
    <w:rsid w:val="00F132FE"/>
    <w:rsid w:val="00F14F05"/>
    <w:rsid w:val="00F150B4"/>
    <w:rsid w:val="00F175F8"/>
    <w:rsid w:val="00F17B79"/>
    <w:rsid w:val="00F20ED7"/>
    <w:rsid w:val="00F20F65"/>
    <w:rsid w:val="00F225A0"/>
    <w:rsid w:val="00F22ABC"/>
    <w:rsid w:val="00F25E61"/>
    <w:rsid w:val="00F2620D"/>
    <w:rsid w:val="00F27B20"/>
    <w:rsid w:val="00F27D5E"/>
    <w:rsid w:val="00F32787"/>
    <w:rsid w:val="00F32DD4"/>
    <w:rsid w:val="00F33E71"/>
    <w:rsid w:val="00F3428F"/>
    <w:rsid w:val="00F405C8"/>
    <w:rsid w:val="00F40BA4"/>
    <w:rsid w:val="00F428E3"/>
    <w:rsid w:val="00F42AEB"/>
    <w:rsid w:val="00F43642"/>
    <w:rsid w:val="00F44CD9"/>
    <w:rsid w:val="00F46569"/>
    <w:rsid w:val="00F46741"/>
    <w:rsid w:val="00F47834"/>
    <w:rsid w:val="00F47866"/>
    <w:rsid w:val="00F502C8"/>
    <w:rsid w:val="00F5187B"/>
    <w:rsid w:val="00F5235E"/>
    <w:rsid w:val="00F52A11"/>
    <w:rsid w:val="00F5537E"/>
    <w:rsid w:val="00F5557A"/>
    <w:rsid w:val="00F5781F"/>
    <w:rsid w:val="00F62052"/>
    <w:rsid w:val="00F62439"/>
    <w:rsid w:val="00F6257A"/>
    <w:rsid w:val="00F63787"/>
    <w:rsid w:val="00F67BEA"/>
    <w:rsid w:val="00F7052F"/>
    <w:rsid w:val="00F71FA4"/>
    <w:rsid w:val="00F7366E"/>
    <w:rsid w:val="00F73EE0"/>
    <w:rsid w:val="00F744C3"/>
    <w:rsid w:val="00F74F96"/>
    <w:rsid w:val="00F758E0"/>
    <w:rsid w:val="00F7640D"/>
    <w:rsid w:val="00F7644C"/>
    <w:rsid w:val="00F764D9"/>
    <w:rsid w:val="00F77AD6"/>
    <w:rsid w:val="00F84D15"/>
    <w:rsid w:val="00F850AE"/>
    <w:rsid w:val="00F878D0"/>
    <w:rsid w:val="00F926A5"/>
    <w:rsid w:val="00F92709"/>
    <w:rsid w:val="00F92940"/>
    <w:rsid w:val="00F93A5A"/>
    <w:rsid w:val="00F93EB1"/>
    <w:rsid w:val="00F94AE1"/>
    <w:rsid w:val="00F94B24"/>
    <w:rsid w:val="00F94F00"/>
    <w:rsid w:val="00F964DA"/>
    <w:rsid w:val="00F96F1D"/>
    <w:rsid w:val="00F9701A"/>
    <w:rsid w:val="00F97380"/>
    <w:rsid w:val="00F97B43"/>
    <w:rsid w:val="00FA10D4"/>
    <w:rsid w:val="00FA1D55"/>
    <w:rsid w:val="00FA2D5C"/>
    <w:rsid w:val="00FA3672"/>
    <w:rsid w:val="00FA4306"/>
    <w:rsid w:val="00FA53F9"/>
    <w:rsid w:val="00FA5A31"/>
    <w:rsid w:val="00FA6456"/>
    <w:rsid w:val="00FA6461"/>
    <w:rsid w:val="00FA7067"/>
    <w:rsid w:val="00FB0CD8"/>
    <w:rsid w:val="00FB16A1"/>
    <w:rsid w:val="00FB18DD"/>
    <w:rsid w:val="00FB45E0"/>
    <w:rsid w:val="00FB587F"/>
    <w:rsid w:val="00FB709E"/>
    <w:rsid w:val="00FC0A60"/>
    <w:rsid w:val="00FC0D64"/>
    <w:rsid w:val="00FC2B61"/>
    <w:rsid w:val="00FC2B62"/>
    <w:rsid w:val="00FC2C89"/>
    <w:rsid w:val="00FC2E7E"/>
    <w:rsid w:val="00FC3CCA"/>
    <w:rsid w:val="00FC451E"/>
    <w:rsid w:val="00FC55C3"/>
    <w:rsid w:val="00FC6C6A"/>
    <w:rsid w:val="00FD06A7"/>
    <w:rsid w:val="00FD22D5"/>
    <w:rsid w:val="00FD2C72"/>
    <w:rsid w:val="00FD3034"/>
    <w:rsid w:val="00FD3FDC"/>
    <w:rsid w:val="00FD7778"/>
    <w:rsid w:val="00FE4FA1"/>
    <w:rsid w:val="00FE6288"/>
    <w:rsid w:val="00FE75A7"/>
    <w:rsid w:val="00FE7D8B"/>
    <w:rsid w:val="00FF002E"/>
    <w:rsid w:val="00FF12BC"/>
    <w:rsid w:val="00FF1467"/>
    <w:rsid w:val="00FF32AE"/>
    <w:rsid w:val="00FF3698"/>
    <w:rsid w:val="00FF4ECC"/>
    <w:rsid w:val="00FF6C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355F9"/>
  <w15:chartTrackingRefBased/>
  <w15:docId w15:val="{1FC24697-2389-43F9-AAE5-27C7FB44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F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256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25610"/>
  </w:style>
  <w:style w:type="paragraph" w:styleId="Rodap">
    <w:name w:val="footer"/>
    <w:basedOn w:val="Normal"/>
    <w:link w:val="RodapChar"/>
    <w:uiPriority w:val="99"/>
    <w:unhideWhenUsed/>
    <w:rsid w:val="00D25610"/>
    <w:pPr>
      <w:tabs>
        <w:tab w:val="center" w:pos="4252"/>
        <w:tab w:val="right" w:pos="8504"/>
      </w:tabs>
      <w:spacing w:after="0" w:line="240" w:lineRule="auto"/>
    </w:pPr>
  </w:style>
  <w:style w:type="character" w:customStyle="1" w:styleId="RodapChar">
    <w:name w:val="Rodapé Char"/>
    <w:basedOn w:val="Fontepargpadro"/>
    <w:link w:val="Rodap"/>
    <w:uiPriority w:val="99"/>
    <w:rsid w:val="00D25610"/>
  </w:style>
  <w:style w:type="paragraph" w:styleId="Textodenotaderodap">
    <w:name w:val="footnote text"/>
    <w:basedOn w:val="Normal"/>
    <w:link w:val="TextodenotaderodapChar"/>
    <w:uiPriority w:val="99"/>
    <w:unhideWhenUsed/>
    <w:rsid w:val="00841E2D"/>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841E2D"/>
    <w:rPr>
      <w:sz w:val="20"/>
      <w:szCs w:val="20"/>
    </w:rPr>
  </w:style>
  <w:style w:type="character" w:styleId="Refdenotaderodap">
    <w:name w:val="footnote reference"/>
    <w:basedOn w:val="Fontepargpadro"/>
    <w:uiPriority w:val="99"/>
    <w:semiHidden/>
    <w:unhideWhenUsed/>
    <w:rsid w:val="00841E2D"/>
    <w:rPr>
      <w:vertAlign w:val="superscript"/>
    </w:rPr>
  </w:style>
  <w:style w:type="paragraph" w:styleId="NormalWeb">
    <w:name w:val="Normal (Web)"/>
    <w:basedOn w:val="Normal"/>
    <w:uiPriority w:val="99"/>
    <w:semiHidden/>
    <w:unhideWhenUsed/>
    <w:rsid w:val="002B2432"/>
    <w:rPr>
      <w:rFonts w:ascii="Times New Roman" w:hAnsi="Times New Roman" w:cs="Times New Roman"/>
      <w:szCs w:val="24"/>
    </w:rPr>
  </w:style>
  <w:style w:type="character" w:styleId="Hyperlink">
    <w:name w:val="Hyperlink"/>
    <w:basedOn w:val="Fontepargpadro"/>
    <w:uiPriority w:val="99"/>
    <w:unhideWhenUsed/>
    <w:rsid w:val="002B2432"/>
    <w:rPr>
      <w:color w:val="0563C1" w:themeColor="hyperlink"/>
      <w:u w:val="single"/>
    </w:rPr>
  </w:style>
  <w:style w:type="character" w:styleId="MenoPendente">
    <w:name w:val="Unresolved Mention"/>
    <w:basedOn w:val="Fontepargpadro"/>
    <w:uiPriority w:val="99"/>
    <w:semiHidden/>
    <w:unhideWhenUsed/>
    <w:rsid w:val="002B2432"/>
    <w:rPr>
      <w:color w:val="605E5C"/>
      <w:shd w:val="clear" w:color="auto" w:fill="E1DFDD"/>
    </w:rPr>
  </w:style>
  <w:style w:type="paragraph" w:styleId="PargrafodaLista">
    <w:name w:val="List Paragraph"/>
    <w:basedOn w:val="Normal"/>
    <w:uiPriority w:val="34"/>
    <w:qFormat/>
    <w:rsid w:val="0078270D"/>
    <w:pPr>
      <w:ind w:left="720"/>
      <w:contextualSpacing/>
    </w:pPr>
  </w:style>
  <w:style w:type="paragraph" w:customStyle="1" w:styleId="paragraph">
    <w:name w:val="paragraph"/>
    <w:basedOn w:val="Normal"/>
    <w:rsid w:val="007D50CB"/>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normaltextrun">
    <w:name w:val="normaltextrun"/>
    <w:basedOn w:val="Fontepargpadro"/>
    <w:rsid w:val="007D50CB"/>
  </w:style>
  <w:style w:type="character" w:customStyle="1" w:styleId="eop">
    <w:name w:val="eop"/>
    <w:basedOn w:val="Fontepargpadro"/>
    <w:rsid w:val="007D50CB"/>
  </w:style>
  <w:style w:type="character" w:styleId="HiperlinkVisitado">
    <w:name w:val="FollowedHyperlink"/>
    <w:basedOn w:val="Fontepargpadro"/>
    <w:uiPriority w:val="99"/>
    <w:semiHidden/>
    <w:unhideWhenUsed/>
    <w:rsid w:val="008B765B"/>
    <w:rPr>
      <w:color w:val="954F72" w:themeColor="followedHyperlink"/>
      <w:u w:val="single"/>
    </w:rPr>
  </w:style>
  <w:style w:type="character" w:customStyle="1" w:styleId="full">
    <w:name w:val="full"/>
    <w:basedOn w:val="Fontepargpadro"/>
    <w:rsid w:val="00377A4A"/>
  </w:style>
  <w:style w:type="character" w:customStyle="1" w:styleId="markedcontent">
    <w:name w:val="markedcontent"/>
    <w:basedOn w:val="Fontepargpadro"/>
    <w:rsid w:val="00BF185E"/>
  </w:style>
  <w:style w:type="character" w:styleId="nfase">
    <w:name w:val="Emphasis"/>
    <w:basedOn w:val="Fontepargpadro"/>
    <w:uiPriority w:val="20"/>
    <w:qFormat/>
    <w:rsid w:val="002E5A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78033">
      <w:bodyDiv w:val="1"/>
      <w:marLeft w:val="0"/>
      <w:marRight w:val="0"/>
      <w:marTop w:val="0"/>
      <w:marBottom w:val="0"/>
      <w:divBdr>
        <w:top w:val="none" w:sz="0" w:space="0" w:color="auto"/>
        <w:left w:val="none" w:sz="0" w:space="0" w:color="auto"/>
        <w:bottom w:val="none" w:sz="0" w:space="0" w:color="auto"/>
        <w:right w:val="none" w:sz="0" w:space="0" w:color="auto"/>
      </w:divBdr>
    </w:div>
    <w:div w:id="488332631">
      <w:bodyDiv w:val="1"/>
      <w:marLeft w:val="0"/>
      <w:marRight w:val="0"/>
      <w:marTop w:val="0"/>
      <w:marBottom w:val="0"/>
      <w:divBdr>
        <w:top w:val="none" w:sz="0" w:space="0" w:color="auto"/>
        <w:left w:val="none" w:sz="0" w:space="0" w:color="auto"/>
        <w:bottom w:val="none" w:sz="0" w:space="0" w:color="auto"/>
        <w:right w:val="none" w:sz="0" w:space="0" w:color="auto"/>
      </w:divBdr>
    </w:div>
    <w:div w:id="677079241">
      <w:bodyDiv w:val="1"/>
      <w:marLeft w:val="0"/>
      <w:marRight w:val="0"/>
      <w:marTop w:val="0"/>
      <w:marBottom w:val="0"/>
      <w:divBdr>
        <w:top w:val="none" w:sz="0" w:space="0" w:color="auto"/>
        <w:left w:val="none" w:sz="0" w:space="0" w:color="auto"/>
        <w:bottom w:val="none" w:sz="0" w:space="0" w:color="auto"/>
        <w:right w:val="none" w:sz="0" w:space="0" w:color="auto"/>
      </w:divBdr>
    </w:div>
    <w:div w:id="720908494">
      <w:bodyDiv w:val="1"/>
      <w:marLeft w:val="0"/>
      <w:marRight w:val="0"/>
      <w:marTop w:val="0"/>
      <w:marBottom w:val="0"/>
      <w:divBdr>
        <w:top w:val="none" w:sz="0" w:space="0" w:color="auto"/>
        <w:left w:val="none" w:sz="0" w:space="0" w:color="auto"/>
        <w:bottom w:val="none" w:sz="0" w:space="0" w:color="auto"/>
        <w:right w:val="none" w:sz="0" w:space="0" w:color="auto"/>
      </w:divBdr>
    </w:div>
    <w:div w:id="1088191288">
      <w:bodyDiv w:val="1"/>
      <w:marLeft w:val="0"/>
      <w:marRight w:val="0"/>
      <w:marTop w:val="0"/>
      <w:marBottom w:val="0"/>
      <w:divBdr>
        <w:top w:val="none" w:sz="0" w:space="0" w:color="auto"/>
        <w:left w:val="none" w:sz="0" w:space="0" w:color="auto"/>
        <w:bottom w:val="none" w:sz="0" w:space="0" w:color="auto"/>
        <w:right w:val="none" w:sz="0" w:space="0" w:color="auto"/>
      </w:divBdr>
      <w:divsChild>
        <w:div w:id="2028167106">
          <w:marLeft w:val="0"/>
          <w:marRight w:val="0"/>
          <w:marTop w:val="0"/>
          <w:marBottom w:val="0"/>
          <w:divBdr>
            <w:top w:val="none" w:sz="0" w:space="0" w:color="auto"/>
            <w:left w:val="none" w:sz="0" w:space="0" w:color="auto"/>
            <w:bottom w:val="none" w:sz="0" w:space="0" w:color="auto"/>
            <w:right w:val="none" w:sz="0" w:space="0" w:color="auto"/>
          </w:divBdr>
        </w:div>
      </w:divsChild>
    </w:div>
    <w:div w:id="1106853339">
      <w:bodyDiv w:val="1"/>
      <w:marLeft w:val="0"/>
      <w:marRight w:val="0"/>
      <w:marTop w:val="0"/>
      <w:marBottom w:val="0"/>
      <w:divBdr>
        <w:top w:val="none" w:sz="0" w:space="0" w:color="auto"/>
        <w:left w:val="none" w:sz="0" w:space="0" w:color="auto"/>
        <w:bottom w:val="none" w:sz="0" w:space="0" w:color="auto"/>
        <w:right w:val="none" w:sz="0" w:space="0" w:color="auto"/>
      </w:divBdr>
    </w:div>
    <w:div w:id="1160391921">
      <w:bodyDiv w:val="1"/>
      <w:marLeft w:val="0"/>
      <w:marRight w:val="0"/>
      <w:marTop w:val="0"/>
      <w:marBottom w:val="0"/>
      <w:divBdr>
        <w:top w:val="none" w:sz="0" w:space="0" w:color="auto"/>
        <w:left w:val="none" w:sz="0" w:space="0" w:color="auto"/>
        <w:bottom w:val="none" w:sz="0" w:space="0" w:color="auto"/>
        <w:right w:val="none" w:sz="0" w:space="0" w:color="auto"/>
      </w:divBdr>
      <w:divsChild>
        <w:div w:id="1810902478">
          <w:marLeft w:val="0"/>
          <w:marRight w:val="0"/>
          <w:marTop w:val="0"/>
          <w:marBottom w:val="0"/>
          <w:divBdr>
            <w:top w:val="none" w:sz="0" w:space="0" w:color="auto"/>
            <w:left w:val="none" w:sz="0" w:space="0" w:color="auto"/>
            <w:bottom w:val="none" w:sz="0" w:space="0" w:color="auto"/>
            <w:right w:val="none" w:sz="0" w:space="0" w:color="auto"/>
          </w:divBdr>
        </w:div>
        <w:div w:id="1338774220">
          <w:marLeft w:val="0"/>
          <w:marRight w:val="0"/>
          <w:marTop w:val="0"/>
          <w:marBottom w:val="0"/>
          <w:divBdr>
            <w:top w:val="none" w:sz="0" w:space="0" w:color="auto"/>
            <w:left w:val="none" w:sz="0" w:space="0" w:color="auto"/>
            <w:bottom w:val="none" w:sz="0" w:space="0" w:color="auto"/>
            <w:right w:val="none" w:sz="0" w:space="0" w:color="auto"/>
          </w:divBdr>
        </w:div>
        <w:div w:id="666057195">
          <w:marLeft w:val="0"/>
          <w:marRight w:val="0"/>
          <w:marTop w:val="0"/>
          <w:marBottom w:val="0"/>
          <w:divBdr>
            <w:top w:val="none" w:sz="0" w:space="0" w:color="auto"/>
            <w:left w:val="none" w:sz="0" w:space="0" w:color="auto"/>
            <w:bottom w:val="none" w:sz="0" w:space="0" w:color="auto"/>
            <w:right w:val="none" w:sz="0" w:space="0" w:color="auto"/>
          </w:divBdr>
        </w:div>
        <w:div w:id="365719712">
          <w:marLeft w:val="0"/>
          <w:marRight w:val="0"/>
          <w:marTop w:val="0"/>
          <w:marBottom w:val="0"/>
          <w:divBdr>
            <w:top w:val="none" w:sz="0" w:space="0" w:color="auto"/>
            <w:left w:val="none" w:sz="0" w:space="0" w:color="auto"/>
            <w:bottom w:val="none" w:sz="0" w:space="0" w:color="auto"/>
            <w:right w:val="none" w:sz="0" w:space="0" w:color="auto"/>
          </w:divBdr>
        </w:div>
        <w:div w:id="1095832392">
          <w:marLeft w:val="0"/>
          <w:marRight w:val="0"/>
          <w:marTop w:val="0"/>
          <w:marBottom w:val="0"/>
          <w:divBdr>
            <w:top w:val="none" w:sz="0" w:space="0" w:color="auto"/>
            <w:left w:val="none" w:sz="0" w:space="0" w:color="auto"/>
            <w:bottom w:val="none" w:sz="0" w:space="0" w:color="auto"/>
            <w:right w:val="none" w:sz="0" w:space="0" w:color="auto"/>
          </w:divBdr>
        </w:div>
        <w:div w:id="1044141416">
          <w:marLeft w:val="0"/>
          <w:marRight w:val="0"/>
          <w:marTop w:val="0"/>
          <w:marBottom w:val="0"/>
          <w:divBdr>
            <w:top w:val="none" w:sz="0" w:space="0" w:color="auto"/>
            <w:left w:val="none" w:sz="0" w:space="0" w:color="auto"/>
            <w:bottom w:val="none" w:sz="0" w:space="0" w:color="auto"/>
            <w:right w:val="none" w:sz="0" w:space="0" w:color="auto"/>
          </w:divBdr>
        </w:div>
        <w:div w:id="568460810">
          <w:marLeft w:val="0"/>
          <w:marRight w:val="0"/>
          <w:marTop w:val="0"/>
          <w:marBottom w:val="0"/>
          <w:divBdr>
            <w:top w:val="none" w:sz="0" w:space="0" w:color="auto"/>
            <w:left w:val="none" w:sz="0" w:space="0" w:color="auto"/>
            <w:bottom w:val="none" w:sz="0" w:space="0" w:color="auto"/>
            <w:right w:val="none" w:sz="0" w:space="0" w:color="auto"/>
          </w:divBdr>
        </w:div>
      </w:divsChild>
    </w:div>
    <w:div w:id="1165123082">
      <w:bodyDiv w:val="1"/>
      <w:marLeft w:val="0"/>
      <w:marRight w:val="0"/>
      <w:marTop w:val="0"/>
      <w:marBottom w:val="0"/>
      <w:divBdr>
        <w:top w:val="none" w:sz="0" w:space="0" w:color="auto"/>
        <w:left w:val="none" w:sz="0" w:space="0" w:color="auto"/>
        <w:bottom w:val="none" w:sz="0" w:space="0" w:color="auto"/>
        <w:right w:val="none" w:sz="0" w:space="0" w:color="auto"/>
      </w:divBdr>
    </w:div>
    <w:div w:id="1247615290">
      <w:bodyDiv w:val="1"/>
      <w:marLeft w:val="0"/>
      <w:marRight w:val="0"/>
      <w:marTop w:val="0"/>
      <w:marBottom w:val="0"/>
      <w:divBdr>
        <w:top w:val="none" w:sz="0" w:space="0" w:color="auto"/>
        <w:left w:val="none" w:sz="0" w:space="0" w:color="auto"/>
        <w:bottom w:val="none" w:sz="0" w:space="0" w:color="auto"/>
        <w:right w:val="none" w:sz="0" w:space="0" w:color="auto"/>
      </w:divBdr>
    </w:div>
    <w:div w:id="1340305495">
      <w:bodyDiv w:val="1"/>
      <w:marLeft w:val="0"/>
      <w:marRight w:val="0"/>
      <w:marTop w:val="0"/>
      <w:marBottom w:val="0"/>
      <w:divBdr>
        <w:top w:val="none" w:sz="0" w:space="0" w:color="auto"/>
        <w:left w:val="none" w:sz="0" w:space="0" w:color="auto"/>
        <w:bottom w:val="none" w:sz="0" w:space="0" w:color="auto"/>
        <w:right w:val="none" w:sz="0" w:space="0" w:color="auto"/>
      </w:divBdr>
      <w:divsChild>
        <w:div w:id="427704073">
          <w:marLeft w:val="0"/>
          <w:marRight w:val="0"/>
          <w:marTop w:val="0"/>
          <w:marBottom w:val="0"/>
          <w:divBdr>
            <w:top w:val="none" w:sz="0" w:space="0" w:color="auto"/>
            <w:left w:val="none" w:sz="0" w:space="0" w:color="auto"/>
            <w:bottom w:val="none" w:sz="0" w:space="0" w:color="auto"/>
            <w:right w:val="none" w:sz="0" w:space="0" w:color="auto"/>
          </w:divBdr>
        </w:div>
      </w:divsChild>
    </w:div>
    <w:div w:id="1439064160">
      <w:bodyDiv w:val="1"/>
      <w:marLeft w:val="0"/>
      <w:marRight w:val="0"/>
      <w:marTop w:val="0"/>
      <w:marBottom w:val="0"/>
      <w:divBdr>
        <w:top w:val="none" w:sz="0" w:space="0" w:color="auto"/>
        <w:left w:val="none" w:sz="0" w:space="0" w:color="auto"/>
        <w:bottom w:val="none" w:sz="0" w:space="0" w:color="auto"/>
        <w:right w:val="none" w:sz="0" w:space="0" w:color="auto"/>
      </w:divBdr>
      <w:divsChild>
        <w:div w:id="375475421">
          <w:marLeft w:val="0"/>
          <w:marRight w:val="0"/>
          <w:marTop w:val="0"/>
          <w:marBottom w:val="0"/>
          <w:divBdr>
            <w:top w:val="none" w:sz="0" w:space="0" w:color="auto"/>
            <w:left w:val="none" w:sz="0" w:space="0" w:color="auto"/>
            <w:bottom w:val="none" w:sz="0" w:space="0" w:color="auto"/>
            <w:right w:val="none" w:sz="0" w:space="0" w:color="auto"/>
          </w:divBdr>
        </w:div>
      </w:divsChild>
    </w:div>
    <w:div w:id="1505123711">
      <w:bodyDiv w:val="1"/>
      <w:marLeft w:val="0"/>
      <w:marRight w:val="0"/>
      <w:marTop w:val="0"/>
      <w:marBottom w:val="0"/>
      <w:divBdr>
        <w:top w:val="none" w:sz="0" w:space="0" w:color="auto"/>
        <w:left w:val="none" w:sz="0" w:space="0" w:color="auto"/>
        <w:bottom w:val="none" w:sz="0" w:space="0" w:color="auto"/>
        <w:right w:val="none" w:sz="0" w:space="0" w:color="auto"/>
      </w:divBdr>
      <w:divsChild>
        <w:div w:id="1811556881">
          <w:marLeft w:val="0"/>
          <w:marRight w:val="0"/>
          <w:marTop w:val="0"/>
          <w:marBottom w:val="0"/>
          <w:divBdr>
            <w:top w:val="none" w:sz="0" w:space="0" w:color="auto"/>
            <w:left w:val="none" w:sz="0" w:space="0" w:color="auto"/>
            <w:bottom w:val="none" w:sz="0" w:space="0" w:color="auto"/>
            <w:right w:val="none" w:sz="0" w:space="0" w:color="auto"/>
          </w:divBdr>
        </w:div>
        <w:div w:id="1506238578">
          <w:marLeft w:val="0"/>
          <w:marRight w:val="0"/>
          <w:marTop w:val="0"/>
          <w:marBottom w:val="0"/>
          <w:divBdr>
            <w:top w:val="none" w:sz="0" w:space="0" w:color="auto"/>
            <w:left w:val="none" w:sz="0" w:space="0" w:color="auto"/>
            <w:bottom w:val="none" w:sz="0" w:space="0" w:color="auto"/>
            <w:right w:val="none" w:sz="0" w:space="0" w:color="auto"/>
          </w:divBdr>
        </w:div>
        <w:div w:id="643046332">
          <w:marLeft w:val="0"/>
          <w:marRight w:val="0"/>
          <w:marTop w:val="0"/>
          <w:marBottom w:val="0"/>
          <w:divBdr>
            <w:top w:val="none" w:sz="0" w:space="0" w:color="auto"/>
            <w:left w:val="none" w:sz="0" w:space="0" w:color="auto"/>
            <w:bottom w:val="none" w:sz="0" w:space="0" w:color="auto"/>
            <w:right w:val="none" w:sz="0" w:space="0" w:color="auto"/>
          </w:divBdr>
        </w:div>
        <w:div w:id="181745152">
          <w:marLeft w:val="0"/>
          <w:marRight w:val="0"/>
          <w:marTop w:val="0"/>
          <w:marBottom w:val="0"/>
          <w:divBdr>
            <w:top w:val="none" w:sz="0" w:space="0" w:color="auto"/>
            <w:left w:val="none" w:sz="0" w:space="0" w:color="auto"/>
            <w:bottom w:val="none" w:sz="0" w:space="0" w:color="auto"/>
            <w:right w:val="none" w:sz="0" w:space="0" w:color="auto"/>
          </w:divBdr>
        </w:div>
        <w:div w:id="787552312">
          <w:marLeft w:val="0"/>
          <w:marRight w:val="0"/>
          <w:marTop w:val="0"/>
          <w:marBottom w:val="0"/>
          <w:divBdr>
            <w:top w:val="none" w:sz="0" w:space="0" w:color="auto"/>
            <w:left w:val="none" w:sz="0" w:space="0" w:color="auto"/>
            <w:bottom w:val="none" w:sz="0" w:space="0" w:color="auto"/>
            <w:right w:val="none" w:sz="0" w:space="0" w:color="auto"/>
          </w:divBdr>
        </w:div>
        <w:div w:id="843324096">
          <w:marLeft w:val="0"/>
          <w:marRight w:val="0"/>
          <w:marTop w:val="0"/>
          <w:marBottom w:val="0"/>
          <w:divBdr>
            <w:top w:val="none" w:sz="0" w:space="0" w:color="auto"/>
            <w:left w:val="none" w:sz="0" w:space="0" w:color="auto"/>
            <w:bottom w:val="none" w:sz="0" w:space="0" w:color="auto"/>
            <w:right w:val="none" w:sz="0" w:space="0" w:color="auto"/>
          </w:divBdr>
        </w:div>
      </w:divsChild>
    </w:div>
    <w:div w:id="1743873302">
      <w:bodyDiv w:val="1"/>
      <w:marLeft w:val="0"/>
      <w:marRight w:val="0"/>
      <w:marTop w:val="0"/>
      <w:marBottom w:val="0"/>
      <w:divBdr>
        <w:top w:val="none" w:sz="0" w:space="0" w:color="auto"/>
        <w:left w:val="none" w:sz="0" w:space="0" w:color="auto"/>
        <w:bottom w:val="none" w:sz="0" w:space="0" w:color="auto"/>
        <w:right w:val="none" w:sz="0" w:space="0" w:color="auto"/>
      </w:divBdr>
      <w:divsChild>
        <w:div w:id="1951155878">
          <w:marLeft w:val="0"/>
          <w:marRight w:val="0"/>
          <w:marTop w:val="0"/>
          <w:marBottom w:val="0"/>
          <w:divBdr>
            <w:top w:val="none" w:sz="0" w:space="0" w:color="auto"/>
            <w:left w:val="none" w:sz="0" w:space="0" w:color="auto"/>
            <w:bottom w:val="none" w:sz="0" w:space="0" w:color="auto"/>
            <w:right w:val="none" w:sz="0" w:space="0" w:color="auto"/>
          </w:divBdr>
        </w:div>
      </w:divsChild>
    </w:div>
    <w:div w:id="1790196824">
      <w:bodyDiv w:val="1"/>
      <w:marLeft w:val="0"/>
      <w:marRight w:val="0"/>
      <w:marTop w:val="0"/>
      <w:marBottom w:val="0"/>
      <w:divBdr>
        <w:top w:val="none" w:sz="0" w:space="0" w:color="auto"/>
        <w:left w:val="none" w:sz="0" w:space="0" w:color="auto"/>
        <w:bottom w:val="none" w:sz="0" w:space="0" w:color="auto"/>
        <w:right w:val="none" w:sz="0" w:space="0" w:color="auto"/>
      </w:divBdr>
      <w:divsChild>
        <w:div w:id="513884958">
          <w:marLeft w:val="0"/>
          <w:marRight w:val="0"/>
          <w:marTop w:val="0"/>
          <w:marBottom w:val="0"/>
          <w:divBdr>
            <w:top w:val="none" w:sz="0" w:space="0" w:color="auto"/>
            <w:left w:val="none" w:sz="0" w:space="0" w:color="auto"/>
            <w:bottom w:val="none" w:sz="0" w:space="0" w:color="auto"/>
            <w:right w:val="none" w:sz="0" w:space="0" w:color="auto"/>
          </w:divBdr>
        </w:div>
      </w:divsChild>
    </w:div>
    <w:div w:id="1804231662">
      <w:bodyDiv w:val="1"/>
      <w:marLeft w:val="0"/>
      <w:marRight w:val="0"/>
      <w:marTop w:val="0"/>
      <w:marBottom w:val="0"/>
      <w:divBdr>
        <w:top w:val="none" w:sz="0" w:space="0" w:color="auto"/>
        <w:left w:val="none" w:sz="0" w:space="0" w:color="auto"/>
        <w:bottom w:val="none" w:sz="0" w:space="0" w:color="auto"/>
        <w:right w:val="none" w:sz="0" w:space="0" w:color="auto"/>
      </w:divBdr>
    </w:div>
    <w:div w:id="1949894975">
      <w:bodyDiv w:val="1"/>
      <w:marLeft w:val="0"/>
      <w:marRight w:val="0"/>
      <w:marTop w:val="0"/>
      <w:marBottom w:val="0"/>
      <w:divBdr>
        <w:top w:val="none" w:sz="0" w:space="0" w:color="auto"/>
        <w:left w:val="none" w:sz="0" w:space="0" w:color="auto"/>
        <w:bottom w:val="none" w:sz="0" w:space="0" w:color="auto"/>
        <w:right w:val="none" w:sz="0" w:space="0" w:color="auto"/>
      </w:divBdr>
      <w:divsChild>
        <w:div w:id="681081701">
          <w:marLeft w:val="0"/>
          <w:marRight w:val="0"/>
          <w:marTop w:val="0"/>
          <w:marBottom w:val="0"/>
          <w:divBdr>
            <w:top w:val="none" w:sz="0" w:space="0" w:color="auto"/>
            <w:left w:val="none" w:sz="0" w:space="0" w:color="auto"/>
            <w:bottom w:val="none" w:sz="0" w:space="0" w:color="auto"/>
            <w:right w:val="none" w:sz="0" w:space="0" w:color="auto"/>
          </w:divBdr>
        </w:div>
        <w:div w:id="35736653">
          <w:marLeft w:val="0"/>
          <w:marRight w:val="0"/>
          <w:marTop w:val="0"/>
          <w:marBottom w:val="0"/>
          <w:divBdr>
            <w:top w:val="none" w:sz="0" w:space="0" w:color="auto"/>
            <w:left w:val="none" w:sz="0" w:space="0" w:color="auto"/>
            <w:bottom w:val="none" w:sz="0" w:space="0" w:color="auto"/>
            <w:right w:val="none" w:sz="0" w:space="0" w:color="auto"/>
          </w:divBdr>
        </w:div>
        <w:div w:id="1365518652">
          <w:marLeft w:val="0"/>
          <w:marRight w:val="0"/>
          <w:marTop w:val="0"/>
          <w:marBottom w:val="0"/>
          <w:divBdr>
            <w:top w:val="none" w:sz="0" w:space="0" w:color="auto"/>
            <w:left w:val="none" w:sz="0" w:space="0" w:color="auto"/>
            <w:bottom w:val="none" w:sz="0" w:space="0" w:color="auto"/>
            <w:right w:val="none" w:sz="0" w:space="0" w:color="auto"/>
          </w:divBdr>
        </w:div>
      </w:divsChild>
    </w:div>
    <w:div w:id="1958564871">
      <w:bodyDiv w:val="1"/>
      <w:marLeft w:val="0"/>
      <w:marRight w:val="0"/>
      <w:marTop w:val="0"/>
      <w:marBottom w:val="0"/>
      <w:divBdr>
        <w:top w:val="none" w:sz="0" w:space="0" w:color="auto"/>
        <w:left w:val="none" w:sz="0" w:space="0" w:color="auto"/>
        <w:bottom w:val="none" w:sz="0" w:space="0" w:color="auto"/>
        <w:right w:val="none" w:sz="0" w:space="0" w:color="auto"/>
      </w:divBdr>
    </w:div>
    <w:div w:id="1978870994">
      <w:bodyDiv w:val="1"/>
      <w:marLeft w:val="0"/>
      <w:marRight w:val="0"/>
      <w:marTop w:val="0"/>
      <w:marBottom w:val="0"/>
      <w:divBdr>
        <w:top w:val="none" w:sz="0" w:space="0" w:color="auto"/>
        <w:left w:val="none" w:sz="0" w:space="0" w:color="auto"/>
        <w:bottom w:val="none" w:sz="0" w:space="0" w:color="auto"/>
        <w:right w:val="none" w:sz="0" w:space="0" w:color="auto"/>
      </w:divBdr>
      <w:divsChild>
        <w:div w:id="1515651485">
          <w:marLeft w:val="0"/>
          <w:marRight w:val="0"/>
          <w:marTop w:val="0"/>
          <w:marBottom w:val="0"/>
          <w:divBdr>
            <w:top w:val="none" w:sz="0" w:space="0" w:color="auto"/>
            <w:left w:val="none" w:sz="0" w:space="0" w:color="auto"/>
            <w:bottom w:val="none" w:sz="0" w:space="0" w:color="auto"/>
            <w:right w:val="none" w:sz="0" w:space="0" w:color="auto"/>
          </w:divBdr>
        </w:div>
      </w:divsChild>
    </w:div>
    <w:div w:id="2070035622">
      <w:bodyDiv w:val="1"/>
      <w:marLeft w:val="0"/>
      <w:marRight w:val="0"/>
      <w:marTop w:val="0"/>
      <w:marBottom w:val="0"/>
      <w:divBdr>
        <w:top w:val="none" w:sz="0" w:space="0" w:color="auto"/>
        <w:left w:val="none" w:sz="0" w:space="0" w:color="auto"/>
        <w:bottom w:val="none" w:sz="0" w:space="0" w:color="auto"/>
        <w:right w:val="none" w:sz="0" w:space="0" w:color="auto"/>
      </w:divBdr>
      <w:divsChild>
        <w:div w:id="575628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5-2018/2018/Lei/L13606.htm" TargetMode="External"/><Relationship Id="rId13" Type="http://schemas.openxmlformats.org/officeDocument/2006/relationships/hyperlink" Target="https://www.conjur.com.br/2016-abr-23/observatorio-constitucional-jurisdicao-fundamentacao-dever-coerencia-integridade-cp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jur.com.br/2021-out-06/gussoli-juridicidade-norma-motora-direito-administrativ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ciclopediajuridica.pucsp.br/verbete/177/edicao-1/coisa-julgad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lanalto.gov.br/ccivil_03/_Ato2015-2018/2018/Lei/L13606.htm" TargetMode="External"/><Relationship Id="rId4" Type="http://schemas.openxmlformats.org/officeDocument/2006/relationships/settings" Target="settings.xml"/><Relationship Id="rId9" Type="http://schemas.openxmlformats.org/officeDocument/2006/relationships/hyperlink" Target="https://www.planalto.gov.br/ccivil_03/_Ato2015-2018/2018/Lei/L13606.htm"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conjur.com.br/2016-abr-23/observatorio-constitucional-jurisdicao-fundamentacao-dever-coerencia-integridade-cpc" TargetMode="External"/><Relationship Id="rId2" Type="http://schemas.openxmlformats.org/officeDocument/2006/relationships/hyperlink" Target="https://jurisprudencia.stf.jus.br/pages/search?base=acordaos&amp;pesquisa_inteiro_teor=false&amp;sinonimo=true&amp;plural=true&amp;radicais=false&amp;buscaExata=true&amp;page=1&amp;pageSize=10&amp;queryString=%22teoria%20dos%20poderes%20impl%C3%ADcitos%22&amp;sort=_score&amp;sortBy=desc" TargetMode="External"/><Relationship Id="rId1" Type="http://schemas.openxmlformats.org/officeDocument/2006/relationships/hyperlink" Target="https://www.cnj.jus.br/judiciario-lanca-programa-para-destravar-processos-de-execucoes-fiscais/" TargetMode="External"/><Relationship Id="rId5" Type="http://schemas.openxmlformats.org/officeDocument/2006/relationships/hyperlink" Target="https://www.conjur.com.br/2021-out-06/gussoli-juridicidade-norma-motora-direito-administrativo" TargetMode="External"/><Relationship Id="rId4" Type="http://schemas.openxmlformats.org/officeDocument/2006/relationships/hyperlink" Target="https://enciclopediajuridica.pucsp.br/verbete/177/edicao-1/coisa-julgada"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A34B7-2D11-4602-A996-7424DF0A4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TotalTime>
  <Pages>17</Pages>
  <Words>6547</Words>
  <Characters>36665</Characters>
  <Application>Microsoft Office Word</Application>
  <DocSecurity>0</DocSecurity>
  <Lines>601</Lines>
  <Paragraphs>152</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43060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Mateus Rocha</cp:lastModifiedBy>
  <cp:revision>140</cp:revision>
  <dcterms:created xsi:type="dcterms:W3CDTF">2023-08-29T17:46:00Z</dcterms:created>
  <dcterms:modified xsi:type="dcterms:W3CDTF">2023-09-15T15:04:00Z</dcterms:modified>
  <cp:category/>
</cp:coreProperties>
</file>