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C506" w14:textId="769B2CD2" w:rsidR="004F6642" w:rsidRPr="00BA5F65" w:rsidRDefault="00DA7EFA" w:rsidP="00BA73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82E5571" w14:textId="77777777" w:rsidR="004F6642" w:rsidRPr="00BA5F65" w:rsidRDefault="004F6642" w:rsidP="00BA737D">
      <w:pPr>
        <w:spacing w:after="0"/>
        <w:jc w:val="center"/>
        <w:rPr>
          <w:rFonts w:ascii="Times New Roman" w:hAnsi="Times New Roman" w:cs="Times New Roman"/>
          <w:sz w:val="24"/>
          <w:szCs w:val="24"/>
        </w:rPr>
      </w:pPr>
    </w:p>
    <w:p w14:paraId="449096DC" w14:textId="77777777" w:rsidR="004F6642" w:rsidRDefault="004F6642" w:rsidP="00BA737D">
      <w:pPr>
        <w:spacing w:after="0" w:line="240" w:lineRule="auto"/>
        <w:jc w:val="both"/>
        <w:rPr>
          <w:rFonts w:ascii="Times New Roman" w:hAnsi="Times New Roman" w:cs="Times New Roman"/>
          <w:b/>
          <w:sz w:val="24"/>
          <w:szCs w:val="24"/>
        </w:rPr>
      </w:pPr>
    </w:p>
    <w:p w14:paraId="79F84258" w14:textId="77777777" w:rsidR="004F6642" w:rsidRDefault="004F6642" w:rsidP="00BA737D">
      <w:pPr>
        <w:spacing w:after="0" w:line="240" w:lineRule="auto"/>
        <w:jc w:val="both"/>
        <w:rPr>
          <w:rFonts w:ascii="Times New Roman" w:hAnsi="Times New Roman" w:cs="Times New Roman"/>
          <w:b/>
          <w:sz w:val="24"/>
          <w:szCs w:val="24"/>
        </w:rPr>
      </w:pPr>
    </w:p>
    <w:p w14:paraId="441634A9" w14:textId="77777777" w:rsidR="004F6642" w:rsidRDefault="004F6642" w:rsidP="00BA737D">
      <w:pPr>
        <w:spacing w:after="0" w:line="240" w:lineRule="auto"/>
        <w:jc w:val="both"/>
        <w:rPr>
          <w:rFonts w:ascii="Times New Roman" w:hAnsi="Times New Roman" w:cs="Times New Roman"/>
          <w:b/>
          <w:sz w:val="24"/>
          <w:szCs w:val="24"/>
        </w:rPr>
      </w:pPr>
    </w:p>
    <w:p w14:paraId="22EF19A1" w14:textId="77777777" w:rsidR="004F6642" w:rsidRDefault="004F6642" w:rsidP="00BA737D">
      <w:pPr>
        <w:spacing w:after="0" w:line="240" w:lineRule="auto"/>
        <w:jc w:val="both"/>
        <w:rPr>
          <w:rFonts w:ascii="Times New Roman" w:hAnsi="Times New Roman" w:cs="Times New Roman"/>
          <w:b/>
          <w:sz w:val="24"/>
          <w:szCs w:val="24"/>
        </w:rPr>
      </w:pPr>
    </w:p>
    <w:p w14:paraId="49B6EDFC" w14:textId="77777777" w:rsidR="004F6642" w:rsidRDefault="004F6642" w:rsidP="00BA737D">
      <w:pPr>
        <w:spacing w:after="0" w:line="240" w:lineRule="auto"/>
        <w:jc w:val="both"/>
        <w:rPr>
          <w:rFonts w:ascii="Times New Roman" w:hAnsi="Times New Roman" w:cs="Times New Roman"/>
          <w:b/>
          <w:sz w:val="24"/>
          <w:szCs w:val="24"/>
        </w:rPr>
      </w:pPr>
    </w:p>
    <w:p w14:paraId="09D4B4BE" w14:textId="77777777" w:rsidR="004F6642" w:rsidRDefault="004F6642" w:rsidP="00BA737D">
      <w:pPr>
        <w:spacing w:after="0" w:line="240" w:lineRule="auto"/>
        <w:jc w:val="both"/>
        <w:rPr>
          <w:rFonts w:ascii="Times New Roman" w:hAnsi="Times New Roman" w:cs="Times New Roman"/>
          <w:b/>
          <w:sz w:val="24"/>
          <w:szCs w:val="24"/>
        </w:rPr>
      </w:pPr>
    </w:p>
    <w:p w14:paraId="4026887B" w14:textId="77777777" w:rsidR="004F6642" w:rsidRDefault="004F6642" w:rsidP="00BA737D">
      <w:pPr>
        <w:spacing w:after="0" w:line="240" w:lineRule="auto"/>
        <w:jc w:val="both"/>
        <w:rPr>
          <w:rFonts w:ascii="Times New Roman" w:hAnsi="Times New Roman" w:cs="Times New Roman"/>
          <w:b/>
          <w:sz w:val="24"/>
          <w:szCs w:val="24"/>
        </w:rPr>
      </w:pPr>
    </w:p>
    <w:p w14:paraId="214EBE03" w14:textId="77777777" w:rsidR="00926AB7" w:rsidRDefault="00926AB7" w:rsidP="00BA737D">
      <w:pPr>
        <w:spacing w:after="0" w:line="240" w:lineRule="auto"/>
        <w:jc w:val="both"/>
        <w:rPr>
          <w:rFonts w:ascii="Times New Roman" w:hAnsi="Times New Roman" w:cs="Times New Roman"/>
          <w:b/>
          <w:sz w:val="24"/>
          <w:szCs w:val="24"/>
        </w:rPr>
      </w:pPr>
    </w:p>
    <w:p w14:paraId="64DC3F12" w14:textId="77777777" w:rsidR="00926AB7" w:rsidRDefault="00926AB7" w:rsidP="00BA737D">
      <w:pPr>
        <w:spacing w:after="0" w:line="240" w:lineRule="auto"/>
        <w:jc w:val="both"/>
        <w:rPr>
          <w:rFonts w:ascii="Times New Roman" w:hAnsi="Times New Roman" w:cs="Times New Roman"/>
          <w:b/>
          <w:sz w:val="24"/>
          <w:szCs w:val="24"/>
        </w:rPr>
      </w:pPr>
    </w:p>
    <w:p w14:paraId="706C8867" w14:textId="77777777" w:rsidR="004F6642" w:rsidRPr="0034202A" w:rsidRDefault="004F6642" w:rsidP="00BA737D">
      <w:pPr>
        <w:spacing w:after="0" w:line="240" w:lineRule="auto"/>
        <w:jc w:val="both"/>
        <w:rPr>
          <w:rFonts w:ascii="Times New Roman" w:hAnsi="Times New Roman" w:cs="Times New Roman"/>
          <w:b/>
          <w:sz w:val="28"/>
          <w:szCs w:val="28"/>
        </w:rPr>
      </w:pPr>
    </w:p>
    <w:p w14:paraId="0EB9C2B8" w14:textId="77777777" w:rsidR="00E57F84" w:rsidRDefault="00E57F84" w:rsidP="00BA737D">
      <w:pPr>
        <w:spacing w:after="0" w:line="240" w:lineRule="auto"/>
        <w:jc w:val="center"/>
        <w:rPr>
          <w:rFonts w:ascii="Times New Roman" w:hAnsi="Times New Roman" w:cs="Times New Roman"/>
          <w:b/>
          <w:color w:val="FF0000"/>
          <w:sz w:val="28"/>
          <w:szCs w:val="28"/>
        </w:rPr>
      </w:pPr>
    </w:p>
    <w:p w14:paraId="076FC485" w14:textId="77777777" w:rsidR="00E57F84" w:rsidRPr="00E57F84" w:rsidRDefault="000421C2" w:rsidP="00BA73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É CONSTITUCIONAL USAR</w:t>
      </w:r>
      <w:r w:rsidR="00E57F84" w:rsidRPr="00E57F84">
        <w:rPr>
          <w:rFonts w:ascii="Times New Roman" w:hAnsi="Times New Roman" w:cs="Times New Roman"/>
          <w:b/>
          <w:sz w:val="28"/>
          <w:szCs w:val="28"/>
        </w:rPr>
        <w:t xml:space="preserve"> DEPÓSITOS JUDICIAIS E ADMINISTRATIVOS PARA </w:t>
      </w:r>
      <w:r>
        <w:rPr>
          <w:rFonts w:ascii="Times New Roman" w:hAnsi="Times New Roman" w:cs="Times New Roman"/>
          <w:b/>
          <w:sz w:val="28"/>
          <w:szCs w:val="28"/>
        </w:rPr>
        <w:t xml:space="preserve">PAGAR </w:t>
      </w:r>
      <w:r w:rsidRPr="00E57F84">
        <w:rPr>
          <w:rFonts w:ascii="Times New Roman" w:hAnsi="Times New Roman" w:cs="Times New Roman"/>
          <w:b/>
          <w:sz w:val="28"/>
          <w:szCs w:val="28"/>
        </w:rPr>
        <w:t>PRECATÓRIOS</w:t>
      </w:r>
    </w:p>
    <w:p w14:paraId="65D2D437" w14:textId="77777777" w:rsidR="004F6642" w:rsidRDefault="004F6642" w:rsidP="00BA737D">
      <w:pPr>
        <w:spacing w:after="0" w:line="240" w:lineRule="auto"/>
        <w:jc w:val="both"/>
        <w:rPr>
          <w:rFonts w:ascii="Times New Roman" w:hAnsi="Times New Roman" w:cs="Times New Roman"/>
          <w:b/>
          <w:sz w:val="24"/>
          <w:szCs w:val="24"/>
        </w:rPr>
      </w:pPr>
    </w:p>
    <w:p w14:paraId="64244122" w14:textId="77777777" w:rsidR="004F6642" w:rsidRDefault="004F6642" w:rsidP="00BA737D">
      <w:pPr>
        <w:spacing w:after="0" w:line="240" w:lineRule="auto"/>
        <w:jc w:val="both"/>
        <w:rPr>
          <w:rFonts w:ascii="Times New Roman" w:hAnsi="Times New Roman" w:cs="Times New Roman"/>
          <w:b/>
          <w:sz w:val="24"/>
          <w:szCs w:val="24"/>
        </w:rPr>
      </w:pPr>
    </w:p>
    <w:p w14:paraId="5DE3988E" w14:textId="77777777" w:rsidR="004F6642" w:rsidRDefault="004F6642" w:rsidP="00BA737D">
      <w:pPr>
        <w:spacing w:after="0" w:line="240" w:lineRule="auto"/>
        <w:jc w:val="both"/>
        <w:rPr>
          <w:rFonts w:ascii="Times New Roman" w:hAnsi="Times New Roman" w:cs="Times New Roman"/>
          <w:b/>
          <w:sz w:val="24"/>
          <w:szCs w:val="24"/>
        </w:rPr>
      </w:pPr>
    </w:p>
    <w:p w14:paraId="7F606C4E" w14:textId="77777777" w:rsidR="004F6642" w:rsidRDefault="004F6642" w:rsidP="00BA737D">
      <w:pPr>
        <w:spacing w:after="0" w:line="240" w:lineRule="auto"/>
        <w:jc w:val="both"/>
        <w:rPr>
          <w:rFonts w:ascii="Times New Roman" w:hAnsi="Times New Roman" w:cs="Times New Roman"/>
          <w:b/>
          <w:sz w:val="24"/>
          <w:szCs w:val="24"/>
        </w:rPr>
      </w:pPr>
    </w:p>
    <w:p w14:paraId="3127DBAE" w14:textId="77777777" w:rsidR="004F6642" w:rsidRDefault="004F6642" w:rsidP="00BA737D">
      <w:pPr>
        <w:spacing w:after="0" w:line="240" w:lineRule="auto"/>
        <w:jc w:val="both"/>
        <w:rPr>
          <w:rFonts w:ascii="Times New Roman" w:hAnsi="Times New Roman" w:cs="Times New Roman"/>
          <w:b/>
          <w:sz w:val="24"/>
          <w:szCs w:val="24"/>
        </w:rPr>
      </w:pPr>
    </w:p>
    <w:p w14:paraId="6123790D" w14:textId="77777777" w:rsidR="004F6642" w:rsidRDefault="004F6642" w:rsidP="00BA737D">
      <w:pPr>
        <w:spacing w:after="0" w:line="240" w:lineRule="auto"/>
        <w:jc w:val="both"/>
        <w:rPr>
          <w:rFonts w:ascii="Times New Roman" w:hAnsi="Times New Roman" w:cs="Times New Roman"/>
          <w:b/>
          <w:sz w:val="24"/>
          <w:szCs w:val="24"/>
        </w:rPr>
      </w:pPr>
    </w:p>
    <w:p w14:paraId="28E7D592" w14:textId="77777777" w:rsidR="004F6642" w:rsidRDefault="004F6642" w:rsidP="00BA737D">
      <w:pPr>
        <w:spacing w:after="0" w:line="240" w:lineRule="auto"/>
        <w:jc w:val="both"/>
        <w:rPr>
          <w:rFonts w:ascii="Times New Roman" w:hAnsi="Times New Roman" w:cs="Times New Roman"/>
          <w:b/>
          <w:sz w:val="24"/>
          <w:szCs w:val="24"/>
        </w:rPr>
      </w:pPr>
    </w:p>
    <w:p w14:paraId="60F90074" w14:textId="77777777" w:rsidR="004F6642" w:rsidRDefault="004F6642" w:rsidP="00BA737D">
      <w:pPr>
        <w:spacing w:after="0" w:line="240" w:lineRule="auto"/>
        <w:jc w:val="both"/>
        <w:rPr>
          <w:rFonts w:ascii="Times New Roman" w:hAnsi="Times New Roman" w:cs="Times New Roman"/>
          <w:b/>
          <w:sz w:val="24"/>
          <w:szCs w:val="24"/>
        </w:rPr>
      </w:pPr>
    </w:p>
    <w:p w14:paraId="4B9347BE" w14:textId="77777777" w:rsidR="004F6642" w:rsidRDefault="004F6642" w:rsidP="00BA737D">
      <w:pPr>
        <w:spacing w:after="0" w:line="240" w:lineRule="auto"/>
        <w:jc w:val="both"/>
        <w:rPr>
          <w:rFonts w:ascii="Times New Roman" w:hAnsi="Times New Roman" w:cs="Times New Roman"/>
          <w:b/>
          <w:sz w:val="24"/>
          <w:szCs w:val="24"/>
        </w:rPr>
      </w:pPr>
    </w:p>
    <w:p w14:paraId="6C34298D" w14:textId="77777777" w:rsidR="002741F1" w:rsidRDefault="002741F1" w:rsidP="00BA737D">
      <w:pPr>
        <w:spacing w:after="0" w:line="240" w:lineRule="auto"/>
        <w:jc w:val="both"/>
        <w:rPr>
          <w:rFonts w:ascii="Times New Roman" w:hAnsi="Times New Roman" w:cs="Times New Roman"/>
          <w:b/>
          <w:sz w:val="24"/>
          <w:szCs w:val="24"/>
        </w:rPr>
      </w:pPr>
    </w:p>
    <w:p w14:paraId="282AE4C9" w14:textId="77777777" w:rsidR="002741F1" w:rsidRDefault="002741F1" w:rsidP="00BA737D">
      <w:pPr>
        <w:spacing w:after="0" w:line="240" w:lineRule="auto"/>
        <w:jc w:val="both"/>
        <w:rPr>
          <w:rFonts w:ascii="Times New Roman" w:hAnsi="Times New Roman" w:cs="Times New Roman"/>
          <w:b/>
          <w:sz w:val="24"/>
          <w:szCs w:val="24"/>
        </w:rPr>
      </w:pPr>
    </w:p>
    <w:p w14:paraId="1097AF7D" w14:textId="77777777" w:rsidR="002741F1" w:rsidRDefault="002741F1" w:rsidP="00BA737D">
      <w:pPr>
        <w:spacing w:after="0" w:line="240" w:lineRule="auto"/>
        <w:jc w:val="both"/>
        <w:rPr>
          <w:rFonts w:ascii="Times New Roman" w:hAnsi="Times New Roman" w:cs="Times New Roman"/>
          <w:b/>
          <w:sz w:val="24"/>
          <w:szCs w:val="24"/>
        </w:rPr>
      </w:pPr>
    </w:p>
    <w:p w14:paraId="2634184B" w14:textId="77777777" w:rsidR="004F6642" w:rsidRDefault="004F6642" w:rsidP="00BA737D">
      <w:pPr>
        <w:spacing w:after="0" w:line="240" w:lineRule="auto"/>
        <w:jc w:val="both"/>
        <w:rPr>
          <w:rFonts w:ascii="Times New Roman" w:hAnsi="Times New Roman" w:cs="Times New Roman"/>
          <w:b/>
          <w:sz w:val="24"/>
          <w:szCs w:val="24"/>
        </w:rPr>
      </w:pPr>
    </w:p>
    <w:p w14:paraId="3794AC78" w14:textId="77777777" w:rsidR="003971CB" w:rsidRDefault="003971CB" w:rsidP="00BA737D">
      <w:pPr>
        <w:spacing w:after="0" w:line="240" w:lineRule="auto"/>
        <w:jc w:val="both"/>
        <w:rPr>
          <w:rFonts w:ascii="Times New Roman" w:hAnsi="Times New Roman" w:cs="Times New Roman"/>
          <w:b/>
          <w:sz w:val="24"/>
          <w:szCs w:val="24"/>
        </w:rPr>
      </w:pPr>
    </w:p>
    <w:p w14:paraId="5DA94C69" w14:textId="77777777" w:rsidR="003971CB" w:rsidRDefault="003971CB" w:rsidP="00BA737D">
      <w:pPr>
        <w:spacing w:after="0" w:line="240" w:lineRule="auto"/>
        <w:jc w:val="both"/>
        <w:rPr>
          <w:rFonts w:ascii="Times New Roman" w:hAnsi="Times New Roman" w:cs="Times New Roman"/>
          <w:b/>
          <w:sz w:val="24"/>
          <w:szCs w:val="24"/>
        </w:rPr>
      </w:pPr>
    </w:p>
    <w:p w14:paraId="42E549A9" w14:textId="77777777" w:rsidR="003971CB" w:rsidRDefault="003971CB" w:rsidP="00BA737D">
      <w:pPr>
        <w:spacing w:after="0" w:line="240" w:lineRule="auto"/>
        <w:jc w:val="both"/>
        <w:rPr>
          <w:rFonts w:ascii="Times New Roman" w:hAnsi="Times New Roman" w:cs="Times New Roman"/>
          <w:b/>
          <w:sz w:val="24"/>
          <w:szCs w:val="24"/>
        </w:rPr>
      </w:pPr>
    </w:p>
    <w:p w14:paraId="7147B959" w14:textId="77777777" w:rsidR="003971CB" w:rsidRDefault="003971CB" w:rsidP="00BA737D">
      <w:pPr>
        <w:spacing w:after="0" w:line="240" w:lineRule="auto"/>
        <w:jc w:val="both"/>
        <w:rPr>
          <w:rFonts w:ascii="Times New Roman" w:hAnsi="Times New Roman" w:cs="Times New Roman"/>
          <w:b/>
          <w:sz w:val="24"/>
          <w:szCs w:val="24"/>
        </w:rPr>
      </w:pPr>
    </w:p>
    <w:p w14:paraId="679E8D2E" w14:textId="77777777" w:rsidR="003971CB" w:rsidRDefault="003971CB" w:rsidP="00BA737D">
      <w:pPr>
        <w:spacing w:after="0" w:line="240" w:lineRule="auto"/>
        <w:jc w:val="both"/>
        <w:rPr>
          <w:rFonts w:ascii="Times New Roman" w:hAnsi="Times New Roman" w:cs="Times New Roman"/>
          <w:b/>
          <w:sz w:val="24"/>
          <w:szCs w:val="24"/>
        </w:rPr>
      </w:pPr>
    </w:p>
    <w:p w14:paraId="489B15AC" w14:textId="77777777" w:rsidR="003971CB" w:rsidRDefault="003971CB" w:rsidP="00BA737D">
      <w:pPr>
        <w:spacing w:after="0" w:line="240" w:lineRule="auto"/>
        <w:jc w:val="both"/>
        <w:rPr>
          <w:rFonts w:ascii="Times New Roman" w:hAnsi="Times New Roman" w:cs="Times New Roman"/>
          <w:b/>
          <w:sz w:val="24"/>
          <w:szCs w:val="24"/>
        </w:rPr>
      </w:pPr>
    </w:p>
    <w:p w14:paraId="009B39E9" w14:textId="77777777" w:rsidR="003971CB" w:rsidRDefault="003971CB" w:rsidP="00BA737D">
      <w:pPr>
        <w:spacing w:after="0" w:line="240" w:lineRule="auto"/>
        <w:jc w:val="both"/>
        <w:rPr>
          <w:rFonts w:ascii="Times New Roman" w:hAnsi="Times New Roman" w:cs="Times New Roman"/>
          <w:b/>
          <w:sz w:val="24"/>
          <w:szCs w:val="24"/>
        </w:rPr>
      </w:pPr>
    </w:p>
    <w:p w14:paraId="5E094BA0" w14:textId="77777777" w:rsidR="003971CB" w:rsidRDefault="003971CB" w:rsidP="00BA737D">
      <w:pPr>
        <w:spacing w:after="0" w:line="240" w:lineRule="auto"/>
        <w:jc w:val="both"/>
        <w:rPr>
          <w:rFonts w:ascii="Times New Roman" w:hAnsi="Times New Roman" w:cs="Times New Roman"/>
          <w:b/>
          <w:sz w:val="24"/>
          <w:szCs w:val="24"/>
        </w:rPr>
      </w:pPr>
    </w:p>
    <w:p w14:paraId="25A72ADF" w14:textId="77777777" w:rsidR="003971CB" w:rsidRDefault="003971CB" w:rsidP="00BA737D">
      <w:pPr>
        <w:spacing w:after="0" w:line="240" w:lineRule="auto"/>
        <w:jc w:val="both"/>
        <w:rPr>
          <w:rFonts w:ascii="Times New Roman" w:hAnsi="Times New Roman" w:cs="Times New Roman"/>
          <w:b/>
          <w:sz w:val="24"/>
          <w:szCs w:val="24"/>
        </w:rPr>
      </w:pPr>
    </w:p>
    <w:p w14:paraId="1924619D" w14:textId="77777777" w:rsidR="003971CB" w:rsidRDefault="003971CB" w:rsidP="00BA737D">
      <w:pPr>
        <w:spacing w:after="0" w:line="240" w:lineRule="auto"/>
        <w:jc w:val="both"/>
        <w:rPr>
          <w:rFonts w:ascii="Times New Roman" w:hAnsi="Times New Roman" w:cs="Times New Roman"/>
          <w:b/>
          <w:sz w:val="24"/>
          <w:szCs w:val="24"/>
        </w:rPr>
      </w:pPr>
    </w:p>
    <w:p w14:paraId="23C18B25" w14:textId="77777777" w:rsidR="003971CB" w:rsidRDefault="003971CB" w:rsidP="00BA737D">
      <w:pPr>
        <w:spacing w:after="0" w:line="240" w:lineRule="auto"/>
        <w:jc w:val="both"/>
        <w:rPr>
          <w:rFonts w:ascii="Times New Roman" w:hAnsi="Times New Roman" w:cs="Times New Roman"/>
          <w:b/>
          <w:sz w:val="24"/>
          <w:szCs w:val="24"/>
        </w:rPr>
      </w:pPr>
    </w:p>
    <w:p w14:paraId="5303CC61" w14:textId="77777777" w:rsidR="003971CB" w:rsidRDefault="003971CB" w:rsidP="00BA737D">
      <w:pPr>
        <w:spacing w:after="0" w:line="240" w:lineRule="auto"/>
        <w:jc w:val="both"/>
        <w:rPr>
          <w:rFonts w:ascii="Times New Roman" w:hAnsi="Times New Roman" w:cs="Times New Roman"/>
          <w:b/>
          <w:sz w:val="24"/>
          <w:szCs w:val="24"/>
        </w:rPr>
      </w:pPr>
    </w:p>
    <w:p w14:paraId="53C47915" w14:textId="77777777" w:rsidR="003971CB" w:rsidRDefault="003971CB" w:rsidP="00BA737D">
      <w:pPr>
        <w:spacing w:after="0" w:line="240" w:lineRule="auto"/>
        <w:jc w:val="both"/>
        <w:rPr>
          <w:rFonts w:ascii="Times New Roman" w:hAnsi="Times New Roman" w:cs="Times New Roman"/>
          <w:b/>
          <w:sz w:val="24"/>
          <w:szCs w:val="24"/>
        </w:rPr>
      </w:pPr>
    </w:p>
    <w:p w14:paraId="3365FE49" w14:textId="77777777" w:rsidR="003971CB" w:rsidRDefault="003971CB" w:rsidP="00BA737D">
      <w:pPr>
        <w:spacing w:after="0" w:line="240" w:lineRule="auto"/>
        <w:jc w:val="both"/>
        <w:rPr>
          <w:rFonts w:ascii="Times New Roman" w:hAnsi="Times New Roman" w:cs="Times New Roman"/>
          <w:b/>
          <w:sz w:val="24"/>
          <w:szCs w:val="24"/>
        </w:rPr>
      </w:pPr>
    </w:p>
    <w:p w14:paraId="6AD90052" w14:textId="77777777" w:rsidR="003971CB" w:rsidRDefault="003971CB" w:rsidP="00BA737D">
      <w:pPr>
        <w:spacing w:after="0" w:line="240" w:lineRule="auto"/>
        <w:jc w:val="both"/>
        <w:rPr>
          <w:rFonts w:ascii="Times New Roman" w:hAnsi="Times New Roman" w:cs="Times New Roman"/>
          <w:b/>
          <w:sz w:val="24"/>
          <w:szCs w:val="24"/>
        </w:rPr>
      </w:pPr>
    </w:p>
    <w:p w14:paraId="21EE46C6" w14:textId="77777777" w:rsidR="004F6642" w:rsidRDefault="004F6642" w:rsidP="00BA7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Salvador</w:t>
      </w:r>
      <w:r w:rsidR="007E4355">
        <w:rPr>
          <w:rFonts w:ascii="Times New Roman" w:hAnsi="Times New Roman" w:cs="Times New Roman"/>
          <w:b/>
          <w:sz w:val="24"/>
          <w:szCs w:val="24"/>
        </w:rPr>
        <w:t xml:space="preserve"> - BA</w:t>
      </w:r>
    </w:p>
    <w:p w14:paraId="4D1DCC81" w14:textId="77777777" w:rsidR="004F6642" w:rsidRDefault="004F6642" w:rsidP="00BA7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14:paraId="0B3B6202" w14:textId="77777777" w:rsidR="0034202A" w:rsidRDefault="0034202A" w:rsidP="00BA737D">
      <w:pPr>
        <w:spacing w:after="0" w:line="240" w:lineRule="auto"/>
        <w:jc w:val="center"/>
        <w:rPr>
          <w:rFonts w:ascii="Times New Roman" w:hAnsi="Times New Roman" w:cs="Times New Roman"/>
          <w:b/>
          <w:sz w:val="24"/>
          <w:szCs w:val="24"/>
        </w:rPr>
      </w:pPr>
    </w:p>
    <w:p w14:paraId="002BA4D9" w14:textId="77777777" w:rsidR="000421C2" w:rsidRDefault="000421C2" w:rsidP="00BA737D">
      <w:pPr>
        <w:spacing w:after="0" w:line="240" w:lineRule="auto"/>
        <w:jc w:val="center"/>
        <w:rPr>
          <w:rFonts w:ascii="Times New Roman" w:hAnsi="Times New Roman" w:cs="Times New Roman"/>
          <w:b/>
          <w:sz w:val="28"/>
          <w:szCs w:val="28"/>
        </w:rPr>
      </w:pPr>
    </w:p>
    <w:p w14:paraId="255FBC33" w14:textId="77777777" w:rsidR="000421C2" w:rsidRPr="00E57F84" w:rsidRDefault="000421C2" w:rsidP="00BA73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É CONSTITUCIONAL USAR</w:t>
      </w:r>
      <w:r w:rsidRPr="00E57F84">
        <w:rPr>
          <w:rFonts w:ascii="Times New Roman" w:hAnsi="Times New Roman" w:cs="Times New Roman"/>
          <w:b/>
          <w:sz w:val="28"/>
          <w:szCs w:val="28"/>
        </w:rPr>
        <w:t xml:space="preserve"> DEPÓSITOS JUDICIAIS E ADMINISTRATIVOS PARA </w:t>
      </w:r>
      <w:r>
        <w:rPr>
          <w:rFonts w:ascii="Times New Roman" w:hAnsi="Times New Roman" w:cs="Times New Roman"/>
          <w:b/>
          <w:sz w:val="28"/>
          <w:szCs w:val="28"/>
        </w:rPr>
        <w:t xml:space="preserve">PAGAR </w:t>
      </w:r>
      <w:r w:rsidRPr="00E57F84">
        <w:rPr>
          <w:rFonts w:ascii="Times New Roman" w:hAnsi="Times New Roman" w:cs="Times New Roman"/>
          <w:b/>
          <w:sz w:val="28"/>
          <w:szCs w:val="28"/>
        </w:rPr>
        <w:t>PRECATÓRIOS</w:t>
      </w:r>
    </w:p>
    <w:p w14:paraId="64C3C02D" w14:textId="77777777" w:rsidR="0034202A" w:rsidRDefault="0034202A" w:rsidP="00BA737D">
      <w:pPr>
        <w:spacing w:after="0" w:line="240" w:lineRule="auto"/>
        <w:jc w:val="center"/>
        <w:rPr>
          <w:rFonts w:ascii="Times New Roman" w:hAnsi="Times New Roman" w:cs="Times New Roman"/>
          <w:b/>
          <w:sz w:val="28"/>
          <w:szCs w:val="28"/>
        </w:rPr>
      </w:pPr>
    </w:p>
    <w:p w14:paraId="44B069CB" w14:textId="77777777" w:rsidR="005179CD" w:rsidRDefault="005179CD" w:rsidP="00BA737D">
      <w:pPr>
        <w:spacing w:after="0" w:line="240" w:lineRule="auto"/>
        <w:jc w:val="center"/>
        <w:rPr>
          <w:rFonts w:ascii="Times New Roman" w:hAnsi="Times New Roman" w:cs="Times New Roman"/>
          <w:b/>
          <w:sz w:val="28"/>
          <w:szCs w:val="28"/>
        </w:rPr>
      </w:pPr>
    </w:p>
    <w:p w14:paraId="3ED77CB8" w14:textId="77777777" w:rsidR="00A66A11" w:rsidRDefault="00A66A11" w:rsidP="00BA737D">
      <w:pPr>
        <w:spacing w:after="0" w:line="240" w:lineRule="auto"/>
        <w:jc w:val="center"/>
        <w:rPr>
          <w:rFonts w:ascii="Times New Roman" w:hAnsi="Times New Roman" w:cs="Times New Roman"/>
          <w:sz w:val="24"/>
          <w:szCs w:val="24"/>
        </w:rPr>
      </w:pPr>
    </w:p>
    <w:p w14:paraId="6BD86EDD" w14:textId="77777777" w:rsidR="00046660" w:rsidRPr="005314D0" w:rsidRDefault="005B5854" w:rsidP="00BA737D">
      <w:pPr>
        <w:spacing w:after="0" w:line="360" w:lineRule="auto"/>
        <w:jc w:val="both"/>
        <w:rPr>
          <w:rFonts w:ascii="Times New Roman" w:hAnsi="Times New Roman" w:cs="Times New Roman"/>
          <w:sz w:val="24"/>
          <w:szCs w:val="24"/>
        </w:rPr>
      </w:pPr>
      <w:r w:rsidRPr="005179CD">
        <w:rPr>
          <w:rFonts w:ascii="Times New Roman" w:hAnsi="Times New Roman" w:cs="Times New Roman"/>
          <w:b/>
          <w:bCs/>
          <w:sz w:val="24"/>
          <w:szCs w:val="24"/>
        </w:rPr>
        <w:t>SUMÁRIO:</w:t>
      </w:r>
      <w:r w:rsidR="00BA737D">
        <w:rPr>
          <w:rFonts w:ascii="Times New Roman" w:hAnsi="Times New Roman" w:cs="Times New Roman"/>
          <w:b/>
          <w:bCs/>
          <w:sz w:val="24"/>
          <w:szCs w:val="24"/>
        </w:rPr>
        <w:t xml:space="preserve"> </w:t>
      </w:r>
      <w:r w:rsidR="007B4AD4" w:rsidRPr="005314D0">
        <w:rPr>
          <w:rFonts w:ascii="Times New Roman" w:hAnsi="Times New Roman" w:cs="Times New Roman"/>
          <w:sz w:val="24"/>
          <w:szCs w:val="24"/>
        </w:rPr>
        <w:t>I</w:t>
      </w:r>
      <w:r w:rsidR="00BA737D">
        <w:rPr>
          <w:rFonts w:ascii="Times New Roman" w:hAnsi="Times New Roman" w:cs="Times New Roman"/>
          <w:sz w:val="24"/>
          <w:szCs w:val="24"/>
        </w:rPr>
        <w:t>ntrodução</w:t>
      </w:r>
      <w:r w:rsidR="007B4AD4" w:rsidRPr="005314D0">
        <w:rPr>
          <w:rFonts w:ascii="Times New Roman" w:hAnsi="Times New Roman" w:cs="Times New Roman"/>
          <w:sz w:val="24"/>
          <w:szCs w:val="24"/>
        </w:rPr>
        <w:t xml:space="preserve">. 1. O </w:t>
      </w:r>
      <w:r w:rsidR="00BA737D">
        <w:rPr>
          <w:rFonts w:ascii="Times New Roman" w:hAnsi="Times New Roman" w:cs="Times New Roman"/>
          <w:sz w:val="24"/>
          <w:szCs w:val="24"/>
        </w:rPr>
        <w:t>panorama do regime dos precatórios</w:t>
      </w:r>
      <w:r w:rsidR="007B4AD4" w:rsidRPr="005314D0">
        <w:rPr>
          <w:rFonts w:ascii="Times New Roman" w:hAnsi="Times New Roman" w:cs="Times New Roman"/>
          <w:sz w:val="24"/>
          <w:szCs w:val="24"/>
        </w:rPr>
        <w:t xml:space="preserve">. 2. </w:t>
      </w:r>
      <w:r w:rsidR="00BA737D">
        <w:rPr>
          <w:rFonts w:ascii="Times New Roman" w:hAnsi="Times New Roman" w:cs="Times New Roman"/>
          <w:sz w:val="24"/>
          <w:szCs w:val="24"/>
        </w:rPr>
        <w:t>A</w:t>
      </w:r>
      <w:r w:rsidR="00BA737D" w:rsidRPr="005314D0">
        <w:rPr>
          <w:rFonts w:ascii="Times New Roman" w:hAnsi="Times New Roman" w:cs="Times New Roman"/>
          <w:sz w:val="24"/>
          <w:szCs w:val="24"/>
        </w:rPr>
        <w:t xml:space="preserve"> constituci</w:t>
      </w:r>
      <w:r w:rsidR="00BA737D">
        <w:rPr>
          <w:rFonts w:ascii="Times New Roman" w:hAnsi="Times New Roman" w:cs="Times New Roman"/>
          <w:sz w:val="24"/>
          <w:szCs w:val="24"/>
        </w:rPr>
        <w:t>onalidade material dos incisos I e II</w:t>
      </w:r>
      <w:r w:rsidR="00BA737D" w:rsidRPr="005314D0">
        <w:rPr>
          <w:rFonts w:ascii="Times New Roman" w:hAnsi="Times New Roman" w:cs="Times New Roman"/>
          <w:sz w:val="24"/>
          <w:szCs w:val="24"/>
        </w:rPr>
        <w:t xml:space="preserve"> do § 2º do art. 101 do ADCT: 2.1 – Os incisos não tendem a abolir o direito fundamental de propriedade: 2.1.1 – O depósito transfere a propriedade, 2.1.2 – Os bancos e o Poder Judiciário rateiam o spread dos depósitos, 2.1.3 – O histórico das</w:t>
      </w:r>
      <w:r w:rsidR="00BA737D">
        <w:rPr>
          <w:rFonts w:ascii="Times New Roman" w:hAnsi="Times New Roman" w:cs="Times New Roman"/>
          <w:sz w:val="24"/>
          <w:szCs w:val="24"/>
        </w:rPr>
        <w:t xml:space="preserve"> </w:t>
      </w:r>
      <w:r w:rsidR="00BA737D" w:rsidRPr="005314D0">
        <w:rPr>
          <w:rFonts w:ascii="Times New Roman" w:hAnsi="Times New Roman" w:cs="Times New Roman"/>
          <w:sz w:val="24"/>
          <w:szCs w:val="24"/>
        </w:rPr>
        <w:t>normas</w:t>
      </w:r>
      <w:r w:rsidR="00BA737D">
        <w:rPr>
          <w:rFonts w:ascii="Times New Roman" w:hAnsi="Times New Roman" w:cs="Times New Roman"/>
          <w:sz w:val="24"/>
          <w:szCs w:val="24"/>
        </w:rPr>
        <w:t xml:space="preserve"> </w:t>
      </w:r>
      <w:r w:rsidR="00BA737D" w:rsidRPr="005314D0">
        <w:rPr>
          <w:rFonts w:ascii="Times New Roman" w:hAnsi="Times New Roman" w:cs="Times New Roman"/>
          <w:sz w:val="24"/>
          <w:szCs w:val="24"/>
        </w:rPr>
        <w:t>que previram o uso dos depósitos pela Administração Pública e das decisões que controlaram a constitucionalidade delas, 2.1.4 – O direito pessoal de crédito dos depositantes é assegurado por medidas robustas, 2.1.5 – O uso dos depósitos não tende a abolir o direito fundamental de propriedade; 2.2 – Os incisos não tendem a abolir o direito fundamental ao acesso à justiça, o princípio do devido processo legal, o direito fundamental à razoável duração do processo e o princípio da separação dos poderes;</w:t>
      </w:r>
      <w:r w:rsidR="00BA737D">
        <w:rPr>
          <w:rFonts w:ascii="Times New Roman" w:hAnsi="Times New Roman" w:cs="Times New Roman"/>
          <w:sz w:val="24"/>
          <w:szCs w:val="24"/>
        </w:rPr>
        <w:t xml:space="preserve"> </w:t>
      </w:r>
      <w:r w:rsidR="00BA737D" w:rsidRPr="005314D0">
        <w:rPr>
          <w:rFonts w:ascii="Times New Roman" w:hAnsi="Times New Roman" w:cs="Times New Roman"/>
          <w:sz w:val="24"/>
          <w:szCs w:val="24"/>
        </w:rPr>
        <w:t>2.</w:t>
      </w:r>
      <w:r w:rsidR="00BA737D">
        <w:rPr>
          <w:rFonts w:ascii="Times New Roman" w:hAnsi="Times New Roman" w:cs="Times New Roman"/>
          <w:sz w:val="24"/>
          <w:szCs w:val="24"/>
        </w:rPr>
        <w:t>3</w:t>
      </w:r>
      <w:r w:rsidR="00BA737D" w:rsidRPr="005314D0">
        <w:rPr>
          <w:rFonts w:ascii="Times New Roman" w:hAnsi="Times New Roman" w:cs="Times New Roman"/>
          <w:sz w:val="24"/>
          <w:szCs w:val="24"/>
        </w:rPr>
        <w:t xml:space="preserve"> - A declaração de inconstitucionalidade produzirá consequências danosas para a economia</w:t>
      </w:r>
      <w:r w:rsidR="00BA737D">
        <w:rPr>
          <w:rFonts w:ascii="Times New Roman" w:hAnsi="Times New Roman" w:cs="Times New Roman"/>
          <w:sz w:val="24"/>
          <w:szCs w:val="24"/>
        </w:rPr>
        <w:t xml:space="preserve">; </w:t>
      </w:r>
      <w:r w:rsidR="00BA737D" w:rsidRPr="005314D0">
        <w:rPr>
          <w:rFonts w:ascii="Times New Roman" w:hAnsi="Times New Roman" w:cs="Times New Roman"/>
          <w:sz w:val="24"/>
          <w:szCs w:val="24"/>
        </w:rPr>
        <w:t>2.</w:t>
      </w:r>
      <w:r w:rsidR="00BA737D">
        <w:rPr>
          <w:rFonts w:ascii="Times New Roman" w:hAnsi="Times New Roman" w:cs="Times New Roman"/>
          <w:sz w:val="24"/>
          <w:szCs w:val="24"/>
        </w:rPr>
        <w:t>4</w:t>
      </w:r>
      <w:r w:rsidR="00BA737D" w:rsidRPr="005314D0">
        <w:rPr>
          <w:rFonts w:ascii="Times New Roman" w:hAnsi="Times New Roman" w:cs="Times New Roman"/>
          <w:sz w:val="24"/>
          <w:szCs w:val="24"/>
        </w:rPr>
        <w:t xml:space="preserve"> – Os parâmetros do controle de constitucionalidade e o dever de autocontenção judicial.</w:t>
      </w:r>
      <w:r w:rsidRPr="005314D0">
        <w:rPr>
          <w:rFonts w:ascii="Times New Roman" w:hAnsi="Times New Roman" w:cs="Times New Roman"/>
          <w:sz w:val="24"/>
          <w:szCs w:val="24"/>
        </w:rPr>
        <w:t xml:space="preserve"> </w:t>
      </w:r>
      <w:r w:rsidR="00BA737D">
        <w:rPr>
          <w:rFonts w:ascii="Times New Roman" w:hAnsi="Times New Roman" w:cs="Times New Roman"/>
          <w:sz w:val="24"/>
          <w:szCs w:val="24"/>
        </w:rPr>
        <w:t>Conclusão</w:t>
      </w:r>
      <w:r w:rsidR="007B4AD4" w:rsidRPr="005314D0">
        <w:rPr>
          <w:rFonts w:ascii="Times New Roman" w:hAnsi="Times New Roman" w:cs="Times New Roman"/>
          <w:sz w:val="24"/>
          <w:szCs w:val="24"/>
        </w:rPr>
        <w:t>.</w:t>
      </w:r>
    </w:p>
    <w:p w14:paraId="69221430" w14:textId="77777777" w:rsidR="00726E27" w:rsidRPr="00BA5F65" w:rsidRDefault="00726E27" w:rsidP="00BA737D">
      <w:pPr>
        <w:spacing w:after="0" w:line="240" w:lineRule="auto"/>
        <w:jc w:val="both"/>
        <w:rPr>
          <w:rFonts w:ascii="Times New Roman" w:hAnsi="Times New Roman" w:cs="Times New Roman"/>
          <w:sz w:val="24"/>
          <w:szCs w:val="24"/>
        </w:rPr>
      </w:pPr>
    </w:p>
    <w:p w14:paraId="5B6D51AC" w14:textId="77777777" w:rsidR="008C6C83" w:rsidRPr="00DC0E69" w:rsidRDefault="008C6C83" w:rsidP="00BA737D">
      <w:pPr>
        <w:spacing w:after="0" w:line="360" w:lineRule="auto"/>
        <w:jc w:val="both"/>
        <w:rPr>
          <w:rFonts w:ascii="Times New Roman" w:hAnsi="Times New Roman" w:cs="Times New Roman"/>
          <w:sz w:val="24"/>
          <w:szCs w:val="24"/>
        </w:rPr>
      </w:pPr>
      <w:r w:rsidRPr="005179CD">
        <w:rPr>
          <w:rFonts w:ascii="Times New Roman" w:hAnsi="Times New Roman" w:cs="Times New Roman"/>
          <w:b/>
          <w:bCs/>
          <w:sz w:val="24"/>
          <w:szCs w:val="24"/>
        </w:rPr>
        <w:t>Resumo:</w:t>
      </w:r>
      <w:r w:rsidRPr="00DC0E69">
        <w:rPr>
          <w:rFonts w:ascii="Times New Roman" w:hAnsi="Times New Roman" w:cs="Times New Roman"/>
          <w:sz w:val="24"/>
          <w:szCs w:val="24"/>
        </w:rPr>
        <w:t xml:space="preserve"> O artigo </w:t>
      </w:r>
      <w:r w:rsidR="00BA737D" w:rsidRPr="00DC0E69">
        <w:rPr>
          <w:rFonts w:ascii="Times New Roman" w:hAnsi="Times New Roman" w:cs="Times New Roman"/>
          <w:sz w:val="24"/>
          <w:szCs w:val="24"/>
        </w:rPr>
        <w:t>analisa</w:t>
      </w:r>
      <w:r w:rsidR="00BA737D">
        <w:rPr>
          <w:rFonts w:ascii="Times New Roman" w:hAnsi="Times New Roman" w:cs="Times New Roman"/>
          <w:sz w:val="24"/>
          <w:szCs w:val="24"/>
        </w:rPr>
        <w:t xml:space="preserve"> </w:t>
      </w:r>
      <w:r w:rsidR="00BA737D" w:rsidRPr="00DC0E69">
        <w:rPr>
          <w:rFonts w:ascii="Times New Roman" w:hAnsi="Times New Roman" w:cs="Times New Roman"/>
          <w:sz w:val="24"/>
          <w:szCs w:val="24"/>
        </w:rPr>
        <w:t>a</w:t>
      </w:r>
      <w:r w:rsidR="00560244" w:rsidRPr="00DC0E69">
        <w:rPr>
          <w:rFonts w:ascii="Times New Roman" w:hAnsi="Times New Roman" w:cs="Times New Roman"/>
          <w:sz w:val="24"/>
          <w:szCs w:val="24"/>
        </w:rPr>
        <w:t xml:space="preserve"> </w:t>
      </w:r>
      <w:r w:rsidRPr="00DC0E69">
        <w:rPr>
          <w:rFonts w:ascii="Times New Roman" w:hAnsi="Times New Roman" w:cs="Times New Roman"/>
          <w:sz w:val="24"/>
          <w:szCs w:val="24"/>
        </w:rPr>
        <w:t xml:space="preserve">constitucionalidade </w:t>
      </w:r>
      <w:r w:rsidR="00AF5483" w:rsidRPr="00DC0E69">
        <w:rPr>
          <w:rFonts w:ascii="Times New Roman" w:hAnsi="Times New Roman" w:cs="Times New Roman"/>
          <w:sz w:val="24"/>
          <w:szCs w:val="24"/>
        </w:rPr>
        <w:t>da</w:t>
      </w:r>
      <w:r w:rsidR="00263321" w:rsidRPr="00DC0E69">
        <w:rPr>
          <w:rFonts w:ascii="Times New Roman" w:hAnsi="Times New Roman" w:cs="Times New Roman"/>
          <w:sz w:val="24"/>
          <w:szCs w:val="24"/>
        </w:rPr>
        <w:t>s</w:t>
      </w:r>
      <w:r w:rsidR="00AF5483" w:rsidRPr="00DC0E69">
        <w:rPr>
          <w:rFonts w:ascii="Times New Roman" w:hAnsi="Times New Roman" w:cs="Times New Roman"/>
          <w:sz w:val="24"/>
          <w:szCs w:val="24"/>
        </w:rPr>
        <w:t xml:space="preserve"> normas </w:t>
      </w:r>
      <w:r w:rsidR="00434DE4" w:rsidRPr="00DC0E69">
        <w:rPr>
          <w:rFonts w:ascii="Times New Roman" w:hAnsi="Times New Roman" w:cs="Times New Roman"/>
          <w:sz w:val="24"/>
          <w:szCs w:val="24"/>
        </w:rPr>
        <w:t xml:space="preserve">do constituinte derivado que </w:t>
      </w:r>
      <w:r w:rsidR="00AF5483" w:rsidRPr="00DC0E69">
        <w:rPr>
          <w:rFonts w:ascii="Times New Roman" w:hAnsi="Times New Roman" w:cs="Times New Roman"/>
          <w:sz w:val="24"/>
          <w:szCs w:val="24"/>
        </w:rPr>
        <w:t>autoriza</w:t>
      </w:r>
      <w:r w:rsidR="00434DE4" w:rsidRPr="00DC0E69">
        <w:rPr>
          <w:rFonts w:ascii="Times New Roman" w:hAnsi="Times New Roman" w:cs="Times New Roman"/>
          <w:sz w:val="24"/>
          <w:szCs w:val="24"/>
        </w:rPr>
        <w:t xml:space="preserve">m </w:t>
      </w:r>
      <w:r w:rsidR="00AF5483" w:rsidRPr="00DC0E69">
        <w:rPr>
          <w:rFonts w:ascii="Times New Roman" w:hAnsi="Times New Roman" w:cs="Times New Roman"/>
          <w:sz w:val="24"/>
          <w:szCs w:val="24"/>
        </w:rPr>
        <w:t>o</w:t>
      </w:r>
      <w:r w:rsidR="002741F1" w:rsidRPr="00DC0E69">
        <w:rPr>
          <w:rFonts w:ascii="Times New Roman" w:hAnsi="Times New Roman" w:cs="Times New Roman"/>
          <w:sz w:val="24"/>
          <w:szCs w:val="24"/>
        </w:rPr>
        <w:t xml:space="preserve">uso dos depósitos judiciais e administrativos </w:t>
      </w:r>
      <w:r w:rsidR="00243219" w:rsidRPr="00DC0E69">
        <w:rPr>
          <w:rFonts w:ascii="Times New Roman" w:hAnsi="Times New Roman" w:cs="Times New Roman"/>
          <w:sz w:val="24"/>
          <w:szCs w:val="24"/>
        </w:rPr>
        <w:t>para pagar</w:t>
      </w:r>
      <w:r w:rsidR="002741F1" w:rsidRPr="00DC0E69">
        <w:rPr>
          <w:rFonts w:ascii="Times New Roman" w:hAnsi="Times New Roman" w:cs="Times New Roman"/>
          <w:sz w:val="24"/>
          <w:szCs w:val="24"/>
        </w:rPr>
        <w:t xml:space="preserve"> precatórios</w:t>
      </w:r>
      <w:r w:rsidR="003827CE" w:rsidRPr="00DC0E69">
        <w:rPr>
          <w:rFonts w:ascii="Times New Roman" w:hAnsi="Times New Roman" w:cs="Times New Roman"/>
          <w:sz w:val="24"/>
          <w:szCs w:val="24"/>
        </w:rPr>
        <w:t>.</w:t>
      </w:r>
    </w:p>
    <w:p w14:paraId="0BE32454" w14:textId="77777777" w:rsidR="00215E44" w:rsidRDefault="00215E44" w:rsidP="00BA737D">
      <w:pPr>
        <w:spacing w:after="0" w:line="240" w:lineRule="auto"/>
        <w:jc w:val="both"/>
        <w:rPr>
          <w:rFonts w:ascii="Times New Roman" w:hAnsi="Times New Roman" w:cs="Times New Roman"/>
          <w:sz w:val="24"/>
          <w:szCs w:val="24"/>
        </w:rPr>
      </w:pPr>
    </w:p>
    <w:p w14:paraId="23F57320" w14:textId="77777777" w:rsidR="008C6C83" w:rsidRPr="00BA5F65" w:rsidRDefault="008C6C83" w:rsidP="00BA737D">
      <w:pPr>
        <w:spacing w:after="0" w:line="360" w:lineRule="auto"/>
        <w:jc w:val="both"/>
        <w:rPr>
          <w:rFonts w:ascii="Times New Roman" w:hAnsi="Times New Roman" w:cs="Times New Roman"/>
          <w:b/>
          <w:sz w:val="24"/>
          <w:szCs w:val="24"/>
        </w:rPr>
      </w:pPr>
      <w:r w:rsidRPr="00BA5F65">
        <w:rPr>
          <w:rFonts w:ascii="Times New Roman" w:hAnsi="Times New Roman" w:cs="Times New Roman"/>
          <w:b/>
          <w:sz w:val="24"/>
          <w:szCs w:val="24"/>
        </w:rPr>
        <w:t>INTRODUÇÃO</w:t>
      </w:r>
    </w:p>
    <w:p w14:paraId="1A4E467A" w14:textId="77777777" w:rsidR="00BF074F" w:rsidRDefault="00C605C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64363A">
        <w:rPr>
          <w:rFonts w:ascii="Times New Roman" w:hAnsi="Times New Roman" w:cs="Times New Roman"/>
          <w:sz w:val="24"/>
          <w:szCs w:val="24"/>
        </w:rPr>
        <w:t xml:space="preserve"> constituinte </w:t>
      </w:r>
      <w:r w:rsidR="00FB4521">
        <w:rPr>
          <w:rFonts w:ascii="Times New Roman" w:hAnsi="Times New Roman" w:cs="Times New Roman"/>
          <w:sz w:val="24"/>
          <w:szCs w:val="24"/>
        </w:rPr>
        <w:t xml:space="preserve">derivado </w:t>
      </w:r>
      <w:r w:rsidR="00BA737D">
        <w:rPr>
          <w:rFonts w:ascii="Times New Roman" w:hAnsi="Times New Roman" w:cs="Times New Roman"/>
          <w:sz w:val="24"/>
          <w:szCs w:val="24"/>
        </w:rPr>
        <w:t>possibilitou o</w:t>
      </w:r>
      <w:r w:rsidR="00491BD4">
        <w:rPr>
          <w:rFonts w:ascii="Times New Roman" w:hAnsi="Times New Roman" w:cs="Times New Roman"/>
          <w:sz w:val="24"/>
          <w:szCs w:val="24"/>
        </w:rPr>
        <w:t xml:space="preserve"> uso </w:t>
      </w:r>
      <w:r w:rsidR="00E047CC">
        <w:rPr>
          <w:rFonts w:ascii="Times New Roman" w:hAnsi="Times New Roman" w:cs="Times New Roman"/>
          <w:sz w:val="24"/>
          <w:szCs w:val="24"/>
        </w:rPr>
        <w:t xml:space="preserve">de parte </w:t>
      </w:r>
      <w:r w:rsidR="00491BD4">
        <w:rPr>
          <w:rFonts w:ascii="Times New Roman" w:hAnsi="Times New Roman" w:cs="Times New Roman"/>
          <w:sz w:val="24"/>
          <w:szCs w:val="24"/>
        </w:rPr>
        <w:t>dos depósitos judicia</w:t>
      </w:r>
      <w:r w:rsidR="005D11DE">
        <w:rPr>
          <w:rFonts w:ascii="Times New Roman" w:hAnsi="Times New Roman" w:cs="Times New Roman"/>
          <w:sz w:val="24"/>
          <w:szCs w:val="24"/>
        </w:rPr>
        <w:t>is e administrativos</w:t>
      </w:r>
      <w:r w:rsidR="00E047CC">
        <w:rPr>
          <w:rFonts w:ascii="Times New Roman" w:hAnsi="Times New Roman" w:cs="Times New Roman"/>
          <w:sz w:val="24"/>
          <w:szCs w:val="24"/>
        </w:rPr>
        <w:t xml:space="preserve"> para o pagamento de precatórios</w:t>
      </w:r>
      <w:r w:rsidR="00F334D9">
        <w:rPr>
          <w:rFonts w:ascii="Times New Roman" w:hAnsi="Times New Roman" w:cs="Times New Roman"/>
          <w:sz w:val="24"/>
          <w:szCs w:val="24"/>
        </w:rPr>
        <w:t xml:space="preserve">. Ele assim o fez </w:t>
      </w:r>
      <w:r w:rsidR="004F7976">
        <w:rPr>
          <w:rFonts w:ascii="Times New Roman" w:hAnsi="Times New Roman" w:cs="Times New Roman"/>
          <w:sz w:val="24"/>
          <w:szCs w:val="24"/>
        </w:rPr>
        <w:t xml:space="preserve">por entender que a medida </w:t>
      </w:r>
      <w:r w:rsidR="002B30CD">
        <w:rPr>
          <w:rFonts w:ascii="Times New Roman" w:hAnsi="Times New Roman" w:cs="Times New Roman"/>
          <w:sz w:val="24"/>
          <w:szCs w:val="24"/>
        </w:rPr>
        <w:t>viabilizaria</w:t>
      </w:r>
      <w:r w:rsidR="00486067">
        <w:rPr>
          <w:rFonts w:ascii="Times New Roman" w:hAnsi="Times New Roman" w:cs="Times New Roman"/>
          <w:sz w:val="24"/>
          <w:szCs w:val="24"/>
        </w:rPr>
        <w:t xml:space="preserve"> a </w:t>
      </w:r>
      <w:r w:rsidR="002B30CD">
        <w:rPr>
          <w:rFonts w:ascii="Times New Roman" w:hAnsi="Times New Roman" w:cs="Times New Roman"/>
          <w:sz w:val="24"/>
          <w:szCs w:val="24"/>
        </w:rPr>
        <w:t>satisfação</w:t>
      </w:r>
      <w:r w:rsidR="00BA737D">
        <w:rPr>
          <w:rFonts w:ascii="Times New Roman" w:hAnsi="Times New Roman" w:cs="Times New Roman"/>
          <w:sz w:val="24"/>
          <w:szCs w:val="24"/>
        </w:rPr>
        <w:t xml:space="preserve"> dos credores</w:t>
      </w:r>
      <w:r w:rsidR="00486067">
        <w:rPr>
          <w:rFonts w:ascii="Times New Roman" w:hAnsi="Times New Roman" w:cs="Times New Roman"/>
          <w:sz w:val="24"/>
          <w:szCs w:val="24"/>
        </w:rPr>
        <w:t xml:space="preserve"> e a diminuição da dívida pública. </w:t>
      </w:r>
      <w:r w:rsidR="00212706">
        <w:rPr>
          <w:rFonts w:ascii="Times New Roman" w:hAnsi="Times New Roman" w:cs="Times New Roman"/>
          <w:sz w:val="24"/>
          <w:szCs w:val="24"/>
        </w:rPr>
        <w:t xml:space="preserve">Não obstante, </w:t>
      </w:r>
      <w:r w:rsidR="00E807BF">
        <w:rPr>
          <w:rFonts w:ascii="Times New Roman" w:hAnsi="Times New Roman" w:cs="Times New Roman"/>
          <w:sz w:val="24"/>
          <w:szCs w:val="24"/>
        </w:rPr>
        <w:t>ela</w:t>
      </w:r>
      <w:r w:rsidR="00243219">
        <w:rPr>
          <w:rFonts w:ascii="Times New Roman" w:hAnsi="Times New Roman" w:cs="Times New Roman"/>
          <w:sz w:val="24"/>
          <w:szCs w:val="24"/>
        </w:rPr>
        <w:t xml:space="preserve"> gerou</w:t>
      </w:r>
      <w:r w:rsidR="00212706">
        <w:rPr>
          <w:rFonts w:ascii="Times New Roman" w:hAnsi="Times New Roman" w:cs="Times New Roman"/>
          <w:sz w:val="24"/>
          <w:szCs w:val="24"/>
        </w:rPr>
        <w:t xml:space="preserve"> diversos questionamentos, </w:t>
      </w:r>
      <w:r w:rsidR="0034202A">
        <w:rPr>
          <w:rFonts w:ascii="Times New Roman" w:hAnsi="Times New Roman" w:cs="Times New Roman"/>
          <w:sz w:val="24"/>
          <w:szCs w:val="24"/>
        </w:rPr>
        <w:t xml:space="preserve">dando ensejo à </w:t>
      </w:r>
      <w:r w:rsidR="00467AA8">
        <w:rPr>
          <w:rFonts w:ascii="Times New Roman" w:hAnsi="Times New Roman" w:cs="Times New Roman"/>
          <w:sz w:val="24"/>
          <w:szCs w:val="24"/>
        </w:rPr>
        <w:t xml:space="preserve">propositura </w:t>
      </w:r>
      <w:r w:rsidR="00BA737D">
        <w:rPr>
          <w:rFonts w:ascii="Times New Roman" w:hAnsi="Times New Roman" w:cs="Times New Roman"/>
          <w:sz w:val="24"/>
          <w:szCs w:val="24"/>
        </w:rPr>
        <w:t>da Ação</w:t>
      </w:r>
      <w:r w:rsidR="00467AA8">
        <w:rPr>
          <w:rFonts w:ascii="Times New Roman" w:hAnsi="Times New Roman" w:cs="Times New Roman"/>
          <w:sz w:val="24"/>
          <w:szCs w:val="24"/>
        </w:rPr>
        <w:t xml:space="preserve"> </w:t>
      </w:r>
      <w:r w:rsidR="000730F7">
        <w:rPr>
          <w:rFonts w:ascii="Times New Roman" w:hAnsi="Times New Roman" w:cs="Times New Roman"/>
          <w:sz w:val="24"/>
          <w:szCs w:val="24"/>
        </w:rPr>
        <w:t>D</w:t>
      </w:r>
      <w:r w:rsidR="00467AA8">
        <w:rPr>
          <w:rFonts w:ascii="Times New Roman" w:hAnsi="Times New Roman" w:cs="Times New Roman"/>
          <w:sz w:val="24"/>
          <w:szCs w:val="24"/>
        </w:rPr>
        <w:t xml:space="preserve">ireta de </w:t>
      </w:r>
      <w:r w:rsidR="000730F7">
        <w:rPr>
          <w:rFonts w:ascii="Times New Roman" w:hAnsi="Times New Roman" w:cs="Times New Roman"/>
          <w:sz w:val="24"/>
          <w:szCs w:val="24"/>
        </w:rPr>
        <w:t>I</w:t>
      </w:r>
      <w:r w:rsidR="00467AA8">
        <w:rPr>
          <w:rFonts w:ascii="Times New Roman" w:hAnsi="Times New Roman" w:cs="Times New Roman"/>
          <w:sz w:val="24"/>
          <w:szCs w:val="24"/>
        </w:rPr>
        <w:t xml:space="preserve">nconstitucionalidade </w:t>
      </w:r>
      <w:r w:rsidR="000730F7">
        <w:rPr>
          <w:rFonts w:ascii="Times New Roman" w:hAnsi="Times New Roman" w:cs="Times New Roman"/>
          <w:sz w:val="24"/>
          <w:szCs w:val="24"/>
        </w:rPr>
        <w:t xml:space="preserve">n.º 5.679 </w:t>
      </w:r>
      <w:r w:rsidR="00467AA8">
        <w:rPr>
          <w:rFonts w:ascii="Times New Roman" w:hAnsi="Times New Roman" w:cs="Times New Roman"/>
          <w:sz w:val="24"/>
          <w:szCs w:val="24"/>
        </w:rPr>
        <w:t>no</w:t>
      </w:r>
      <w:r>
        <w:rPr>
          <w:rFonts w:ascii="Times New Roman" w:hAnsi="Times New Roman" w:cs="Times New Roman"/>
          <w:sz w:val="24"/>
          <w:szCs w:val="24"/>
        </w:rPr>
        <w:t xml:space="preserve"> Supremo Tribunal Federal.</w:t>
      </w:r>
      <w:r w:rsidR="00467AA8">
        <w:rPr>
          <w:rFonts w:ascii="Times New Roman" w:hAnsi="Times New Roman" w:cs="Times New Roman"/>
          <w:sz w:val="24"/>
          <w:szCs w:val="24"/>
        </w:rPr>
        <w:t xml:space="preserve"> Na ação, o Procurador-Geral da República alegou </w:t>
      </w:r>
      <w:r w:rsidR="00B9579E">
        <w:rPr>
          <w:rFonts w:ascii="Times New Roman" w:hAnsi="Times New Roman" w:cs="Times New Roman"/>
          <w:sz w:val="24"/>
          <w:szCs w:val="24"/>
        </w:rPr>
        <w:t xml:space="preserve">que a medida tenderia a abolir normas protegidas por cláusulas pétreas (CRFB, art. 60, § 4º, III e IV):  o direito fundamental à propriedade (CRFB, art. 5º, </w:t>
      </w:r>
      <w:r w:rsidR="00B9579E">
        <w:rPr>
          <w:rFonts w:ascii="Times New Roman" w:hAnsi="Times New Roman" w:cs="Times New Roman"/>
          <w:i/>
          <w:iCs/>
          <w:sz w:val="24"/>
          <w:szCs w:val="24"/>
        </w:rPr>
        <w:t>caput</w:t>
      </w:r>
      <w:r w:rsidR="00B9579E">
        <w:rPr>
          <w:rFonts w:ascii="Times New Roman" w:hAnsi="Times New Roman" w:cs="Times New Roman"/>
          <w:sz w:val="24"/>
          <w:szCs w:val="24"/>
        </w:rPr>
        <w:t xml:space="preserve"> e XXII</w:t>
      </w:r>
      <w:r w:rsidR="00B9579E">
        <w:rPr>
          <w:rFonts w:ascii="Times New Roman" w:hAnsi="Times New Roman" w:cs="Times New Roman"/>
          <w:i/>
          <w:iCs/>
          <w:sz w:val="24"/>
          <w:szCs w:val="24"/>
        </w:rPr>
        <w:t xml:space="preserve">; </w:t>
      </w:r>
      <w:r w:rsidR="00B9579E">
        <w:rPr>
          <w:rFonts w:ascii="Times New Roman" w:hAnsi="Times New Roman" w:cs="Times New Roman"/>
          <w:sz w:val="24"/>
          <w:szCs w:val="24"/>
        </w:rPr>
        <w:t>art. 170, II), o direito fundamental ao acesso à justiça (CRFB, art. 5º, XXXV), o princípio do devido processo legal (CRFB, art. LIV), o direito fundamental à razoável duração do processo (CRFB, art. 5º, LXXVII) e o princípio da separação dos poderes (CRFB, art. 2º).</w:t>
      </w:r>
      <w:r w:rsidR="00BA737D">
        <w:rPr>
          <w:rFonts w:ascii="Times New Roman" w:hAnsi="Times New Roman" w:cs="Times New Roman"/>
          <w:sz w:val="24"/>
          <w:szCs w:val="24"/>
        </w:rPr>
        <w:t xml:space="preserve"> </w:t>
      </w:r>
      <w:r w:rsidR="00293291">
        <w:rPr>
          <w:rFonts w:ascii="Times New Roman" w:hAnsi="Times New Roman" w:cs="Times New Roman"/>
          <w:sz w:val="24"/>
          <w:szCs w:val="24"/>
        </w:rPr>
        <w:t xml:space="preserve">Este estudo analisa </w:t>
      </w:r>
      <w:r w:rsidR="00EC4B75">
        <w:rPr>
          <w:rFonts w:ascii="Times New Roman" w:hAnsi="Times New Roman" w:cs="Times New Roman"/>
          <w:sz w:val="24"/>
          <w:szCs w:val="24"/>
        </w:rPr>
        <w:t>t</w:t>
      </w:r>
      <w:r w:rsidR="00894C2E">
        <w:rPr>
          <w:rFonts w:ascii="Times New Roman" w:hAnsi="Times New Roman" w:cs="Times New Roman"/>
          <w:sz w:val="24"/>
          <w:szCs w:val="24"/>
        </w:rPr>
        <w:t>a</w:t>
      </w:r>
      <w:r w:rsidR="00EC4B75">
        <w:rPr>
          <w:rFonts w:ascii="Times New Roman" w:hAnsi="Times New Roman" w:cs="Times New Roman"/>
          <w:sz w:val="24"/>
          <w:szCs w:val="24"/>
        </w:rPr>
        <w:t>i</w:t>
      </w:r>
      <w:r w:rsidR="00894C2E">
        <w:rPr>
          <w:rFonts w:ascii="Times New Roman" w:hAnsi="Times New Roman" w:cs="Times New Roman"/>
          <w:sz w:val="24"/>
          <w:szCs w:val="24"/>
        </w:rPr>
        <w:t>s alegações do Procurador-Geral da República</w:t>
      </w:r>
      <w:r w:rsidR="00C82EDB">
        <w:rPr>
          <w:rFonts w:ascii="Times New Roman" w:hAnsi="Times New Roman" w:cs="Times New Roman"/>
          <w:sz w:val="24"/>
          <w:szCs w:val="24"/>
        </w:rPr>
        <w:t xml:space="preserve"> e as consequências d</w:t>
      </w:r>
      <w:r w:rsidR="00400BFE">
        <w:rPr>
          <w:rFonts w:ascii="Times New Roman" w:hAnsi="Times New Roman" w:cs="Times New Roman"/>
          <w:sz w:val="24"/>
          <w:szCs w:val="24"/>
        </w:rPr>
        <w:t>e eventual</w:t>
      </w:r>
      <w:r w:rsidR="00C82EDB">
        <w:rPr>
          <w:rFonts w:ascii="Times New Roman" w:hAnsi="Times New Roman" w:cs="Times New Roman"/>
          <w:sz w:val="24"/>
          <w:szCs w:val="24"/>
        </w:rPr>
        <w:t xml:space="preserve"> acolhimento delas</w:t>
      </w:r>
      <w:r w:rsidR="00894C2E">
        <w:rPr>
          <w:rFonts w:ascii="Times New Roman" w:hAnsi="Times New Roman" w:cs="Times New Roman"/>
          <w:sz w:val="24"/>
          <w:szCs w:val="24"/>
        </w:rPr>
        <w:t xml:space="preserve">. Além disso, </w:t>
      </w:r>
      <w:r w:rsidR="00EC4B75">
        <w:rPr>
          <w:rFonts w:ascii="Times New Roman" w:hAnsi="Times New Roman" w:cs="Times New Roman"/>
          <w:sz w:val="24"/>
          <w:szCs w:val="24"/>
        </w:rPr>
        <w:t xml:space="preserve">analisa a postura a ser adotada pelo </w:t>
      </w:r>
      <w:r w:rsidR="00C82EDB">
        <w:rPr>
          <w:rFonts w:ascii="Times New Roman" w:hAnsi="Times New Roman" w:cs="Times New Roman"/>
          <w:sz w:val="24"/>
          <w:szCs w:val="24"/>
        </w:rPr>
        <w:t xml:space="preserve">Supremo Tribunal Federal ao </w:t>
      </w:r>
      <w:r w:rsidR="00A34099">
        <w:rPr>
          <w:rFonts w:ascii="Times New Roman" w:hAnsi="Times New Roman" w:cs="Times New Roman"/>
          <w:sz w:val="24"/>
          <w:szCs w:val="24"/>
        </w:rPr>
        <w:t xml:space="preserve">julgar a ação. Por fim, </w:t>
      </w:r>
      <w:r w:rsidR="00AF7550">
        <w:rPr>
          <w:rFonts w:ascii="Times New Roman" w:hAnsi="Times New Roman" w:cs="Times New Roman"/>
          <w:sz w:val="24"/>
          <w:szCs w:val="24"/>
        </w:rPr>
        <w:t>propõe uma atividade a ser realizada pela advocacia pública estadual.</w:t>
      </w:r>
    </w:p>
    <w:p w14:paraId="47F28478" w14:textId="77777777" w:rsidR="00D713F2" w:rsidRDefault="00D713F2" w:rsidP="00BA737D">
      <w:pPr>
        <w:spacing w:after="0" w:line="240" w:lineRule="auto"/>
        <w:jc w:val="both"/>
        <w:rPr>
          <w:rFonts w:ascii="Times New Roman" w:hAnsi="Times New Roman" w:cs="Times New Roman"/>
          <w:b/>
          <w:caps/>
          <w:sz w:val="24"/>
          <w:szCs w:val="24"/>
        </w:rPr>
      </w:pPr>
    </w:p>
    <w:p w14:paraId="3DD0DABE" w14:textId="77777777" w:rsidR="00C8468E" w:rsidRPr="00BA5F65" w:rsidRDefault="00C8468E" w:rsidP="00BA737D">
      <w:pPr>
        <w:spacing w:after="0" w:line="360" w:lineRule="auto"/>
        <w:jc w:val="both"/>
        <w:rPr>
          <w:rFonts w:ascii="Times New Roman" w:hAnsi="Times New Roman" w:cs="Times New Roman"/>
          <w:b/>
          <w:caps/>
          <w:sz w:val="24"/>
          <w:szCs w:val="24"/>
        </w:rPr>
      </w:pPr>
      <w:r w:rsidRPr="00BA5F65">
        <w:rPr>
          <w:rFonts w:ascii="Times New Roman" w:hAnsi="Times New Roman" w:cs="Times New Roman"/>
          <w:b/>
          <w:caps/>
          <w:sz w:val="24"/>
          <w:szCs w:val="24"/>
        </w:rPr>
        <w:t xml:space="preserve">1. </w:t>
      </w:r>
      <w:r w:rsidR="00B73386" w:rsidRPr="00B73386">
        <w:rPr>
          <w:rFonts w:ascii="Times New Roman" w:hAnsi="Times New Roman" w:cs="Times New Roman"/>
          <w:b/>
          <w:caps/>
          <w:sz w:val="24"/>
          <w:szCs w:val="24"/>
        </w:rPr>
        <w:t>o panorama do regime de precatórios</w:t>
      </w:r>
    </w:p>
    <w:p w14:paraId="10647B20" w14:textId="77777777" w:rsidR="00B049A6" w:rsidRDefault="00A1392B" w:rsidP="00BA737D">
      <w:pPr>
        <w:spacing w:after="0" w:line="360" w:lineRule="auto"/>
        <w:jc w:val="both"/>
        <w:rPr>
          <w:rFonts w:ascii="Times New Roman" w:hAnsi="Times New Roman" w:cs="Times New Roman"/>
          <w:sz w:val="24"/>
          <w:szCs w:val="24"/>
        </w:rPr>
      </w:pPr>
      <w:r w:rsidRPr="00BA5F65">
        <w:rPr>
          <w:rFonts w:ascii="Times New Roman" w:hAnsi="Times New Roman" w:cs="Times New Roman"/>
          <w:b/>
          <w:caps/>
          <w:sz w:val="24"/>
          <w:szCs w:val="24"/>
        </w:rPr>
        <w:lastRenderedPageBreak/>
        <w:tab/>
      </w:r>
      <w:r w:rsidR="0034202A" w:rsidRPr="0034202A">
        <w:rPr>
          <w:rFonts w:ascii="Times New Roman" w:hAnsi="Times New Roman" w:cs="Times New Roman"/>
          <w:bCs/>
          <w:caps/>
          <w:sz w:val="24"/>
          <w:szCs w:val="24"/>
        </w:rPr>
        <w:t>P</w:t>
      </w:r>
      <w:r w:rsidR="00F47335">
        <w:rPr>
          <w:rFonts w:ascii="Times New Roman" w:hAnsi="Times New Roman" w:cs="Times New Roman"/>
          <w:sz w:val="24"/>
          <w:szCs w:val="24"/>
        </w:rPr>
        <w:t xml:space="preserve">recatório </w:t>
      </w:r>
      <w:r w:rsidR="001D79DB" w:rsidRPr="00BA5F65">
        <w:rPr>
          <w:rFonts w:ascii="Times New Roman" w:hAnsi="Times New Roman" w:cs="Times New Roman"/>
          <w:sz w:val="24"/>
          <w:szCs w:val="24"/>
        </w:rPr>
        <w:t>“</w:t>
      </w:r>
      <w:r w:rsidR="001630D5">
        <w:rPr>
          <w:rFonts w:ascii="Times New Roman" w:hAnsi="Times New Roman" w:cs="Times New Roman"/>
          <w:sz w:val="24"/>
          <w:szCs w:val="24"/>
        </w:rPr>
        <w:t xml:space="preserve">é </w:t>
      </w:r>
      <w:r w:rsidR="001D79DB" w:rsidRPr="00BA5F65">
        <w:rPr>
          <w:rFonts w:ascii="Times New Roman" w:hAnsi="Times New Roman" w:cs="Times New Roman"/>
          <w:sz w:val="24"/>
          <w:szCs w:val="24"/>
        </w:rPr>
        <w:t>o ofício emitido pelo Judiciário, determinando o pagamento de importância em que a Fazenda Pública foi condenada à conta dos créditos respectivos</w:t>
      </w:r>
      <w:r w:rsidR="0034202A">
        <w:rPr>
          <w:rFonts w:ascii="Times New Roman" w:hAnsi="Times New Roman" w:cs="Times New Roman"/>
          <w:sz w:val="24"/>
          <w:szCs w:val="24"/>
        </w:rPr>
        <w:t xml:space="preserve">” </w:t>
      </w:r>
      <w:r w:rsidR="0034202A" w:rsidRPr="00BA5F65">
        <w:rPr>
          <w:rFonts w:ascii="Times New Roman" w:hAnsi="Times New Roman" w:cs="Times New Roman"/>
          <w:sz w:val="24"/>
          <w:szCs w:val="24"/>
        </w:rPr>
        <w:t>(</w:t>
      </w:r>
      <w:r w:rsidR="0034202A">
        <w:rPr>
          <w:rFonts w:ascii="Times New Roman" w:hAnsi="Times New Roman" w:cs="Times New Roman"/>
          <w:sz w:val="24"/>
          <w:szCs w:val="24"/>
        </w:rPr>
        <w:t xml:space="preserve">MEDAUAR, </w:t>
      </w:r>
      <w:r w:rsidR="0034202A" w:rsidRPr="00BA5F65">
        <w:rPr>
          <w:rFonts w:ascii="Times New Roman" w:hAnsi="Times New Roman" w:cs="Times New Roman"/>
          <w:sz w:val="24"/>
          <w:szCs w:val="24"/>
        </w:rPr>
        <w:t>2015, p. 468</w:t>
      </w:r>
      <w:r w:rsidR="0034202A">
        <w:rPr>
          <w:rFonts w:ascii="Times New Roman" w:hAnsi="Times New Roman" w:cs="Times New Roman"/>
          <w:sz w:val="24"/>
          <w:szCs w:val="24"/>
        </w:rPr>
        <w:t>).</w:t>
      </w:r>
      <w:r w:rsidR="00034D8F">
        <w:rPr>
          <w:rFonts w:ascii="Times New Roman" w:hAnsi="Times New Roman" w:cs="Times New Roman"/>
          <w:sz w:val="24"/>
          <w:szCs w:val="24"/>
        </w:rPr>
        <w:t xml:space="preserve"> Ele </w:t>
      </w:r>
      <w:r w:rsidR="00264682">
        <w:rPr>
          <w:rFonts w:ascii="Times New Roman" w:hAnsi="Times New Roman" w:cs="Times New Roman"/>
          <w:sz w:val="24"/>
          <w:szCs w:val="24"/>
        </w:rPr>
        <w:t xml:space="preserve">é </w:t>
      </w:r>
      <w:r w:rsidR="00034D8F">
        <w:rPr>
          <w:rFonts w:ascii="Times New Roman" w:hAnsi="Times New Roman" w:cs="Times New Roman"/>
          <w:sz w:val="24"/>
          <w:szCs w:val="24"/>
        </w:rPr>
        <w:t>o centro do sistema de pagamento das condenações judiciais do Estado.</w:t>
      </w:r>
    </w:p>
    <w:p w14:paraId="79D434C4" w14:textId="77777777" w:rsidR="00B049A6" w:rsidRDefault="00034D8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sistema foi </w:t>
      </w:r>
      <w:r w:rsidR="0034202A">
        <w:rPr>
          <w:rFonts w:ascii="Times New Roman" w:hAnsi="Times New Roman" w:cs="Times New Roman"/>
          <w:sz w:val="24"/>
          <w:szCs w:val="24"/>
        </w:rPr>
        <w:t>criado sobre dois fundamentos.</w:t>
      </w:r>
    </w:p>
    <w:p w14:paraId="5CF9419B" w14:textId="77777777" w:rsidR="0012345F" w:rsidRPr="00BA5F65" w:rsidRDefault="00BA737D"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Primeiro, o “</w:t>
      </w:r>
      <w:r w:rsidRPr="00BA5F65">
        <w:rPr>
          <w:rFonts w:ascii="Times New Roman" w:hAnsi="Times New Roman" w:cs="Times New Roman"/>
          <w:sz w:val="24"/>
          <w:szCs w:val="24"/>
        </w:rPr>
        <w:t>compromisso de se construírem fórmulas de pagamento judicial de dívidas que superassem as práticas pessoais e clientelistas utilizadas na República Velha” (JOBIM, 2006, p. 133).</w:t>
      </w:r>
      <w:r>
        <w:rPr>
          <w:rFonts w:ascii="Times New Roman" w:hAnsi="Times New Roman" w:cs="Times New Roman"/>
          <w:sz w:val="24"/>
          <w:szCs w:val="24"/>
        </w:rPr>
        <w:t xml:space="preserve">Por causa desse fundamento, ainda é </w:t>
      </w:r>
      <w:r w:rsidRPr="00BA5F65">
        <w:rPr>
          <w:rFonts w:ascii="Times New Roman" w:hAnsi="Times New Roman" w:cs="Times New Roman"/>
          <w:sz w:val="24"/>
          <w:szCs w:val="24"/>
        </w:rPr>
        <w:t xml:space="preserve">expressamente proibida a designação de casos ou de pessoas nas dotações orçamentárias e nos créditos </w:t>
      </w:r>
      <w:r>
        <w:rPr>
          <w:rFonts w:ascii="Times New Roman" w:hAnsi="Times New Roman" w:cs="Times New Roman"/>
          <w:sz w:val="24"/>
          <w:szCs w:val="24"/>
        </w:rPr>
        <w:t xml:space="preserve">adicionais </w:t>
      </w:r>
      <w:r w:rsidRPr="00BA5F65">
        <w:rPr>
          <w:rFonts w:ascii="Times New Roman" w:hAnsi="Times New Roman" w:cs="Times New Roman"/>
          <w:sz w:val="24"/>
          <w:szCs w:val="24"/>
        </w:rPr>
        <w:t xml:space="preserve">abertos para </w:t>
      </w:r>
      <w:r>
        <w:rPr>
          <w:rFonts w:ascii="Times New Roman" w:hAnsi="Times New Roman" w:cs="Times New Roman"/>
          <w:sz w:val="24"/>
          <w:szCs w:val="24"/>
        </w:rPr>
        <w:t>o pagamento dos precatórios.</w:t>
      </w:r>
      <w:r w:rsidR="0034202A">
        <w:rPr>
          <w:rFonts w:ascii="Times New Roman" w:hAnsi="Times New Roman" w:cs="Times New Roman"/>
          <w:sz w:val="24"/>
          <w:szCs w:val="24"/>
        </w:rPr>
        <w:t xml:space="preserve"> O</w:t>
      </w:r>
      <w:r w:rsidR="00E76C08">
        <w:rPr>
          <w:rFonts w:ascii="Times New Roman" w:hAnsi="Times New Roman" w:cs="Times New Roman"/>
          <w:sz w:val="24"/>
          <w:szCs w:val="24"/>
        </w:rPr>
        <w:t xml:space="preserve">s precatórios devem ser pagos </w:t>
      </w:r>
      <w:r w:rsidR="0034202A">
        <w:rPr>
          <w:rFonts w:ascii="Times New Roman" w:hAnsi="Times New Roman" w:cs="Times New Roman"/>
          <w:sz w:val="24"/>
          <w:szCs w:val="24"/>
        </w:rPr>
        <w:t xml:space="preserve">estritamente </w:t>
      </w:r>
      <w:r w:rsidR="00E76C08">
        <w:rPr>
          <w:rFonts w:ascii="Times New Roman" w:hAnsi="Times New Roman" w:cs="Times New Roman"/>
          <w:sz w:val="24"/>
          <w:szCs w:val="24"/>
        </w:rPr>
        <w:t>segundo a ordem a cronológica</w:t>
      </w:r>
      <w:r w:rsidR="003B1064" w:rsidRPr="00BA5F65">
        <w:rPr>
          <w:rFonts w:ascii="Times New Roman" w:hAnsi="Times New Roman" w:cs="Times New Roman"/>
          <w:sz w:val="24"/>
          <w:szCs w:val="24"/>
        </w:rPr>
        <w:t>(</w:t>
      </w:r>
      <w:r w:rsidR="003B1064">
        <w:rPr>
          <w:rFonts w:ascii="Times New Roman" w:hAnsi="Times New Roman" w:cs="Times New Roman"/>
          <w:sz w:val="24"/>
          <w:szCs w:val="24"/>
        </w:rPr>
        <w:t xml:space="preserve">CRFB, </w:t>
      </w:r>
      <w:r w:rsidR="003B1064" w:rsidRPr="00BA5F65">
        <w:rPr>
          <w:rFonts w:ascii="Times New Roman" w:hAnsi="Times New Roman" w:cs="Times New Roman"/>
          <w:sz w:val="24"/>
          <w:szCs w:val="24"/>
        </w:rPr>
        <w:t xml:space="preserve">art. 100, </w:t>
      </w:r>
      <w:r w:rsidR="003B1064" w:rsidRPr="00BA5F65">
        <w:rPr>
          <w:rFonts w:ascii="Times New Roman" w:hAnsi="Times New Roman" w:cs="Times New Roman"/>
          <w:i/>
          <w:sz w:val="24"/>
          <w:szCs w:val="24"/>
        </w:rPr>
        <w:t>caput</w:t>
      </w:r>
      <w:r w:rsidR="003B1064">
        <w:rPr>
          <w:rFonts w:ascii="Times New Roman" w:hAnsi="Times New Roman" w:cs="Times New Roman"/>
          <w:sz w:val="24"/>
          <w:szCs w:val="24"/>
        </w:rPr>
        <w:t>)</w:t>
      </w:r>
      <w:r w:rsidR="0034202A">
        <w:rPr>
          <w:rFonts w:ascii="Times New Roman" w:hAnsi="Times New Roman" w:cs="Times New Roman"/>
          <w:sz w:val="24"/>
          <w:szCs w:val="24"/>
        </w:rPr>
        <w:t>: v</w:t>
      </w:r>
      <w:r w:rsidR="003B1064">
        <w:rPr>
          <w:rFonts w:ascii="Times New Roman" w:hAnsi="Times New Roman" w:cs="Times New Roman"/>
          <w:sz w:val="24"/>
          <w:szCs w:val="24"/>
        </w:rPr>
        <w:t xml:space="preserve">ale o brocardo </w:t>
      </w:r>
      <w:r w:rsidR="003B1064" w:rsidRPr="008866CE">
        <w:rPr>
          <w:rFonts w:ascii="Times New Roman" w:hAnsi="Times New Roman" w:cs="Times New Roman"/>
          <w:i/>
          <w:sz w:val="24"/>
          <w:szCs w:val="24"/>
        </w:rPr>
        <w:t>prior in tempore, potior in jure</w:t>
      </w:r>
      <w:r w:rsidR="003B1064">
        <w:rPr>
          <w:rFonts w:ascii="Times New Roman" w:hAnsi="Times New Roman" w:cs="Times New Roman"/>
          <w:sz w:val="24"/>
          <w:szCs w:val="24"/>
        </w:rPr>
        <w:t xml:space="preserve"> (o primeiro no tempo tem preferência no direito). </w:t>
      </w:r>
      <w:r w:rsidR="0034202A">
        <w:rPr>
          <w:rFonts w:ascii="Times New Roman" w:hAnsi="Times New Roman" w:cs="Times New Roman"/>
          <w:sz w:val="24"/>
          <w:szCs w:val="24"/>
        </w:rPr>
        <w:t>Desse modo</w:t>
      </w:r>
      <w:r w:rsidR="001B3EAD">
        <w:rPr>
          <w:rFonts w:ascii="Times New Roman" w:hAnsi="Times New Roman" w:cs="Times New Roman"/>
          <w:sz w:val="24"/>
          <w:szCs w:val="24"/>
        </w:rPr>
        <w:t>, o</w:t>
      </w:r>
      <w:r w:rsidR="003B1064">
        <w:rPr>
          <w:rFonts w:ascii="Times New Roman" w:hAnsi="Times New Roman" w:cs="Times New Roman"/>
          <w:sz w:val="24"/>
          <w:szCs w:val="24"/>
        </w:rPr>
        <w:t>s</w:t>
      </w:r>
      <w:r w:rsidR="001B3EAD">
        <w:rPr>
          <w:rFonts w:ascii="Times New Roman" w:hAnsi="Times New Roman" w:cs="Times New Roman"/>
          <w:sz w:val="24"/>
          <w:szCs w:val="24"/>
        </w:rPr>
        <w:t xml:space="preserve"> precatório</w:t>
      </w:r>
      <w:r w:rsidR="003B1064">
        <w:rPr>
          <w:rFonts w:ascii="Times New Roman" w:hAnsi="Times New Roman" w:cs="Times New Roman"/>
          <w:sz w:val="24"/>
          <w:szCs w:val="24"/>
        </w:rPr>
        <w:t>s</w:t>
      </w:r>
      <w:r w:rsidR="001B3EAD">
        <w:rPr>
          <w:rFonts w:ascii="Times New Roman" w:hAnsi="Times New Roman" w:cs="Times New Roman"/>
          <w:sz w:val="24"/>
          <w:szCs w:val="24"/>
        </w:rPr>
        <w:t xml:space="preserve"> concretiza</w:t>
      </w:r>
      <w:r w:rsidR="003B1064">
        <w:rPr>
          <w:rFonts w:ascii="Times New Roman" w:hAnsi="Times New Roman" w:cs="Times New Roman"/>
          <w:sz w:val="24"/>
          <w:szCs w:val="24"/>
        </w:rPr>
        <w:t>m</w:t>
      </w:r>
      <w:r w:rsidR="001B3EAD">
        <w:rPr>
          <w:rFonts w:ascii="Times New Roman" w:hAnsi="Times New Roman" w:cs="Times New Roman"/>
          <w:sz w:val="24"/>
          <w:szCs w:val="24"/>
        </w:rPr>
        <w:t xml:space="preserve"> os princípios d</w:t>
      </w:r>
      <w:r w:rsidR="00660C36">
        <w:rPr>
          <w:rFonts w:ascii="Times New Roman" w:hAnsi="Times New Roman" w:cs="Times New Roman"/>
          <w:sz w:val="24"/>
          <w:szCs w:val="24"/>
        </w:rPr>
        <w:t>o republicanismo, d</w:t>
      </w:r>
      <w:r w:rsidR="001B3EAD">
        <w:rPr>
          <w:rFonts w:ascii="Times New Roman" w:hAnsi="Times New Roman" w:cs="Times New Roman"/>
          <w:sz w:val="24"/>
          <w:szCs w:val="24"/>
        </w:rPr>
        <w:t xml:space="preserve">a </w:t>
      </w:r>
      <w:r w:rsidR="0012345F" w:rsidRPr="00BA5F65">
        <w:rPr>
          <w:rFonts w:ascii="Times New Roman" w:hAnsi="Times New Roman" w:cs="Times New Roman"/>
          <w:sz w:val="24"/>
          <w:szCs w:val="24"/>
        </w:rPr>
        <w:t>impessoalidade e da isonomia (</w:t>
      </w:r>
      <w:r w:rsidR="001B3EAD">
        <w:rPr>
          <w:rFonts w:ascii="Times New Roman" w:hAnsi="Times New Roman" w:cs="Times New Roman"/>
          <w:sz w:val="24"/>
          <w:szCs w:val="24"/>
        </w:rPr>
        <w:t xml:space="preserve">CRFB, </w:t>
      </w:r>
      <w:r w:rsidR="00CF702E">
        <w:rPr>
          <w:rFonts w:ascii="Times New Roman" w:hAnsi="Times New Roman" w:cs="Times New Roman"/>
          <w:sz w:val="24"/>
          <w:szCs w:val="24"/>
        </w:rPr>
        <w:t xml:space="preserve">arts. 1º, </w:t>
      </w:r>
      <w:r w:rsidR="00CF702E">
        <w:rPr>
          <w:rFonts w:ascii="Times New Roman" w:hAnsi="Times New Roman" w:cs="Times New Roman"/>
          <w:i/>
          <w:iCs/>
          <w:sz w:val="24"/>
          <w:szCs w:val="24"/>
        </w:rPr>
        <w:t>caput</w:t>
      </w:r>
      <w:r w:rsidR="00CF702E">
        <w:rPr>
          <w:rFonts w:ascii="Times New Roman" w:hAnsi="Times New Roman" w:cs="Times New Roman"/>
          <w:sz w:val="24"/>
          <w:szCs w:val="24"/>
        </w:rPr>
        <w:t>, e 37,</w:t>
      </w:r>
      <w:r>
        <w:rPr>
          <w:rFonts w:ascii="Times New Roman" w:hAnsi="Times New Roman" w:cs="Times New Roman"/>
          <w:sz w:val="24"/>
          <w:szCs w:val="24"/>
        </w:rPr>
        <w:t xml:space="preserve"> </w:t>
      </w:r>
      <w:r w:rsidR="0012345F" w:rsidRPr="00BA5F65">
        <w:rPr>
          <w:rFonts w:ascii="Times New Roman" w:hAnsi="Times New Roman" w:cs="Times New Roman"/>
          <w:i/>
          <w:sz w:val="24"/>
          <w:szCs w:val="24"/>
        </w:rPr>
        <w:t>caput</w:t>
      </w:r>
      <w:r w:rsidR="0012345F" w:rsidRPr="00BA5F65">
        <w:rPr>
          <w:rFonts w:ascii="Times New Roman" w:hAnsi="Times New Roman" w:cs="Times New Roman"/>
          <w:sz w:val="24"/>
          <w:szCs w:val="24"/>
        </w:rPr>
        <w:t>).</w:t>
      </w:r>
    </w:p>
    <w:p w14:paraId="6156C1A1" w14:textId="77777777" w:rsidR="008D2A2C" w:rsidRPr="00BA5F65" w:rsidRDefault="001946B8"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w:t>
      </w:r>
      <w:r w:rsidR="003343F4">
        <w:rPr>
          <w:rFonts w:ascii="Times New Roman" w:hAnsi="Times New Roman" w:cs="Times New Roman"/>
          <w:sz w:val="24"/>
          <w:szCs w:val="24"/>
        </w:rPr>
        <w:t>egundo</w:t>
      </w:r>
      <w:r w:rsidR="00BA737D">
        <w:rPr>
          <w:rFonts w:ascii="Times New Roman" w:hAnsi="Times New Roman" w:cs="Times New Roman"/>
          <w:sz w:val="24"/>
          <w:szCs w:val="24"/>
        </w:rPr>
        <w:t xml:space="preserve"> </w:t>
      </w:r>
      <w:r w:rsidR="0034202A">
        <w:rPr>
          <w:rFonts w:ascii="Times New Roman" w:hAnsi="Times New Roman" w:cs="Times New Roman"/>
          <w:sz w:val="24"/>
          <w:szCs w:val="24"/>
        </w:rPr>
        <w:t xml:space="preserve">fundamento </w:t>
      </w:r>
      <w:r>
        <w:rPr>
          <w:rFonts w:ascii="Times New Roman" w:hAnsi="Times New Roman" w:cs="Times New Roman"/>
          <w:sz w:val="24"/>
          <w:szCs w:val="24"/>
        </w:rPr>
        <w:t>é</w:t>
      </w:r>
      <w:r w:rsidR="00BA737D">
        <w:rPr>
          <w:rFonts w:ascii="Times New Roman" w:hAnsi="Times New Roman" w:cs="Times New Roman"/>
          <w:sz w:val="24"/>
          <w:szCs w:val="24"/>
        </w:rPr>
        <w:t xml:space="preserve"> </w:t>
      </w:r>
      <w:r w:rsidR="008D2A2C" w:rsidRPr="00BA5F65">
        <w:rPr>
          <w:rFonts w:ascii="Times New Roman" w:hAnsi="Times New Roman" w:cs="Times New Roman"/>
          <w:sz w:val="24"/>
          <w:szCs w:val="24"/>
        </w:rPr>
        <w:t xml:space="preserve">a </w:t>
      </w:r>
      <w:r w:rsidR="00BA737D" w:rsidRPr="00BA5F65">
        <w:rPr>
          <w:rFonts w:ascii="Times New Roman" w:hAnsi="Times New Roman" w:cs="Times New Roman"/>
          <w:sz w:val="24"/>
          <w:szCs w:val="24"/>
        </w:rPr>
        <w:t>idéia</w:t>
      </w:r>
      <w:r w:rsidR="008D2A2C" w:rsidRPr="00BA5F65">
        <w:rPr>
          <w:rFonts w:ascii="Times New Roman" w:hAnsi="Times New Roman" w:cs="Times New Roman"/>
          <w:sz w:val="24"/>
          <w:szCs w:val="24"/>
        </w:rPr>
        <w:t xml:space="preserve"> de que o planejamento orçamentário é fundamental para a sustentabilidade do ente federado frente às inúmeras despesas públicas</w:t>
      </w:r>
      <w:r w:rsidR="008D2A2C">
        <w:rPr>
          <w:rFonts w:ascii="Times New Roman" w:hAnsi="Times New Roman" w:cs="Times New Roman"/>
          <w:sz w:val="24"/>
          <w:szCs w:val="24"/>
        </w:rPr>
        <w:t xml:space="preserve"> (</w:t>
      </w:r>
      <w:r>
        <w:rPr>
          <w:rFonts w:ascii="Times New Roman" w:hAnsi="Times New Roman" w:cs="Times New Roman"/>
          <w:sz w:val="24"/>
          <w:szCs w:val="24"/>
        </w:rPr>
        <w:t xml:space="preserve">CRFB, </w:t>
      </w:r>
      <w:r w:rsidR="008D2A2C">
        <w:rPr>
          <w:rFonts w:ascii="Times New Roman" w:hAnsi="Times New Roman" w:cs="Times New Roman"/>
          <w:sz w:val="24"/>
          <w:szCs w:val="24"/>
        </w:rPr>
        <w:t>art. 100, §5º)</w:t>
      </w:r>
      <w:r w:rsidR="00FC0F11">
        <w:rPr>
          <w:rStyle w:val="Refdenotaderodap"/>
          <w:rFonts w:ascii="Times New Roman" w:hAnsi="Times New Roman" w:cs="Times New Roman"/>
          <w:sz w:val="24"/>
          <w:szCs w:val="24"/>
        </w:rPr>
        <w:footnoteReference w:id="1"/>
      </w:r>
      <w:r w:rsidR="008D2A2C" w:rsidRPr="00BA5F65">
        <w:rPr>
          <w:rFonts w:ascii="Times New Roman" w:hAnsi="Times New Roman" w:cs="Times New Roman"/>
          <w:sz w:val="24"/>
          <w:szCs w:val="24"/>
        </w:rPr>
        <w:t>.</w:t>
      </w:r>
    </w:p>
    <w:p w14:paraId="584F3406" w14:textId="77777777" w:rsidR="001630D5" w:rsidRPr="00BA5F65" w:rsidRDefault="00F83F73"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04226">
        <w:rPr>
          <w:rFonts w:ascii="Times New Roman" w:hAnsi="Times New Roman" w:cs="Times New Roman"/>
          <w:sz w:val="24"/>
          <w:szCs w:val="24"/>
        </w:rPr>
        <w:t>pesar</w:t>
      </w:r>
      <w:r>
        <w:rPr>
          <w:rFonts w:ascii="Times New Roman" w:hAnsi="Times New Roman" w:cs="Times New Roman"/>
          <w:sz w:val="24"/>
          <w:szCs w:val="24"/>
        </w:rPr>
        <w:t xml:space="preserve"> d</w:t>
      </w:r>
      <w:r w:rsidR="00364EF9">
        <w:rPr>
          <w:rFonts w:ascii="Times New Roman" w:hAnsi="Times New Roman" w:cs="Times New Roman"/>
          <w:sz w:val="24"/>
          <w:szCs w:val="24"/>
        </w:rPr>
        <w:t>es</w:t>
      </w:r>
      <w:r w:rsidR="009A4B6E">
        <w:rPr>
          <w:rFonts w:ascii="Times New Roman" w:hAnsi="Times New Roman" w:cs="Times New Roman"/>
          <w:sz w:val="24"/>
          <w:szCs w:val="24"/>
        </w:rPr>
        <w:t>ses</w:t>
      </w:r>
      <w:r w:rsidR="00364EF9">
        <w:rPr>
          <w:rFonts w:ascii="Times New Roman" w:hAnsi="Times New Roman" w:cs="Times New Roman"/>
          <w:sz w:val="24"/>
          <w:szCs w:val="24"/>
        </w:rPr>
        <w:t xml:space="preserve"> nobres </w:t>
      </w:r>
      <w:r w:rsidR="0034202A">
        <w:rPr>
          <w:rFonts w:ascii="Times New Roman" w:hAnsi="Times New Roman" w:cs="Times New Roman"/>
          <w:sz w:val="24"/>
          <w:szCs w:val="24"/>
        </w:rPr>
        <w:t>fundamentos</w:t>
      </w:r>
      <w:r w:rsidR="00364EF9">
        <w:rPr>
          <w:rFonts w:ascii="Times New Roman" w:hAnsi="Times New Roman" w:cs="Times New Roman"/>
          <w:sz w:val="24"/>
          <w:szCs w:val="24"/>
        </w:rPr>
        <w:t xml:space="preserve">, </w:t>
      </w:r>
      <w:r>
        <w:rPr>
          <w:rFonts w:ascii="Times New Roman" w:hAnsi="Times New Roman" w:cs="Times New Roman"/>
          <w:sz w:val="24"/>
          <w:szCs w:val="24"/>
        </w:rPr>
        <w:t>o sistema</w:t>
      </w:r>
      <w:r w:rsidR="00BA737D">
        <w:rPr>
          <w:rFonts w:ascii="Times New Roman" w:hAnsi="Times New Roman" w:cs="Times New Roman"/>
          <w:sz w:val="24"/>
          <w:szCs w:val="24"/>
        </w:rPr>
        <w:t xml:space="preserve"> </w:t>
      </w:r>
      <w:r w:rsidR="00364EF9">
        <w:rPr>
          <w:rFonts w:ascii="Times New Roman" w:hAnsi="Times New Roman" w:cs="Times New Roman"/>
          <w:sz w:val="24"/>
          <w:szCs w:val="24"/>
        </w:rPr>
        <w:t xml:space="preserve">sofre </w:t>
      </w:r>
      <w:r w:rsidR="001630D5">
        <w:rPr>
          <w:rFonts w:ascii="Times New Roman" w:hAnsi="Times New Roman" w:cs="Times New Roman"/>
          <w:sz w:val="24"/>
          <w:szCs w:val="24"/>
        </w:rPr>
        <w:t xml:space="preserve">duras críticas. Para </w:t>
      </w:r>
      <w:r w:rsidR="00852228">
        <w:rPr>
          <w:rFonts w:ascii="Times New Roman" w:hAnsi="Times New Roman" w:cs="Times New Roman"/>
          <w:sz w:val="24"/>
          <w:szCs w:val="24"/>
        </w:rPr>
        <w:t xml:space="preserve">o Ministro </w:t>
      </w:r>
      <w:r w:rsidR="001630D5">
        <w:rPr>
          <w:rFonts w:ascii="Times New Roman" w:hAnsi="Times New Roman" w:cs="Times New Roman"/>
          <w:sz w:val="24"/>
          <w:szCs w:val="24"/>
        </w:rPr>
        <w:t>Luiz Fux</w:t>
      </w:r>
      <w:r w:rsidR="00EE48C1">
        <w:rPr>
          <w:rFonts w:ascii="Times New Roman" w:hAnsi="Times New Roman" w:cs="Times New Roman"/>
          <w:sz w:val="24"/>
          <w:szCs w:val="24"/>
        </w:rPr>
        <w:t xml:space="preserve"> (2013)</w:t>
      </w:r>
      <w:r w:rsidR="001630D5">
        <w:rPr>
          <w:rFonts w:ascii="Times New Roman" w:hAnsi="Times New Roman" w:cs="Times New Roman"/>
          <w:sz w:val="24"/>
          <w:szCs w:val="24"/>
        </w:rPr>
        <w:t xml:space="preserve">, “Em alguns casos, fica até evidente que o montante atual da dívida é resultado da falta de compromisso dos governantes quanto ao cumprimento das decisões judiciais”. </w:t>
      </w:r>
      <w:r w:rsidR="0034202A">
        <w:rPr>
          <w:rFonts w:ascii="Times New Roman" w:hAnsi="Times New Roman" w:cs="Times New Roman"/>
          <w:sz w:val="24"/>
          <w:szCs w:val="24"/>
        </w:rPr>
        <w:t>Já p</w:t>
      </w:r>
      <w:r w:rsidR="001630D5">
        <w:rPr>
          <w:rFonts w:ascii="Times New Roman" w:hAnsi="Times New Roman" w:cs="Times New Roman"/>
          <w:sz w:val="24"/>
          <w:szCs w:val="24"/>
        </w:rPr>
        <w:t>ara M</w:t>
      </w:r>
      <w:r w:rsidR="004D6534">
        <w:rPr>
          <w:rFonts w:ascii="Times New Roman" w:hAnsi="Times New Roman" w:cs="Times New Roman"/>
          <w:sz w:val="24"/>
          <w:szCs w:val="24"/>
        </w:rPr>
        <w:t>aués</w:t>
      </w:r>
      <w:r w:rsidR="00EE48C1">
        <w:rPr>
          <w:rFonts w:ascii="Times New Roman" w:hAnsi="Times New Roman" w:cs="Times New Roman"/>
          <w:sz w:val="24"/>
          <w:szCs w:val="24"/>
        </w:rPr>
        <w:t xml:space="preserve"> (2023)</w:t>
      </w:r>
      <w:r w:rsidR="001630D5">
        <w:rPr>
          <w:rFonts w:ascii="Times New Roman" w:hAnsi="Times New Roman" w:cs="Times New Roman"/>
          <w:sz w:val="24"/>
          <w:szCs w:val="24"/>
        </w:rPr>
        <w:t>, “Existe uma falta de interesse em solucionar definitivamente o problema dos precatórios com vistas a desvincular o pagamento do orçamento do ente federativo, garantindo a efetividade orçamentária do sistema”</w:t>
      </w:r>
      <w:r w:rsidR="00D96131">
        <w:rPr>
          <w:rFonts w:ascii="Times New Roman" w:hAnsi="Times New Roman" w:cs="Times New Roman"/>
          <w:sz w:val="24"/>
          <w:szCs w:val="24"/>
        </w:rPr>
        <w:t>. Florenzano</w:t>
      </w:r>
      <w:r w:rsidR="00EE48C1">
        <w:rPr>
          <w:rFonts w:ascii="Times New Roman" w:hAnsi="Times New Roman" w:cs="Times New Roman"/>
          <w:sz w:val="24"/>
          <w:szCs w:val="24"/>
        </w:rPr>
        <w:t xml:space="preserve"> (2013)</w:t>
      </w:r>
      <w:r w:rsidR="0034202A">
        <w:rPr>
          <w:rFonts w:ascii="Times New Roman" w:hAnsi="Times New Roman" w:cs="Times New Roman"/>
          <w:sz w:val="24"/>
          <w:szCs w:val="24"/>
        </w:rPr>
        <w:t>, por sua vez, registra que</w:t>
      </w:r>
      <w:r w:rsidR="00D96131">
        <w:rPr>
          <w:rFonts w:ascii="Times New Roman" w:hAnsi="Times New Roman" w:cs="Times New Roman"/>
          <w:sz w:val="24"/>
          <w:szCs w:val="24"/>
        </w:rPr>
        <w:t xml:space="preserve"> “os nossos governantes, sobretudo Prefeitos e Governadores, descobriram nos precatórios uma forma espúria, verdadeiramente, perversa e ilícita de financiar gastos públicos”.</w:t>
      </w:r>
    </w:p>
    <w:p w14:paraId="718BB1A7" w14:textId="77777777" w:rsidR="00E321A2" w:rsidRPr="00BA5F65" w:rsidRDefault="00FC1C5C"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w:t>
      </w:r>
      <w:r w:rsidR="00BA737D">
        <w:rPr>
          <w:rFonts w:ascii="Times New Roman" w:hAnsi="Times New Roman" w:cs="Times New Roman"/>
          <w:sz w:val="24"/>
          <w:szCs w:val="24"/>
        </w:rPr>
        <w:t>críticas parecem</w:t>
      </w:r>
      <w:r w:rsidR="000F5D56">
        <w:rPr>
          <w:rFonts w:ascii="Times New Roman" w:hAnsi="Times New Roman" w:cs="Times New Roman"/>
          <w:sz w:val="24"/>
          <w:szCs w:val="24"/>
        </w:rPr>
        <w:t xml:space="preserve"> ignorar </w:t>
      </w:r>
      <w:r w:rsidR="00AD282D">
        <w:rPr>
          <w:rFonts w:ascii="Times New Roman" w:hAnsi="Times New Roman" w:cs="Times New Roman"/>
          <w:sz w:val="24"/>
          <w:szCs w:val="24"/>
        </w:rPr>
        <w:t xml:space="preserve">que </w:t>
      </w:r>
      <w:r w:rsidR="00F83F73">
        <w:rPr>
          <w:rFonts w:ascii="Times New Roman" w:hAnsi="Times New Roman" w:cs="Times New Roman"/>
          <w:sz w:val="24"/>
          <w:szCs w:val="24"/>
        </w:rPr>
        <w:t>o</w:t>
      </w:r>
      <w:r w:rsidR="001630D5">
        <w:rPr>
          <w:rFonts w:ascii="Times New Roman" w:hAnsi="Times New Roman" w:cs="Times New Roman"/>
          <w:sz w:val="24"/>
          <w:szCs w:val="24"/>
        </w:rPr>
        <w:t xml:space="preserve"> sistema </w:t>
      </w:r>
      <w:r w:rsidR="00024C3C">
        <w:rPr>
          <w:rFonts w:ascii="Times New Roman" w:hAnsi="Times New Roman" w:cs="Times New Roman"/>
          <w:sz w:val="24"/>
          <w:szCs w:val="24"/>
        </w:rPr>
        <w:t xml:space="preserve">apresentou </w:t>
      </w:r>
      <w:r w:rsidR="00AD282D">
        <w:rPr>
          <w:rFonts w:ascii="Times New Roman" w:hAnsi="Times New Roman" w:cs="Times New Roman"/>
          <w:sz w:val="24"/>
          <w:szCs w:val="24"/>
        </w:rPr>
        <w:t xml:space="preserve">desde sua criação </w:t>
      </w:r>
      <w:r w:rsidR="001630D5">
        <w:rPr>
          <w:rFonts w:ascii="Times New Roman" w:hAnsi="Times New Roman" w:cs="Times New Roman"/>
          <w:sz w:val="24"/>
          <w:szCs w:val="24"/>
        </w:rPr>
        <w:t xml:space="preserve">inúmeros </w:t>
      </w:r>
      <w:r w:rsidR="00A96B06">
        <w:rPr>
          <w:rFonts w:ascii="Times New Roman" w:hAnsi="Times New Roman" w:cs="Times New Roman"/>
          <w:sz w:val="24"/>
          <w:szCs w:val="24"/>
        </w:rPr>
        <w:t>avanços</w:t>
      </w:r>
      <w:r w:rsidR="00D41456">
        <w:rPr>
          <w:rFonts w:ascii="Times New Roman" w:hAnsi="Times New Roman" w:cs="Times New Roman"/>
          <w:sz w:val="24"/>
          <w:szCs w:val="24"/>
        </w:rPr>
        <w:t xml:space="preserve"> que beneficiaram </w:t>
      </w:r>
      <w:r w:rsidR="001630D5">
        <w:rPr>
          <w:rFonts w:ascii="Times New Roman" w:hAnsi="Times New Roman" w:cs="Times New Roman"/>
          <w:sz w:val="24"/>
          <w:szCs w:val="24"/>
        </w:rPr>
        <w:t>os credores</w:t>
      </w:r>
      <w:r w:rsidR="00FD35F8" w:rsidRPr="00BA5F65">
        <w:rPr>
          <w:rFonts w:ascii="Times New Roman" w:hAnsi="Times New Roman" w:cs="Times New Roman"/>
          <w:sz w:val="24"/>
          <w:szCs w:val="24"/>
        </w:rPr>
        <w:t>.</w:t>
      </w:r>
      <w:r w:rsidR="0034202A">
        <w:rPr>
          <w:rFonts w:ascii="Times New Roman" w:hAnsi="Times New Roman" w:cs="Times New Roman"/>
          <w:sz w:val="24"/>
          <w:szCs w:val="24"/>
        </w:rPr>
        <w:t>Ele</w:t>
      </w:r>
      <w:r w:rsidR="00AD282D">
        <w:rPr>
          <w:rFonts w:ascii="Times New Roman" w:hAnsi="Times New Roman" w:cs="Times New Roman"/>
          <w:sz w:val="24"/>
          <w:szCs w:val="24"/>
        </w:rPr>
        <w:t xml:space="preserve"> foi criado com a </w:t>
      </w:r>
      <w:r w:rsidR="00AD282D" w:rsidRPr="00BA5F65">
        <w:rPr>
          <w:rFonts w:ascii="Times New Roman" w:hAnsi="Times New Roman" w:cs="Times New Roman"/>
          <w:sz w:val="24"/>
          <w:szCs w:val="24"/>
        </w:rPr>
        <w:t>Constituição de 1934</w:t>
      </w:r>
      <w:r w:rsidR="00AD282D">
        <w:rPr>
          <w:rStyle w:val="Refdenotaderodap"/>
          <w:rFonts w:ascii="Times New Roman" w:hAnsi="Times New Roman" w:cs="Times New Roman"/>
          <w:sz w:val="24"/>
          <w:szCs w:val="24"/>
        </w:rPr>
        <w:footnoteReference w:id="2"/>
      </w:r>
      <w:r w:rsidR="00AD282D">
        <w:rPr>
          <w:rFonts w:ascii="Times New Roman" w:hAnsi="Times New Roman" w:cs="Times New Roman"/>
          <w:sz w:val="24"/>
          <w:szCs w:val="24"/>
        </w:rPr>
        <w:t xml:space="preserve">. </w:t>
      </w:r>
      <w:r w:rsidR="00351E21">
        <w:rPr>
          <w:rFonts w:ascii="Times New Roman" w:hAnsi="Times New Roman" w:cs="Times New Roman"/>
          <w:sz w:val="24"/>
          <w:szCs w:val="24"/>
        </w:rPr>
        <w:t xml:space="preserve">Naquela época, </w:t>
      </w:r>
      <w:r w:rsidR="000D4401" w:rsidRPr="00BA5F65">
        <w:rPr>
          <w:rFonts w:ascii="Times New Roman" w:hAnsi="Times New Roman" w:cs="Times New Roman"/>
          <w:sz w:val="24"/>
          <w:szCs w:val="24"/>
        </w:rPr>
        <w:t>abrangia somente</w:t>
      </w:r>
      <w:r w:rsidR="000D4401">
        <w:rPr>
          <w:rFonts w:ascii="Times New Roman" w:hAnsi="Times New Roman" w:cs="Times New Roman"/>
          <w:sz w:val="24"/>
          <w:szCs w:val="24"/>
        </w:rPr>
        <w:t xml:space="preserve"> a Fazenda Federal e </w:t>
      </w:r>
      <w:r w:rsidR="00F378B0" w:rsidRPr="00BA5F65">
        <w:rPr>
          <w:rFonts w:ascii="Times New Roman" w:hAnsi="Times New Roman" w:cs="Times New Roman"/>
          <w:sz w:val="24"/>
          <w:szCs w:val="24"/>
        </w:rPr>
        <w:t>tratava apenas da necessidade da observância da ordem de pagamento</w:t>
      </w:r>
      <w:r w:rsidR="000D4401">
        <w:rPr>
          <w:rFonts w:ascii="Times New Roman" w:hAnsi="Times New Roman" w:cs="Times New Roman"/>
          <w:sz w:val="24"/>
          <w:szCs w:val="24"/>
        </w:rPr>
        <w:t>.</w:t>
      </w:r>
      <w:r w:rsidR="00BA737D">
        <w:rPr>
          <w:rFonts w:ascii="Times New Roman" w:hAnsi="Times New Roman" w:cs="Times New Roman"/>
          <w:sz w:val="24"/>
          <w:szCs w:val="24"/>
        </w:rPr>
        <w:t xml:space="preserve"> </w:t>
      </w:r>
      <w:r w:rsidR="00040959">
        <w:rPr>
          <w:rFonts w:ascii="Times New Roman" w:hAnsi="Times New Roman" w:cs="Times New Roman"/>
          <w:sz w:val="24"/>
          <w:szCs w:val="24"/>
        </w:rPr>
        <w:lastRenderedPageBreak/>
        <w:t>A Constituição de 1937</w:t>
      </w:r>
      <w:r w:rsidR="00040959">
        <w:rPr>
          <w:rStyle w:val="Refdenotaderodap"/>
          <w:rFonts w:ascii="Times New Roman" w:hAnsi="Times New Roman" w:cs="Times New Roman"/>
          <w:sz w:val="24"/>
          <w:szCs w:val="24"/>
        </w:rPr>
        <w:footnoteReference w:id="3"/>
      </w:r>
      <w:r w:rsidR="00040959">
        <w:rPr>
          <w:rFonts w:ascii="Times New Roman" w:hAnsi="Times New Roman" w:cs="Times New Roman"/>
          <w:sz w:val="24"/>
          <w:szCs w:val="24"/>
        </w:rPr>
        <w:t xml:space="preserve">, por sua vez, previu a possibilidade de sequestro de dinheiro público na hipótese de o credor ser preterido no seu direito de precedência. </w:t>
      </w:r>
      <w:r w:rsidR="00E10BDE">
        <w:rPr>
          <w:rFonts w:ascii="Times New Roman" w:hAnsi="Times New Roman" w:cs="Times New Roman"/>
          <w:sz w:val="24"/>
          <w:szCs w:val="24"/>
        </w:rPr>
        <w:t>Os</w:t>
      </w:r>
      <w:r w:rsidR="00E10BDE" w:rsidRPr="00BA5F65">
        <w:rPr>
          <w:rFonts w:ascii="Times New Roman" w:hAnsi="Times New Roman" w:cs="Times New Roman"/>
          <w:sz w:val="24"/>
          <w:szCs w:val="24"/>
        </w:rPr>
        <w:t xml:space="preserve"> débitos dos demais entes federativos </w:t>
      </w:r>
      <w:r w:rsidR="000D4401">
        <w:rPr>
          <w:rFonts w:ascii="Times New Roman" w:hAnsi="Times New Roman" w:cs="Times New Roman"/>
          <w:sz w:val="24"/>
          <w:szCs w:val="24"/>
        </w:rPr>
        <w:t>foram incluídos no sistema com o</w:t>
      </w:r>
      <w:r w:rsidR="00E10BDE">
        <w:rPr>
          <w:rFonts w:ascii="Times New Roman" w:hAnsi="Times New Roman" w:cs="Times New Roman"/>
          <w:sz w:val="24"/>
          <w:szCs w:val="24"/>
        </w:rPr>
        <w:t xml:space="preserve"> Código de Processo Civil de 1939</w:t>
      </w:r>
      <w:r w:rsidR="00E10BDE">
        <w:rPr>
          <w:rStyle w:val="Refdenotaderodap"/>
          <w:rFonts w:ascii="Times New Roman" w:hAnsi="Times New Roman" w:cs="Times New Roman"/>
          <w:sz w:val="24"/>
          <w:szCs w:val="24"/>
        </w:rPr>
        <w:footnoteReference w:id="4"/>
      </w:r>
      <w:r w:rsidR="000D4401">
        <w:rPr>
          <w:rFonts w:ascii="Times New Roman" w:hAnsi="Times New Roman" w:cs="Times New Roman"/>
          <w:sz w:val="24"/>
          <w:szCs w:val="24"/>
        </w:rPr>
        <w:t xml:space="preserve">. </w:t>
      </w:r>
      <w:r w:rsidR="00BA737D">
        <w:rPr>
          <w:rFonts w:ascii="Times New Roman" w:hAnsi="Times New Roman" w:cs="Times New Roman"/>
          <w:sz w:val="24"/>
          <w:szCs w:val="24"/>
        </w:rPr>
        <w:t xml:space="preserve">A inclusão por norma constitucional se deu apenas com a Constituição de </w:t>
      </w:r>
      <w:r w:rsidR="00BA737D" w:rsidRPr="00BA5F65">
        <w:rPr>
          <w:rFonts w:ascii="Times New Roman" w:hAnsi="Times New Roman" w:cs="Times New Roman"/>
          <w:sz w:val="24"/>
          <w:szCs w:val="24"/>
        </w:rPr>
        <w:t>1946</w:t>
      </w:r>
      <w:r w:rsidR="00BA737D">
        <w:rPr>
          <w:rStyle w:val="Refdenotaderodap"/>
          <w:rFonts w:ascii="Times New Roman" w:hAnsi="Times New Roman" w:cs="Times New Roman"/>
          <w:sz w:val="24"/>
          <w:szCs w:val="24"/>
        </w:rPr>
        <w:footnoteReference w:id="5"/>
      </w:r>
      <w:r w:rsidR="00BA737D" w:rsidRPr="00BA5F65">
        <w:rPr>
          <w:rFonts w:ascii="Times New Roman" w:hAnsi="Times New Roman" w:cs="Times New Roman"/>
          <w:sz w:val="24"/>
          <w:szCs w:val="24"/>
        </w:rPr>
        <w:t>.</w:t>
      </w:r>
      <w:r w:rsidR="00BA737D">
        <w:rPr>
          <w:rFonts w:ascii="Times New Roman" w:hAnsi="Times New Roman" w:cs="Times New Roman"/>
          <w:sz w:val="24"/>
          <w:szCs w:val="24"/>
        </w:rPr>
        <w:t>A Constituição de 1946 alterou também a competência para a expedição das ordens de pagamento, deslocando-a do Presidente da Corte Suprema para o Presidente do Tribunal Federal de Recursos e para o Presidente do Tribunal de Justiça.</w:t>
      </w:r>
      <w:r w:rsidR="00B36587">
        <w:rPr>
          <w:rFonts w:ascii="Times New Roman" w:hAnsi="Times New Roman" w:cs="Times New Roman"/>
          <w:sz w:val="24"/>
          <w:szCs w:val="24"/>
        </w:rPr>
        <w:t xml:space="preserve"> </w:t>
      </w:r>
      <w:r w:rsidR="003D4EF6">
        <w:rPr>
          <w:rFonts w:ascii="Times New Roman" w:hAnsi="Times New Roman" w:cs="Times New Roman"/>
          <w:sz w:val="24"/>
          <w:szCs w:val="24"/>
        </w:rPr>
        <w:t>Já a</w:t>
      </w:r>
      <w:r w:rsidR="00AC432C" w:rsidRPr="00BA5F65">
        <w:rPr>
          <w:rFonts w:ascii="Times New Roman" w:hAnsi="Times New Roman" w:cs="Times New Roman"/>
          <w:sz w:val="24"/>
          <w:szCs w:val="24"/>
        </w:rPr>
        <w:t xml:space="preserve"> Constituição de 1967</w:t>
      </w:r>
      <w:r w:rsidR="00D02366">
        <w:rPr>
          <w:rStyle w:val="Refdenotaderodap"/>
          <w:rFonts w:ascii="Times New Roman" w:hAnsi="Times New Roman" w:cs="Times New Roman"/>
          <w:sz w:val="24"/>
          <w:szCs w:val="24"/>
        </w:rPr>
        <w:footnoteReference w:id="6"/>
      </w:r>
      <w:r w:rsidR="00AC432C">
        <w:rPr>
          <w:rFonts w:ascii="Times New Roman" w:hAnsi="Times New Roman" w:cs="Times New Roman"/>
          <w:sz w:val="24"/>
          <w:szCs w:val="24"/>
        </w:rPr>
        <w:t xml:space="preserve">, </w:t>
      </w:r>
      <w:r w:rsidR="003D4EF6">
        <w:rPr>
          <w:rFonts w:ascii="Times New Roman" w:hAnsi="Times New Roman" w:cs="Times New Roman"/>
          <w:sz w:val="24"/>
          <w:szCs w:val="24"/>
        </w:rPr>
        <w:t>obrigou a</w:t>
      </w:r>
      <w:r w:rsidR="00F74190" w:rsidRPr="00BA5F65">
        <w:rPr>
          <w:rFonts w:ascii="Times New Roman" w:hAnsi="Times New Roman" w:cs="Times New Roman"/>
          <w:sz w:val="24"/>
          <w:szCs w:val="24"/>
        </w:rPr>
        <w:t xml:space="preserve"> inclusão, no orçamento das entidades de direito público, de verba necessária ao pagamento dos </w:t>
      </w:r>
      <w:r w:rsidR="003D4EF6">
        <w:rPr>
          <w:rFonts w:ascii="Times New Roman" w:hAnsi="Times New Roman" w:cs="Times New Roman"/>
          <w:sz w:val="24"/>
          <w:szCs w:val="24"/>
        </w:rPr>
        <w:t>precatórios.</w:t>
      </w:r>
    </w:p>
    <w:p w14:paraId="172B4DF4" w14:textId="77777777" w:rsidR="00B3534B" w:rsidRDefault="00BC2165" w:rsidP="00BA737D">
      <w:pPr>
        <w:spacing w:after="0" w:line="360" w:lineRule="auto"/>
        <w:ind w:firstLine="708"/>
        <w:jc w:val="both"/>
        <w:rPr>
          <w:rFonts w:ascii="Times New Roman" w:hAnsi="Times New Roman" w:cs="Times New Roman"/>
          <w:sz w:val="24"/>
          <w:szCs w:val="24"/>
        </w:rPr>
      </w:pPr>
      <w:r w:rsidRPr="00BA5F65">
        <w:rPr>
          <w:rFonts w:ascii="Times New Roman" w:hAnsi="Times New Roman" w:cs="Times New Roman"/>
          <w:sz w:val="24"/>
          <w:szCs w:val="24"/>
        </w:rPr>
        <w:t>O</w:t>
      </w:r>
      <w:r w:rsidR="0074266B" w:rsidRPr="00BA5F65">
        <w:rPr>
          <w:rFonts w:ascii="Times New Roman" w:hAnsi="Times New Roman" w:cs="Times New Roman"/>
          <w:sz w:val="24"/>
          <w:szCs w:val="24"/>
        </w:rPr>
        <w:t xml:space="preserve"> constituinte originário </w:t>
      </w:r>
      <w:r w:rsidR="00D36329" w:rsidRPr="00BA5F65">
        <w:rPr>
          <w:rFonts w:ascii="Times New Roman" w:hAnsi="Times New Roman" w:cs="Times New Roman"/>
          <w:sz w:val="24"/>
          <w:szCs w:val="24"/>
        </w:rPr>
        <w:t>de 1998</w:t>
      </w:r>
      <w:r w:rsidR="00BB4679">
        <w:rPr>
          <w:rFonts w:ascii="Times New Roman" w:hAnsi="Times New Roman" w:cs="Times New Roman"/>
          <w:sz w:val="24"/>
          <w:szCs w:val="24"/>
        </w:rPr>
        <w:t xml:space="preserve"> manteve os avanços </w:t>
      </w:r>
      <w:r w:rsidR="00FC3F91">
        <w:rPr>
          <w:rFonts w:ascii="Times New Roman" w:hAnsi="Times New Roman" w:cs="Times New Roman"/>
          <w:sz w:val="24"/>
          <w:szCs w:val="24"/>
        </w:rPr>
        <w:t>já realizados no sistema e fez algumas inovações. Ele criou a</w:t>
      </w:r>
      <w:r w:rsidR="00D36329" w:rsidRPr="00BA5F65">
        <w:rPr>
          <w:rFonts w:ascii="Times New Roman" w:hAnsi="Times New Roman" w:cs="Times New Roman"/>
          <w:sz w:val="24"/>
          <w:szCs w:val="24"/>
        </w:rPr>
        <w:t xml:space="preserve"> preferência no pagamento d</w:t>
      </w:r>
      <w:r w:rsidR="00FC3F91">
        <w:rPr>
          <w:rFonts w:ascii="Times New Roman" w:hAnsi="Times New Roman" w:cs="Times New Roman"/>
          <w:sz w:val="24"/>
          <w:szCs w:val="24"/>
        </w:rPr>
        <w:t>os</w:t>
      </w:r>
      <w:r w:rsidR="00D36329" w:rsidRPr="00BA5F65">
        <w:rPr>
          <w:rFonts w:ascii="Times New Roman" w:hAnsi="Times New Roman" w:cs="Times New Roman"/>
          <w:sz w:val="24"/>
          <w:szCs w:val="24"/>
        </w:rPr>
        <w:t xml:space="preserve"> c</w:t>
      </w:r>
      <w:r w:rsidR="0074266B" w:rsidRPr="00BA5F65">
        <w:rPr>
          <w:rFonts w:ascii="Times New Roman" w:hAnsi="Times New Roman" w:cs="Times New Roman"/>
          <w:sz w:val="24"/>
          <w:szCs w:val="24"/>
        </w:rPr>
        <w:t>réditos alimentícios</w:t>
      </w:r>
      <w:r w:rsidR="00FC3F91">
        <w:rPr>
          <w:rFonts w:ascii="Times New Roman" w:hAnsi="Times New Roman" w:cs="Times New Roman"/>
          <w:sz w:val="24"/>
          <w:szCs w:val="24"/>
        </w:rPr>
        <w:t xml:space="preserve"> </w:t>
      </w:r>
      <w:r w:rsidR="00BA737D">
        <w:rPr>
          <w:rFonts w:ascii="Times New Roman" w:hAnsi="Times New Roman" w:cs="Times New Roman"/>
          <w:sz w:val="24"/>
          <w:szCs w:val="24"/>
        </w:rPr>
        <w:t>e impôs</w:t>
      </w:r>
      <w:r w:rsidR="004638A6">
        <w:rPr>
          <w:rFonts w:ascii="Times New Roman" w:hAnsi="Times New Roman" w:cs="Times New Roman"/>
          <w:sz w:val="24"/>
          <w:szCs w:val="24"/>
        </w:rPr>
        <w:t xml:space="preserve"> a necessidade </w:t>
      </w:r>
      <w:r w:rsidR="00BA737D">
        <w:rPr>
          <w:rFonts w:ascii="Times New Roman" w:hAnsi="Times New Roman" w:cs="Times New Roman"/>
          <w:sz w:val="24"/>
          <w:szCs w:val="24"/>
        </w:rPr>
        <w:t>de atualização</w:t>
      </w:r>
      <w:r w:rsidR="00803944">
        <w:rPr>
          <w:rFonts w:ascii="Times New Roman" w:hAnsi="Times New Roman" w:cs="Times New Roman"/>
          <w:sz w:val="24"/>
          <w:szCs w:val="24"/>
        </w:rPr>
        <w:t xml:space="preserve"> </w:t>
      </w:r>
      <w:r w:rsidR="00C70A60">
        <w:rPr>
          <w:rFonts w:ascii="Times New Roman" w:hAnsi="Times New Roman" w:cs="Times New Roman"/>
          <w:sz w:val="24"/>
          <w:szCs w:val="24"/>
        </w:rPr>
        <w:t>monetária (</w:t>
      </w:r>
      <w:r w:rsidR="00895CC4">
        <w:rPr>
          <w:rFonts w:ascii="Times New Roman" w:hAnsi="Times New Roman" w:cs="Times New Roman"/>
          <w:sz w:val="24"/>
          <w:szCs w:val="24"/>
        </w:rPr>
        <w:t xml:space="preserve">CRFB, </w:t>
      </w:r>
      <w:r w:rsidR="00C70A60">
        <w:rPr>
          <w:rFonts w:ascii="Times New Roman" w:hAnsi="Times New Roman" w:cs="Times New Roman"/>
          <w:sz w:val="24"/>
          <w:szCs w:val="24"/>
        </w:rPr>
        <w:t>redação originária do art. 100, §1º)</w:t>
      </w:r>
      <w:r w:rsidR="005E08AF" w:rsidRPr="00BA5F65">
        <w:rPr>
          <w:rFonts w:ascii="Times New Roman" w:hAnsi="Times New Roman" w:cs="Times New Roman"/>
          <w:sz w:val="24"/>
          <w:szCs w:val="24"/>
        </w:rPr>
        <w:t xml:space="preserve">. </w:t>
      </w:r>
      <w:r w:rsidR="00803944">
        <w:rPr>
          <w:rFonts w:ascii="Times New Roman" w:hAnsi="Times New Roman" w:cs="Times New Roman"/>
          <w:sz w:val="24"/>
          <w:szCs w:val="24"/>
        </w:rPr>
        <w:t xml:space="preserve">Ademais, </w:t>
      </w:r>
      <w:r w:rsidR="00FA6936">
        <w:rPr>
          <w:rFonts w:ascii="Times New Roman" w:hAnsi="Times New Roman" w:cs="Times New Roman"/>
          <w:sz w:val="24"/>
          <w:szCs w:val="24"/>
        </w:rPr>
        <w:t>nas disposições transitórias, previu a possibilidade de parcelamento em até oito anos dos precatórios não alimentares pendentes de pagamento na data da promulgação da Constituição (</w:t>
      </w:r>
      <w:r w:rsidR="00895CC4">
        <w:rPr>
          <w:rFonts w:ascii="Times New Roman" w:hAnsi="Times New Roman" w:cs="Times New Roman"/>
          <w:sz w:val="24"/>
          <w:szCs w:val="24"/>
        </w:rPr>
        <w:t xml:space="preserve">CRFB, ADCT, </w:t>
      </w:r>
      <w:r w:rsidR="00FA6936">
        <w:rPr>
          <w:rFonts w:ascii="Times New Roman" w:hAnsi="Times New Roman" w:cs="Times New Roman"/>
          <w:sz w:val="24"/>
          <w:szCs w:val="24"/>
        </w:rPr>
        <w:t xml:space="preserve">art. 33). </w:t>
      </w:r>
    </w:p>
    <w:p w14:paraId="735A4DE6" w14:textId="77777777" w:rsidR="0074266B" w:rsidRDefault="00AC432C"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Seguindo nos avanços, o</w:t>
      </w:r>
      <w:r w:rsidR="00E321A2" w:rsidRPr="00BA5F65">
        <w:rPr>
          <w:rFonts w:ascii="Times New Roman" w:hAnsi="Times New Roman" w:cs="Times New Roman"/>
          <w:sz w:val="24"/>
          <w:szCs w:val="24"/>
        </w:rPr>
        <w:t xml:space="preserve"> constituinte derivado </w:t>
      </w:r>
      <w:r w:rsidR="00FA6936">
        <w:rPr>
          <w:rFonts w:ascii="Times New Roman" w:hAnsi="Times New Roman" w:cs="Times New Roman"/>
          <w:sz w:val="24"/>
          <w:szCs w:val="24"/>
        </w:rPr>
        <w:t>crio</w:t>
      </w:r>
      <w:r w:rsidR="00B3534B">
        <w:rPr>
          <w:rFonts w:ascii="Times New Roman" w:hAnsi="Times New Roman" w:cs="Times New Roman"/>
          <w:sz w:val="24"/>
          <w:szCs w:val="24"/>
        </w:rPr>
        <w:t>u</w:t>
      </w:r>
      <w:r w:rsidR="00FA6936">
        <w:rPr>
          <w:rFonts w:ascii="Times New Roman" w:hAnsi="Times New Roman" w:cs="Times New Roman"/>
          <w:sz w:val="24"/>
          <w:szCs w:val="24"/>
        </w:rPr>
        <w:t xml:space="preserve"> a</w:t>
      </w:r>
      <w:r w:rsidR="00DB256F">
        <w:rPr>
          <w:rFonts w:ascii="Times New Roman" w:hAnsi="Times New Roman" w:cs="Times New Roman"/>
          <w:sz w:val="24"/>
          <w:szCs w:val="24"/>
        </w:rPr>
        <w:t xml:space="preserve"> figura da</w:t>
      </w:r>
      <w:r w:rsidR="00FA6936">
        <w:rPr>
          <w:rFonts w:ascii="Times New Roman" w:hAnsi="Times New Roman" w:cs="Times New Roman"/>
          <w:sz w:val="24"/>
          <w:szCs w:val="24"/>
        </w:rPr>
        <w:t xml:space="preserve"> Requisição de Pequeno Valor (EC </w:t>
      </w:r>
      <w:r w:rsidR="00B01309">
        <w:rPr>
          <w:rFonts w:ascii="Times New Roman" w:hAnsi="Times New Roman" w:cs="Times New Roman"/>
          <w:sz w:val="24"/>
          <w:szCs w:val="24"/>
        </w:rPr>
        <w:t xml:space="preserve">nº </w:t>
      </w:r>
      <w:r w:rsidR="00FA6936">
        <w:rPr>
          <w:rFonts w:ascii="Times New Roman" w:hAnsi="Times New Roman" w:cs="Times New Roman"/>
          <w:sz w:val="24"/>
          <w:szCs w:val="24"/>
        </w:rPr>
        <w:t>20/1998)</w:t>
      </w:r>
      <w:r w:rsidR="00293CF1">
        <w:rPr>
          <w:rFonts w:ascii="Times New Roman" w:hAnsi="Times New Roman" w:cs="Times New Roman"/>
          <w:sz w:val="24"/>
          <w:szCs w:val="24"/>
        </w:rPr>
        <w:t>;</w:t>
      </w:r>
      <w:r w:rsidR="00AB4768">
        <w:rPr>
          <w:rFonts w:ascii="Times New Roman" w:hAnsi="Times New Roman" w:cs="Times New Roman"/>
          <w:sz w:val="24"/>
          <w:szCs w:val="24"/>
        </w:rPr>
        <w:t xml:space="preserve"> </w:t>
      </w:r>
      <w:r w:rsidR="00B3534B">
        <w:rPr>
          <w:rFonts w:ascii="Times New Roman" w:hAnsi="Times New Roman" w:cs="Times New Roman"/>
          <w:sz w:val="24"/>
          <w:szCs w:val="24"/>
        </w:rPr>
        <w:t xml:space="preserve">dispôs ser crime de responsabilidade a conduta do Presidente do Tribunal </w:t>
      </w:r>
      <w:r w:rsidR="00B3534B">
        <w:rPr>
          <w:rFonts w:ascii="Times New Roman" w:hAnsi="Times New Roman" w:cs="Times New Roman"/>
          <w:sz w:val="24"/>
          <w:szCs w:val="24"/>
        </w:rPr>
        <w:lastRenderedPageBreak/>
        <w:t>que retardar ou tentar frustrar a liquidação regular de precatórios, que responderá, também, perante o Conselho Nacional de Justiça (ECs nº 30/2000 e nº 62/2009)</w:t>
      </w:r>
      <w:r w:rsidR="00293CF1">
        <w:rPr>
          <w:rFonts w:ascii="Times New Roman" w:hAnsi="Times New Roman" w:cs="Times New Roman"/>
          <w:sz w:val="24"/>
          <w:szCs w:val="24"/>
        </w:rPr>
        <w:t>;</w:t>
      </w:r>
      <w:r w:rsidR="00AB4768">
        <w:rPr>
          <w:rFonts w:ascii="Times New Roman" w:hAnsi="Times New Roman" w:cs="Times New Roman"/>
          <w:sz w:val="24"/>
          <w:szCs w:val="24"/>
        </w:rPr>
        <w:t xml:space="preserve"> </w:t>
      </w:r>
      <w:r w:rsidR="009D51E3">
        <w:rPr>
          <w:rFonts w:ascii="Times New Roman" w:hAnsi="Times New Roman" w:cs="Times New Roman"/>
          <w:sz w:val="24"/>
          <w:szCs w:val="24"/>
        </w:rPr>
        <w:t xml:space="preserve">admitiu valores diferenciados para as RPVs conforme </w:t>
      </w:r>
      <w:r w:rsidR="004638A6">
        <w:rPr>
          <w:rFonts w:ascii="Times New Roman" w:hAnsi="Times New Roman" w:cs="Times New Roman"/>
          <w:sz w:val="24"/>
          <w:szCs w:val="24"/>
        </w:rPr>
        <w:t xml:space="preserve">a </w:t>
      </w:r>
      <w:r w:rsidR="009D51E3">
        <w:rPr>
          <w:rFonts w:ascii="Times New Roman" w:hAnsi="Times New Roman" w:cs="Times New Roman"/>
          <w:sz w:val="24"/>
          <w:szCs w:val="24"/>
        </w:rPr>
        <w:t xml:space="preserve">capacidade econômica dos entes públicos (EC nº 30/2000); </w:t>
      </w:r>
      <w:r w:rsidR="007B739D">
        <w:rPr>
          <w:rFonts w:ascii="Times New Roman" w:hAnsi="Times New Roman" w:cs="Times New Roman"/>
          <w:sz w:val="24"/>
          <w:szCs w:val="24"/>
        </w:rPr>
        <w:t>proibiu a</w:t>
      </w:r>
      <w:r w:rsidR="00DB256F">
        <w:rPr>
          <w:rFonts w:ascii="Times New Roman" w:hAnsi="Times New Roman" w:cs="Times New Roman"/>
          <w:sz w:val="24"/>
          <w:szCs w:val="24"/>
        </w:rPr>
        <w:t xml:space="preserve"> expedição de precatório complementar </w:t>
      </w:r>
      <w:r w:rsidR="009D51E3">
        <w:rPr>
          <w:rFonts w:ascii="Times New Roman" w:hAnsi="Times New Roman" w:cs="Times New Roman"/>
          <w:sz w:val="24"/>
          <w:szCs w:val="24"/>
        </w:rPr>
        <w:t xml:space="preserve">ou suplementar </w:t>
      </w:r>
      <w:r w:rsidR="00DB256F">
        <w:rPr>
          <w:rFonts w:ascii="Times New Roman" w:hAnsi="Times New Roman" w:cs="Times New Roman"/>
          <w:sz w:val="24"/>
          <w:szCs w:val="24"/>
        </w:rPr>
        <w:t xml:space="preserve">e seu fracionamento (EC </w:t>
      </w:r>
      <w:r w:rsidR="00B01309">
        <w:rPr>
          <w:rFonts w:ascii="Times New Roman" w:hAnsi="Times New Roman" w:cs="Times New Roman"/>
          <w:sz w:val="24"/>
          <w:szCs w:val="24"/>
        </w:rPr>
        <w:t xml:space="preserve">nº </w:t>
      </w:r>
      <w:r w:rsidR="00DB256F">
        <w:rPr>
          <w:rFonts w:ascii="Times New Roman" w:hAnsi="Times New Roman" w:cs="Times New Roman"/>
          <w:sz w:val="24"/>
          <w:szCs w:val="24"/>
        </w:rPr>
        <w:t>37/2002)</w:t>
      </w:r>
      <w:r w:rsidR="00293CF1">
        <w:rPr>
          <w:rFonts w:ascii="Times New Roman" w:hAnsi="Times New Roman" w:cs="Times New Roman"/>
          <w:sz w:val="24"/>
          <w:szCs w:val="24"/>
        </w:rPr>
        <w:t>;</w:t>
      </w:r>
      <w:r w:rsidR="00AB4768">
        <w:rPr>
          <w:rFonts w:ascii="Times New Roman" w:hAnsi="Times New Roman" w:cs="Times New Roman"/>
          <w:sz w:val="24"/>
          <w:szCs w:val="24"/>
        </w:rPr>
        <w:t xml:space="preserve"> </w:t>
      </w:r>
      <w:r w:rsidR="007B739D">
        <w:rPr>
          <w:rFonts w:ascii="Times New Roman" w:hAnsi="Times New Roman" w:cs="Times New Roman"/>
          <w:sz w:val="24"/>
          <w:szCs w:val="24"/>
        </w:rPr>
        <w:t>determinou o</w:t>
      </w:r>
      <w:r w:rsidR="00DB256F">
        <w:rPr>
          <w:rFonts w:ascii="Times New Roman" w:hAnsi="Times New Roman" w:cs="Times New Roman"/>
          <w:sz w:val="24"/>
          <w:szCs w:val="24"/>
        </w:rPr>
        <w:t xml:space="preserve"> grau de preferência de determinados precatórios, a fim de priorizar os créditos alimentares destinados a pessoas com idade igual ou superior a 60 anos ou portadores de doença grave (EC </w:t>
      </w:r>
      <w:r w:rsidR="00B532C0">
        <w:rPr>
          <w:rFonts w:ascii="Times New Roman" w:hAnsi="Times New Roman" w:cs="Times New Roman"/>
          <w:sz w:val="24"/>
          <w:szCs w:val="24"/>
        </w:rPr>
        <w:t xml:space="preserve">nº </w:t>
      </w:r>
      <w:r w:rsidR="00DB256F">
        <w:rPr>
          <w:rFonts w:ascii="Times New Roman" w:hAnsi="Times New Roman" w:cs="Times New Roman"/>
          <w:sz w:val="24"/>
          <w:szCs w:val="24"/>
        </w:rPr>
        <w:t>62/2009)</w:t>
      </w:r>
      <w:r w:rsidR="00293CF1">
        <w:rPr>
          <w:rFonts w:ascii="Times New Roman" w:hAnsi="Times New Roman" w:cs="Times New Roman"/>
          <w:sz w:val="24"/>
          <w:szCs w:val="24"/>
        </w:rPr>
        <w:t xml:space="preserve">; </w:t>
      </w:r>
      <w:r w:rsidR="007B739D">
        <w:rPr>
          <w:rFonts w:ascii="Times New Roman" w:hAnsi="Times New Roman" w:cs="Times New Roman"/>
          <w:sz w:val="24"/>
          <w:szCs w:val="24"/>
        </w:rPr>
        <w:t xml:space="preserve">determinou o </w:t>
      </w:r>
      <w:r w:rsidR="00B532C0">
        <w:rPr>
          <w:rFonts w:ascii="Times New Roman" w:hAnsi="Times New Roman" w:cs="Times New Roman"/>
          <w:sz w:val="24"/>
          <w:szCs w:val="24"/>
        </w:rPr>
        <w:t>sequestro no caso de não alocação orçamentária do valor necessário à satisfação do débito (EC nº 62/2009)</w:t>
      </w:r>
      <w:r w:rsidR="00293CF1">
        <w:rPr>
          <w:rFonts w:ascii="Times New Roman" w:hAnsi="Times New Roman" w:cs="Times New Roman"/>
          <w:sz w:val="24"/>
          <w:szCs w:val="24"/>
        </w:rPr>
        <w:t xml:space="preserve">; </w:t>
      </w:r>
      <w:r w:rsidR="007B739D">
        <w:rPr>
          <w:rFonts w:ascii="Times New Roman" w:hAnsi="Times New Roman" w:cs="Times New Roman"/>
          <w:sz w:val="24"/>
          <w:szCs w:val="24"/>
        </w:rPr>
        <w:t xml:space="preserve">adotou o </w:t>
      </w:r>
      <w:r w:rsidR="00C73569">
        <w:rPr>
          <w:rFonts w:ascii="Times New Roman" w:hAnsi="Times New Roman" w:cs="Times New Roman"/>
          <w:sz w:val="24"/>
          <w:szCs w:val="24"/>
        </w:rPr>
        <w:t xml:space="preserve">regime especial para pagamento de crédito de precatório de Estados, Distrito Federal e Municípios (EC nº 62/2009); </w:t>
      </w:r>
      <w:r w:rsidR="008E2B86">
        <w:rPr>
          <w:rFonts w:ascii="Times New Roman" w:hAnsi="Times New Roman" w:cs="Times New Roman"/>
          <w:sz w:val="24"/>
          <w:szCs w:val="24"/>
        </w:rPr>
        <w:t xml:space="preserve">previu a possibilidade do credor de precatórios ceder seu crédito a terceiros (EC nº 62/2009); </w:t>
      </w:r>
      <w:r w:rsidR="007B739D">
        <w:rPr>
          <w:rFonts w:ascii="Times New Roman" w:hAnsi="Times New Roman" w:cs="Times New Roman"/>
          <w:sz w:val="24"/>
          <w:szCs w:val="24"/>
        </w:rPr>
        <w:t xml:space="preserve">autorizou a </w:t>
      </w:r>
      <w:r w:rsidR="00293CF1">
        <w:rPr>
          <w:rFonts w:ascii="Times New Roman" w:hAnsi="Times New Roman" w:cs="Times New Roman"/>
          <w:sz w:val="24"/>
          <w:szCs w:val="24"/>
        </w:rPr>
        <w:t>utilização do precatório para a compra de imóveis públicos (EC nº 113/2021)</w:t>
      </w:r>
      <w:r w:rsidR="00C768BA">
        <w:rPr>
          <w:rFonts w:ascii="Times New Roman" w:hAnsi="Times New Roman" w:cs="Times New Roman"/>
          <w:sz w:val="24"/>
          <w:szCs w:val="24"/>
        </w:rPr>
        <w:t>.</w:t>
      </w:r>
    </w:p>
    <w:p w14:paraId="6A6B5C99" w14:textId="77777777" w:rsidR="00664CA6" w:rsidRPr="001125DD" w:rsidRDefault="00E04226" w:rsidP="00BA737D">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Sem embargo </w:t>
      </w:r>
      <w:r w:rsidR="00BA737D">
        <w:rPr>
          <w:rFonts w:ascii="Times New Roman" w:hAnsi="Times New Roman" w:cs="Times New Roman"/>
          <w:sz w:val="24"/>
          <w:szCs w:val="24"/>
        </w:rPr>
        <w:t>dos avanços</w:t>
      </w:r>
      <w:r w:rsidR="004638A6">
        <w:rPr>
          <w:rFonts w:ascii="Times New Roman" w:hAnsi="Times New Roman" w:cs="Times New Roman"/>
          <w:sz w:val="24"/>
          <w:szCs w:val="24"/>
        </w:rPr>
        <w:t xml:space="preserve"> </w:t>
      </w:r>
      <w:r w:rsidR="004E191F">
        <w:rPr>
          <w:rFonts w:ascii="Times New Roman" w:hAnsi="Times New Roman" w:cs="Times New Roman"/>
          <w:sz w:val="24"/>
          <w:szCs w:val="24"/>
        </w:rPr>
        <w:t>no sistema</w:t>
      </w:r>
      <w:r w:rsidR="00AC432C">
        <w:rPr>
          <w:rFonts w:ascii="Times New Roman" w:hAnsi="Times New Roman" w:cs="Times New Roman"/>
          <w:sz w:val="24"/>
          <w:szCs w:val="24"/>
        </w:rPr>
        <w:t xml:space="preserve">, o </w:t>
      </w:r>
      <w:r w:rsidR="00D804A1" w:rsidRPr="00BA5F65">
        <w:rPr>
          <w:rFonts w:ascii="Times New Roman" w:hAnsi="Times New Roman" w:cs="Times New Roman"/>
          <w:sz w:val="24"/>
          <w:szCs w:val="24"/>
        </w:rPr>
        <w:t>montante</w:t>
      </w:r>
      <w:r w:rsidR="00462E90">
        <w:rPr>
          <w:rFonts w:ascii="Times New Roman" w:hAnsi="Times New Roman" w:cs="Times New Roman"/>
          <w:sz w:val="24"/>
          <w:szCs w:val="24"/>
        </w:rPr>
        <w:t xml:space="preserve"> dos precatórios não pagos cresce </w:t>
      </w:r>
      <w:r w:rsidR="00AC432C">
        <w:rPr>
          <w:rFonts w:ascii="Times New Roman" w:hAnsi="Times New Roman" w:cs="Times New Roman"/>
          <w:sz w:val="24"/>
          <w:szCs w:val="24"/>
        </w:rPr>
        <w:t xml:space="preserve">de forma </w:t>
      </w:r>
      <w:r w:rsidR="00AC432C" w:rsidRPr="00760445">
        <w:rPr>
          <w:rFonts w:ascii="Times New Roman" w:hAnsi="Times New Roman" w:cs="Times New Roman"/>
          <w:sz w:val="24"/>
          <w:szCs w:val="24"/>
        </w:rPr>
        <w:t>exponencial</w:t>
      </w:r>
      <w:r w:rsidR="00760445">
        <w:rPr>
          <w:rFonts w:ascii="Times New Roman" w:hAnsi="Times New Roman" w:cs="Times New Roman"/>
          <w:sz w:val="24"/>
          <w:szCs w:val="24"/>
        </w:rPr>
        <w:t xml:space="preserve">. </w:t>
      </w:r>
      <w:r w:rsidR="00726B26" w:rsidRPr="00BA5F65">
        <w:rPr>
          <w:rFonts w:ascii="Times New Roman" w:hAnsi="Times New Roman" w:cs="Times New Roman"/>
          <w:sz w:val="24"/>
          <w:szCs w:val="24"/>
        </w:rPr>
        <w:t>Em junho de 2004, os precatórios pendentes de</w:t>
      </w:r>
      <w:r w:rsidR="00AC3316" w:rsidRPr="00BA5F65">
        <w:rPr>
          <w:rFonts w:ascii="Times New Roman" w:hAnsi="Times New Roman" w:cs="Times New Roman"/>
          <w:sz w:val="24"/>
          <w:szCs w:val="24"/>
        </w:rPr>
        <w:t xml:space="preserve"> pagamento equivaliam </w:t>
      </w:r>
      <w:r w:rsidR="00462E90">
        <w:rPr>
          <w:rFonts w:ascii="Times New Roman" w:hAnsi="Times New Roman" w:cs="Times New Roman"/>
          <w:sz w:val="24"/>
          <w:szCs w:val="24"/>
        </w:rPr>
        <w:t xml:space="preserve">a </w:t>
      </w:r>
      <w:r w:rsidR="00AC3316" w:rsidRPr="00BA5F65">
        <w:rPr>
          <w:rFonts w:ascii="Times New Roman" w:hAnsi="Times New Roman" w:cs="Times New Roman"/>
          <w:sz w:val="24"/>
          <w:szCs w:val="24"/>
        </w:rPr>
        <w:t>61 bilhões (JOBIM, 2006</w:t>
      </w:r>
      <w:r w:rsidR="00C92F05" w:rsidRPr="00BA5F65">
        <w:rPr>
          <w:rFonts w:ascii="Times New Roman" w:hAnsi="Times New Roman" w:cs="Times New Roman"/>
          <w:sz w:val="24"/>
          <w:szCs w:val="24"/>
        </w:rPr>
        <w:t>, p</w:t>
      </w:r>
      <w:r w:rsidR="00AC3316" w:rsidRPr="00BA5F65">
        <w:rPr>
          <w:rFonts w:ascii="Times New Roman" w:hAnsi="Times New Roman" w:cs="Times New Roman"/>
          <w:sz w:val="24"/>
          <w:szCs w:val="24"/>
        </w:rPr>
        <w:t xml:space="preserve">. 138). </w:t>
      </w:r>
      <w:r w:rsidR="00C92F05" w:rsidRPr="00BA5F65">
        <w:rPr>
          <w:rFonts w:ascii="Times New Roman" w:hAnsi="Times New Roman" w:cs="Times New Roman"/>
          <w:sz w:val="24"/>
          <w:szCs w:val="24"/>
        </w:rPr>
        <w:t xml:space="preserve">Em julho de 2021, tais valores </w:t>
      </w:r>
      <w:r w:rsidR="00462E90">
        <w:rPr>
          <w:rFonts w:ascii="Times New Roman" w:hAnsi="Times New Roman" w:cs="Times New Roman"/>
          <w:sz w:val="24"/>
          <w:szCs w:val="24"/>
        </w:rPr>
        <w:t xml:space="preserve">já estavam </w:t>
      </w:r>
      <w:r w:rsidR="00BA737D">
        <w:rPr>
          <w:rFonts w:ascii="Times New Roman" w:hAnsi="Times New Roman" w:cs="Times New Roman"/>
          <w:sz w:val="24"/>
          <w:szCs w:val="24"/>
        </w:rPr>
        <w:t xml:space="preserve">em </w:t>
      </w:r>
      <w:r w:rsidR="00BA737D" w:rsidRPr="00BA5F65">
        <w:rPr>
          <w:rFonts w:ascii="Times New Roman" w:hAnsi="Times New Roman" w:cs="Times New Roman"/>
          <w:sz w:val="24"/>
          <w:szCs w:val="24"/>
        </w:rPr>
        <w:t>cerca</w:t>
      </w:r>
      <w:r w:rsidR="00C92F05" w:rsidRPr="00BA5F65">
        <w:rPr>
          <w:rFonts w:ascii="Times New Roman" w:hAnsi="Times New Roman" w:cs="Times New Roman"/>
          <w:sz w:val="24"/>
          <w:szCs w:val="24"/>
        </w:rPr>
        <w:t xml:space="preserve"> de 220 </w:t>
      </w:r>
      <w:r w:rsidR="00864A51">
        <w:rPr>
          <w:rFonts w:ascii="Times New Roman" w:hAnsi="Times New Roman" w:cs="Times New Roman"/>
          <w:sz w:val="24"/>
          <w:szCs w:val="24"/>
        </w:rPr>
        <w:t>b</w:t>
      </w:r>
      <w:r w:rsidR="00C92F05" w:rsidRPr="00BA5F65">
        <w:rPr>
          <w:rFonts w:ascii="Times New Roman" w:hAnsi="Times New Roman" w:cs="Times New Roman"/>
          <w:sz w:val="24"/>
          <w:szCs w:val="24"/>
        </w:rPr>
        <w:t>ilhões</w:t>
      </w:r>
      <w:r w:rsidR="00567F5C">
        <w:rPr>
          <w:rFonts w:ascii="Times New Roman" w:hAnsi="Times New Roman" w:cs="Times New Roman"/>
          <w:sz w:val="24"/>
          <w:szCs w:val="24"/>
        </w:rPr>
        <w:t xml:space="preserve"> (</w:t>
      </w:r>
      <w:r w:rsidR="00AC0D37">
        <w:rPr>
          <w:rFonts w:ascii="Times New Roman" w:hAnsi="Times New Roman" w:cs="Times New Roman"/>
          <w:sz w:val="24"/>
          <w:szCs w:val="24"/>
        </w:rPr>
        <w:t>CNJ, 2022</w:t>
      </w:r>
      <w:r w:rsidR="00567F5C">
        <w:rPr>
          <w:rFonts w:ascii="Times New Roman" w:hAnsi="Times New Roman" w:cs="Times New Roman"/>
          <w:sz w:val="24"/>
          <w:szCs w:val="24"/>
        </w:rPr>
        <w:t>)</w:t>
      </w:r>
      <w:r w:rsidR="007E1AA7" w:rsidRPr="00BA5F65">
        <w:rPr>
          <w:rFonts w:ascii="Times New Roman" w:hAnsi="Times New Roman" w:cs="Times New Roman"/>
          <w:sz w:val="24"/>
          <w:szCs w:val="24"/>
        </w:rPr>
        <w:t>.</w:t>
      </w:r>
      <w:r w:rsidR="00AB4768">
        <w:rPr>
          <w:rFonts w:ascii="Times New Roman" w:hAnsi="Times New Roman" w:cs="Times New Roman"/>
          <w:sz w:val="24"/>
          <w:szCs w:val="24"/>
        </w:rPr>
        <w:t xml:space="preserve"> </w:t>
      </w:r>
      <w:r w:rsidR="001770E8">
        <w:rPr>
          <w:rFonts w:ascii="Times New Roman" w:hAnsi="Times New Roman" w:cs="Times New Roman"/>
          <w:sz w:val="24"/>
          <w:szCs w:val="24"/>
        </w:rPr>
        <w:t>E a</w:t>
      </w:r>
      <w:r w:rsidR="008877C4">
        <w:rPr>
          <w:rFonts w:ascii="Times New Roman" w:hAnsi="Times New Roman" w:cs="Times New Roman"/>
          <w:sz w:val="24"/>
          <w:szCs w:val="24"/>
        </w:rPr>
        <w:t xml:space="preserve"> perspectiva não </w:t>
      </w:r>
      <w:r w:rsidR="002D6DC2">
        <w:rPr>
          <w:rFonts w:ascii="Times New Roman" w:hAnsi="Times New Roman" w:cs="Times New Roman"/>
          <w:sz w:val="24"/>
          <w:szCs w:val="24"/>
        </w:rPr>
        <w:t>é</w:t>
      </w:r>
      <w:r w:rsidR="008877C4">
        <w:rPr>
          <w:rFonts w:ascii="Times New Roman" w:hAnsi="Times New Roman" w:cs="Times New Roman"/>
          <w:sz w:val="24"/>
          <w:szCs w:val="24"/>
        </w:rPr>
        <w:t xml:space="preserve"> animadora. </w:t>
      </w:r>
      <w:r w:rsidR="001770E8">
        <w:rPr>
          <w:rFonts w:ascii="Times New Roman" w:hAnsi="Times New Roman" w:cs="Times New Roman"/>
          <w:sz w:val="24"/>
          <w:szCs w:val="24"/>
        </w:rPr>
        <w:t>A</w:t>
      </w:r>
      <w:r w:rsidR="008877C4">
        <w:rPr>
          <w:rFonts w:ascii="Times New Roman" w:hAnsi="Times New Roman" w:cs="Times New Roman"/>
          <w:sz w:val="24"/>
          <w:szCs w:val="24"/>
        </w:rPr>
        <w:t xml:space="preserve"> crescente judicialização contra os entes públicos</w:t>
      </w:r>
      <w:r w:rsidR="00462E90">
        <w:rPr>
          <w:rFonts w:ascii="Times New Roman" w:hAnsi="Times New Roman" w:cs="Times New Roman"/>
          <w:sz w:val="24"/>
          <w:szCs w:val="24"/>
        </w:rPr>
        <w:t xml:space="preserve"> indica</w:t>
      </w:r>
      <w:r w:rsidR="001770E8">
        <w:rPr>
          <w:rFonts w:ascii="Times New Roman" w:hAnsi="Times New Roman" w:cs="Times New Roman"/>
          <w:sz w:val="24"/>
          <w:szCs w:val="24"/>
        </w:rPr>
        <w:t xml:space="preserve"> que </w:t>
      </w:r>
      <w:r w:rsidR="00CF4A0D">
        <w:rPr>
          <w:rFonts w:ascii="Times New Roman" w:hAnsi="Times New Roman" w:cs="Times New Roman"/>
          <w:sz w:val="24"/>
          <w:szCs w:val="24"/>
        </w:rPr>
        <w:t xml:space="preserve">o </w:t>
      </w:r>
      <w:r w:rsidR="001770E8">
        <w:rPr>
          <w:rFonts w:ascii="Times New Roman" w:hAnsi="Times New Roman" w:cs="Times New Roman"/>
          <w:sz w:val="24"/>
          <w:szCs w:val="24"/>
        </w:rPr>
        <w:t xml:space="preserve">montante aumentará. </w:t>
      </w:r>
      <w:r w:rsidR="00664CA6">
        <w:rPr>
          <w:rFonts w:ascii="Times New Roman" w:hAnsi="Times New Roman" w:cs="Times New Roman"/>
          <w:sz w:val="24"/>
          <w:szCs w:val="24"/>
        </w:rPr>
        <w:t xml:space="preserve">De 2017 a 2020, o número de processos ajuizados contra o Estado da Bahia cresceu 58% </w:t>
      </w:r>
      <w:r w:rsidR="00664CA6" w:rsidRPr="0045610C">
        <w:rPr>
          <w:rFonts w:ascii="Times New Roman" w:hAnsi="Times New Roman" w:cs="Times New Roman"/>
          <w:sz w:val="24"/>
          <w:szCs w:val="24"/>
        </w:rPr>
        <w:t>(</w:t>
      </w:r>
      <w:r w:rsidR="00BA737D" w:rsidRPr="0045610C">
        <w:rPr>
          <w:rFonts w:ascii="Times New Roman" w:hAnsi="Times New Roman" w:cs="Times New Roman"/>
          <w:sz w:val="24"/>
          <w:szCs w:val="24"/>
        </w:rPr>
        <w:t>MAIA</w:t>
      </w:r>
      <w:r w:rsidR="00BA737D">
        <w:rPr>
          <w:rFonts w:ascii="Times New Roman" w:hAnsi="Times New Roman" w:cs="Times New Roman"/>
          <w:sz w:val="24"/>
          <w:szCs w:val="24"/>
        </w:rPr>
        <w:t xml:space="preserve"> </w:t>
      </w:r>
      <w:r w:rsidR="00BA737D" w:rsidRPr="00B56653">
        <w:rPr>
          <w:rFonts w:ascii="Times New Roman" w:hAnsi="Times New Roman" w:cs="Times New Roman"/>
          <w:i/>
          <w:iCs/>
          <w:sz w:val="24"/>
          <w:szCs w:val="24"/>
        </w:rPr>
        <w:t>et</w:t>
      </w:r>
      <w:r w:rsidR="001125DD" w:rsidRPr="00B56653">
        <w:rPr>
          <w:rFonts w:ascii="Times New Roman" w:hAnsi="Times New Roman" w:cs="Times New Roman"/>
          <w:i/>
          <w:iCs/>
          <w:sz w:val="24"/>
          <w:szCs w:val="24"/>
        </w:rPr>
        <w:t xml:space="preserve"> al</w:t>
      </w:r>
      <w:r w:rsidR="001125DD" w:rsidRPr="0045610C">
        <w:rPr>
          <w:rFonts w:ascii="Times New Roman" w:hAnsi="Times New Roman" w:cs="Times New Roman"/>
          <w:sz w:val="24"/>
          <w:szCs w:val="24"/>
        </w:rPr>
        <w:t>.</w:t>
      </w:r>
      <w:r w:rsidR="00664CA6" w:rsidRPr="0045610C">
        <w:rPr>
          <w:rFonts w:ascii="Times New Roman" w:hAnsi="Times New Roman" w:cs="Times New Roman"/>
          <w:sz w:val="24"/>
          <w:szCs w:val="24"/>
        </w:rPr>
        <w:t xml:space="preserve">, </w:t>
      </w:r>
      <w:r w:rsidR="001125DD" w:rsidRPr="0045610C">
        <w:rPr>
          <w:rFonts w:ascii="Times New Roman" w:hAnsi="Times New Roman" w:cs="Times New Roman"/>
          <w:iCs/>
          <w:sz w:val="24"/>
          <w:szCs w:val="24"/>
        </w:rPr>
        <w:t>2022</w:t>
      </w:r>
      <w:r w:rsidR="00664CA6" w:rsidRPr="0045610C">
        <w:rPr>
          <w:rFonts w:ascii="Times New Roman" w:hAnsi="Times New Roman" w:cs="Times New Roman"/>
          <w:sz w:val="24"/>
          <w:szCs w:val="24"/>
        </w:rPr>
        <w:t>, p. 12 e 20).</w:t>
      </w:r>
    </w:p>
    <w:p w14:paraId="33CC5717" w14:textId="77777777" w:rsidR="00E6399E" w:rsidRDefault="00E6399E"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Medidas precisam ser tomadas para conter esse crescimento. </w:t>
      </w:r>
      <w:r w:rsidR="006A4366">
        <w:rPr>
          <w:rFonts w:ascii="Times New Roman" w:hAnsi="Times New Roman" w:cs="Times New Roman"/>
          <w:sz w:val="24"/>
          <w:szCs w:val="24"/>
        </w:rPr>
        <w:t>Já a</w:t>
      </w:r>
      <w:r w:rsidR="00854D1B">
        <w:rPr>
          <w:rFonts w:ascii="Times New Roman" w:hAnsi="Times New Roman" w:cs="Times New Roman"/>
          <w:sz w:val="24"/>
          <w:szCs w:val="24"/>
        </w:rPr>
        <w:t xml:space="preserve">tento a isso, o constituinte derivado </w:t>
      </w:r>
      <w:r w:rsidR="00B400C8">
        <w:rPr>
          <w:rFonts w:ascii="Times New Roman" w:hAnsi="Times New Roman" w:cs="Times New Roman"/>
          <w:sz w:val="24"/>
          <w:szCs w:val="24"/>
        </w:rPr>
        <w:t xml:space="preserve">editou as ECs n.º 30/2000 e 62/2009 prevendo mecanismos para o pagamento dos precatórios. </w:t>
      </w:r>
      <w:r w:rsidR="00C86CB1">
        <w:rPr>
          <w:rFonts w:ascii="Times New Roman" w:hAnsi="Times New Roman" w:cs="Times New Roman"/>
          <w:sz w:val="24"/>
          <w:szCs w:val="24"/>
        </w:rPr>
        <w:t xml:space="preserve">No entanto, </w:t>
      </w:r>
      <w:r w:rsidR="001548DE">
        <w:rPr>
          <w:rFonts w:ascii="Times New Roman" w:hAnsi="Times New Roman" w:cs="Times New Roman"/>
          <w:sz w:val="24"/>
          <w:szCs w:val="24"/>
        </w:rPr>
        <w:t xml:space="preserve">o STF suspendeu </w:t>
      </w:r>
      <w:r w:rsidR="00C86CB1">
        <w:rPr>
          <w:rFonts w:ascii="Times New Roman" w:hAnsi="Times New Roman" w:cs="Times New Roman"/>
          <w:sz w:val="24"/>
          <w:szCs w:val="24"/>
        </w:rPr>
        <w:t>a</w:t>
      </w:r>
      <w:r w:rsidR="001548DE">
        <w:rPr>
          <w:rFonts w:ascii="Times New Roman" w:hAnsi="Times New Roman" w:cs="Times New Roman"/>
          <w:sz w:val="24"/>
          <w:szCs w:val="24"/>
        </w:rPr>
        <w:t xml:space="preserve"> eficácia d</w:t>
      </w:r>
      <w:r w:rsidR="0045610C">
        <w:rPr>
          <w:rFonts w:ascii="Times New Roman" w:hAnsi="Times New Roman" w:cs="Times New Roman"/>
          <w:sz w:val="24"/>
          <w:szCs w:val="24"/>
        </w:rPr>
        <w:t>e parte d</w:t>
      </w:r>
      <w:r w:rsidR="001548DE">
        <w:rPr>
          <w:rFonts w:ascii="Times New Roman" w:hAnsi="Times New Roman" w:cs="Times New Roman"/>
          <w:sz w:val="24"/>
          <w:szCs w:val="24"/>
        </w:rPr>
        <w:t xml:space="preserve">a EC n.º 30/2000 na ADI n.º 2.362 e </w:t>
      </w:r>
      <w:r w:rsidR="00BA737D">
        <w:rPr>
          <w:rFonts w:ascii="Times New Roman" w:hAnsi="Times New Roman" w:cs="Times New Roman"/>
          <w:sz w:val="24"/>
          <w:szCs w:val="24"/>
        </w:rPr>
        <w:t>declarou a</w:t>
      </w:r>
      <w:r w:rsidR="001548DE">
        <w:rPr>
          <w:rFonts w:ascii="Times New Roman" w:hAnsi="Times New Roman" w:cs="Times New Roman"/>
          <w:sz w:val="24"/>
          <w:szCs w:val="24"/>
        </w:rPr>
        <w:t xml:space="preserve"> inconstitucionalidade </w:t>
      </w:r>
      <w:r w:rsidR="003971CB">
        <w:rPr>
          <w:rFonts w:ascii="Times New Roman" w:hAnsi="Times New Roman" w:cs="Times New Roman"/>
          <w:sz w:val="24"/>
          <w:szCs w:val="24"/>
        </w:rPr>
        <w:t xml:space="preserve">parcial </w:t>
      </w:r>
      <w:r w:rsidR="001548DE">
        <w:rPr>
          <w:rFonts w:ascii="Times New Roman" w:hAnsi="Times New Roman" w:cs="Times New Roman"/>
          <w:sz w:val="24"/>
          <w:szCs w:val="24"/>
        </w:rPr>
        <w:t>d</w:t>
      </w:r>
      <w:r w:rsidR="008306E3">
        <w:rPr>
          <w:rFonts w:ascii="Times New Roman" w:hAnsi="Times New Roman" w:cs="Times New Roman"/>
          <w:sz w:val="24"/>
          <w:szCs w:val="24"/>
        </w:rPr>
        <w:t>a EC n.º 62/2009</w:t>
      </w:r>
      <w:r w:rsidR="00AB4768">
        <w:rPr>
          <w:rFonts w:ascii="Times New Roman" w:hAnsi="Times New Roman" w:cs="Times New Roman"/>
          <w:sz w:val="24"/>
          <w:szCs w:val="24"/>
        </w:rPr>
        <w:t xml:space="preserve"> </w:t>
      </w:r>
      <w:r w:rsidR="008306E3">
        <w:rPr>
          <w:rFonts w:ascii="Times New Roman" w:hAnsi="Times New Roman" w:cs="Times New Roman"/>
          <w:sz w:val="24"/>
          <w:szCs w:val="24"/>
        </w:rPr>
        <w:t>na</w:t>
      </w:r>
      <w:r w:rsidR="0058119B">
        <w:rPr>
          <w:rFonts w:ascii="Times New Roman" w:hAnsi="Times New Roman" w:cs="Times New Roman"/>
          <w:sz w:val="24"/>
          <w:szCs w:val="24"/>
        </w:rPr>
        <w:t>s</w:t>
      </w:r>
      <w:r w:rsidR="008306E3">
        <w:rPr>
          <w:rFonts w:ascii="Times New Roman" w:hAnsi="Times New Roman" w:cs="Times New Roman"/>
          <w:sz w:val="24"/>
          <w:szCs w:val="24"/>
        </w:rPr>
        <w:t xml:space="preserve"> ADI</w:t>
      </w:r>
      <w:r w:rsidR="0058119B">
        <w:rPr>
          <w:rFonts w:ascii="Times New Roman" w:hAnsi="Times New Roman" w:cs="Times New Roman"/>
          <w:sz w:val="24"/>
          <w:szCs w:val="24"/>
        </w:rPr>
        <w:t>s</w:t>
      </w:r>
      <w:r w:rsidR="008306E3">
        <w:rPr>
          <w:rFonts w:ascii="Times New Roman" w:hAnsi="Times New Roman" w:cs="Times New Roman"/>
          <w:sz w:val="24"/>
          <w:szCs w:val="24"/>
        </w:rPr>
        <w:t xml:space="preserve"> n.º </w:t>
      </w:r>
      <w:r w:rsidR="0058119B">
        <w:rPr>
          <w:rFonts w:ascii="Times New Roman" w:hAnsi="Times New Roman" w:cs="Times New Roman"/>
          <w:sz w:val="24"/>
          <w:szCs w:val="24"/>
        </w:rPr>
        <w:t xml:space="preserve">4.357 e 4.425. </w:t>
      </w:r>
      <w:r w:rsidR="00925D11">
        <w:rPr>
          <w:rFonts w:ascii="Times New Roman" w:hAnsi="Times New Roman" w:cs="Times New Roman"/>
          <w:sz w:val="24"/>
          <w:szCs w:val="24"/>
        </w:rPr>
        <w:t xml:space="preserve">Não obstante, no julgamento de questão de ordem nas ADIs n.º 4.357 e 4.425 o STF reconheceu </w:t>
      </w:r>
      <w:r w:rsidR="00B425EF">
        <w:rPr>
          <w:rFonts w:ascii="Times New Roman" w:hAnsi="Times New Roman" w:cs="Times New Roman"/>
          <w:sz w:val="24"/>
          <w:szCs w:val="24"/>
        </w:rPr>
        <w:t xml:space="preserve">que a EC n.º 62/2009 havia permitido a retomada </w:t>
      </w:r>
      <w:r w:rsidR="00C23531">
        <w:rPr>
          <w:rFonts w:ascii="Times New Roman" w:hAnsi="Times New Roman" w:cs="Times New Roman"/>
          <w:sz w:val="24"/>
          <w:szCs w:val="24"/>
        </w:rPr>
        <w:t xml:space="preserve">do pagamento dos precatórios e que </w:t>
      </w:r>
      <w:r w:rsidR="00925D11">
        <w:rPr>
          <w:rFonts w:ascii="Times New Roman" w:hAnsi="Times New Roman" w:cs="Times New Roman"/>
          <w:sz w:val="24"/>
          <w:szCs w:val="24"/>
        </w:rPr>
        <w:t xml:space="preserve">o constituinte </w:t>
      </w:r>
      <w:r w:rsidR="00E61D9E">
        <w:rPr>
          <w:rFonts w:ascii="Times New Roman" w:hAnsi="Times New Roman" w:cs="Times New Roman"/>
          <w:sz w:val="24"/>
          <w:szCs w:val="24"/>
        </w:rPr>
        <w:t xml:space="preserve">estava se esforçando </w:t>
      </w:r>
      <w:r w:rsidR="00615EAD">
        <w:rPr>
          <w:rFonts w:ascii="Times New Roman" w:hAnsi="Times New Roman" w:cs="Times New Roman"/>
          <w:sz w:val="24"/>
          <w:szCs w:val="24"/>
        </w:rPr>
        <w:t>para solucionar o problema</w:t>
      </w:r>
      <w:r w:rsidR="00E61D9E">
        <w:rPr>
          <w:rFonts w:ascii="Times New Roman" w:hAnsi="Times New Roman" w:cs="Times New Roman"/>
          <w:sz w:val="24"/>
          <w:szCs w:val="24"/>
        </w:rPr>
        <w:t>. Assim, ele não se contentou em meramente declara</w:t>
      </w:r>
      <w:r w:rsidR="00116C9D">
        <w:rPr>
          <w:rFonts w:ascii="Times New Roman" w:hAnsi="Times New Roman" w:cs="Times New Roman"/>
          <w:sz w:val="24"/>
          <w:szCs w:val="24"/>
        </w:rPr>
        <w:t xml:space="preserve">r a inconstitucionalidade da norma: </w:t>
      </w:r>
      <w:r w:rsidR="00615EAD">
        <w:rPr>
          <w:rFonts w:ascii="Times New Roman" w:hAnsi="Times New Roman" w:cs="Times New Roman"/>
          <w:sz w:val="24"/>
          <w:szCs w:val="24"/>
        </w:rPr>
        <w:t>sugeriu medidas a serem tomadas.</w:t>
      </w:r>
      <w:r w:rsidR="00116C9D">
        <w:rPr>
          <w:rFonts w:ascii="Times New Roman" w:hAnsi="Times New Roman" w:cs="Times New Roman"/>
          <w:sz w:val="24"/>
          <w:szCs w:val="24"/>
        </w:rPr>
        <w:t xml:space="preserve"> Umas das medidas sugeridas, a partir de voto do Ministro Luís Roberto </w:t>
      </w:r>
      <w:r w:rsidR="0054738D">
        <w:rPr>
          <w:rFonts w:ascii="Times New Roman" w:hAnsi="Times New Roman" w:cs="Times New Roman"/>
          <w:sz w:val="24"/>
          <w:szCs w:val="24"/>
        </w:rPr>
        <w:t>B</w:t>
      </w:r>
      <w:r w:rsidR="00116C9D">
        <w:rPr>
          <w:rFonts w:ascii="Times New Roman" w:hAnsi="Times New Roman" w:cs="Times New Roman"/>
          <w:sz w:val="24"/>
          <w:szCs w:val="24"/>
        </w:rPr>
        <w:t>arroso, foi o uso dos depósitos.</w:t>
      </w:r>
    </w:p>
    <w:p w14:paraId="4135CA59" w14:textId="77777777" w:rsidR="00F227AF" w:rsidRDefault="0054738D"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Pouco depois do julgamento da questão de ordem, o poder constituinte derivado editou </w:t>
      </w:r>
      <w:r w:rsidR="00041698">
        <w:rPr>
          <w:rFonts w:ascii="Times New Roman" w:hAnsi="Times New Roman" w:cs="Times New Roman"/>
          <w:sz w:val="24"/>
          <w:szCs w:val="24"/>
        </w:rPr>
        <w:t xml:space="preserve">a EC n.º </w:t>
      </w:r>
      <w:r w:rsidR="005F1500">
        <w:rPr>
          <w:rFonts w:ascii="Times New Roman" w:hAnsi="Times New Roman" w:cs="Times New Roman"/>
          <w:sz w:val="24"/>
          <w:szCs w:val="24"/>
        </w:rPr>
        <w:t>94/2016</w:t>
      </w:r>
      <w:r w:rsidR="00CA0CCA">
        <w:rPr>
          <w:rFonts w:ascii="Times New Roman" w:hAnsi="Times New Roman" w:cs="Times New Roman"/>
          <w:sz w:val="24"/>
          <w:szCs w:val="24"/>
        </w:rPr>
        <w:t>, fazendo alusão n</w:t>
      </w:r>
      <w:r w:rsidR="00B524E1">
        <w:rPr>
          <w:rFonts w:ascii="Times New Roman" w:hAnsi="Times New Roman" w:cs="Times New Roman"/>
          <w:sz w:val="24"/>
          <w:szCs w:val="24"/>
        </w:rPr>
        <w:t xml:space="preserve">a </w:t>
      </w:r>
      <w:r w:rsidR="00124BB1">
        <w:rPr>
          <w:rFonts w:ascii="Times New Roman" w:hAnsi="Times New Roman" w:cs="Times New Roman"/>
          <w:sz w:val="24"/>
          <w:szCs w:val="24"/>
        </w:rPr>
        <w:t>exposição de</w:t>
      </w:r>
      <w:r w:rsidR="00CA0CCA">
        <w:rPr>
          <w:rFonts w:ascii="Times New Roman" w:hAnsi="Times New Roman" w:cs="Times New Roman"/>
          <w:sz w:val="24"/>
          <w:szCs w:val="24"/>
        </w:rPr>
        <w:t xml:space="preserve"> motivos a tal julgamento. </w:t>
      </w:r>
      <w:r w:rsidR="008E67DE">
        <w:rPr>
          <w:rFonts w:ascii="Times New Roman" w:hAnsi="Times New Roman" w:cs="Times New Roman"/>
          <w:sz w:val="24"/>
          <w:szCs w:val="24"/>
        </w:rPr>
        <w:t xml:space="preserve">A </w:t>
      </w:r>
      <w:r w:rsidR="00992498">
        <w:rPr>
          <w:rFonts w:ascii="Times New Roman" w:hAnsi="Times New Roman" w:cs="Times New Roman"/>
          <w:sz w:val="24"/>
          <w:szCs w:val="24"/>
        </w:rPr>
        <w:t>emenda inseriu n</w:t>
      </w:r>
      <w:r w:rsidR="00472FE7">
        <w:rPr>
          <w:rFonts w:ascii="Times New Roman" w:hAnsi="Times New Roman" w:cs="Times New Roman"/>
          <w:sz w:val="24"/>
          <w:szCs w:val="24"/>
        </w:rPr>
        <w:t>o ADCT da CRFB o art. 101, que, n</w:t>
      </w:r>
      <w:r w:rsidR="00EB2CD0">
        <w:rPr>
          <w:rFonts w:ascii="Times New Roman" w:hAnsi="Times New Roman" w:cs="Times New Roman"/>
          <w:sz w:val="24"/>
          <w:szCs w:val="24"/>
        </w:rPr>
        <w:t>o § 2º, I e II, previu o uso dos depósitos judiciais e administrativos para o pagamento dos precatórios</w:t>
      </w:r>
      <w:r w:rsidR="00633699">
        <w:rPr>
          <w:rFonts w:ascii="Times New Roman" w:hAnsi="Times New Roman" w:cs="Times New Roman"/>
          <w:sz w:val="24"/>
          <w:szCs w:val="24"/>
        </w:rPr>
        <w:t xml:space="preserve"> dos entes subnacionais que estivessem em mora em 25</w:t>
      </w:r>
      <w:r w:rsidR="00AB4768">
        <w:rPr>
          <w:rFonts w:ascii="Times New Roman" w:hAnsi="Times New Roman" w:cs="Times New Roman"/>
          <w:sz w:val="24"/>
          <w:szCs w:val="24"/>
        </w:rPr>
        <w:t>/3/2015:</w:t>
      </w:r>
    </w:p>
    <w:p w14:paraId="47A08CA0" w14:textId="77777777" w:rsidR="00AB4768" w:rsidRDefault="00AB4768" w:rsidP="00BA737D">
      <w:pPr>
        <w:spacing w:after="0" w:line="360" w:lineRule="auto"/>
        <w:ind w:firstLine="708"/>
        <w:jc w:val="both"/>
        <w:rPr>
          <w:rFonts w:ascii="Times New Roman" w:hAnsi="Times New Roman" w:cs="Times New Roman"/>
          <w:sz w:val="24"/>
          <w:szCs w:val="24"/>
        </w:rPr>
      </w:pPr>
    </w:p>
    <w:p w14:paraId="753FBD39" w14:textId="77777777" w:rsidR="00124BB1" w:rsidRPr="005408CD" w:rsidRDefault="00F227AF" w:rsidP="00BA737D">
      <w:pPr>
        <w:pStyle w:val="CitaoPGE"/>
        <w:rPr>
          <w:rFonts w:ascii="Times New Roman" w:hAnsi="Times New Roman" w:cs="Times New Roman"/>
          <w:sz w:val="22"/>
          <w:szCs w:val="22"/>
        </w:rPr>
      </w:pPr>
      <w:r w:rsidRPr="005408CD">
        <w:rPr>
          <w:rFonts w:ascii="Times New Roman" w:hAnsi="Times New Roman" w:cs="Times New Roman"/>
          <w:sz w:val="22"/>
          <w:szCs w:val="22"/>
        </w:rPr>
        <w:t xml:space="preserve">Art. 101. Os Estados, o Distrito Federal e os Municípios que, em 25 de março de 2015, estiverem em mora com o pagamento de seus precatórios quitarão até 31 de dezembro de 2020 seus débitos vencidos e os que vencerão dentro desse período, depositando, mensalmente, em conta especial do Tribunal de Justiça local, sob </w:t>
      </w:r>
      <w:r w:rsidRPr="005408CD">
        <w:rPr>
          <w:rFonts w:ascii="Times New Roman" w:hAnsi="Times New Roman" w:cs="Times New Roman"/>
          <w:sz w:val="22"/>
          <w:szCs w:val="22"/>
        </w:rPr>
        <w:lastRenderedPageBreak/>
        <w:t>única e exclusiva administração desse, 1/12 (um doze avos) do valor calculado percentualmente sobre as respectivas receitas correntes líquidas, apuradas no segundo mês anterior ao mês de pagamento, em percentual suficiente para a quitação de seus débitos e, ainda que variável, nunca inferior, em cada exercício, à média do comprometimento percentual da receita corrente líquida no período de 2012 a 2014, em conformidade com plano de pagamento a ser anualmente apresentado ao Tribunal de Justiça local.</w:t>
      </w:r>
      <w:r w:rsidR="00750344" w:rsidRPr="005408CD">
        <w:rPr>
          <w:rFonts w:ascii="Times New Roman" w:hAnsi="Times New Roman" w:cs="Times New Roman"/>
          <w:sz w:val="22"/>
          <w:szCs w:val="22"/>
        </w:rPr>
        <w:t>(...)</w:t>
      </w:r>
    </w:p>
    <w:p w14:paraId="294B3183" w14:textId="77777777" w:rsidR="00750344" w:rsidRPr="005408CD" w:rsidRDefault="00750344" w:rsidP="00BA737D">
      <w:pPr>
        <w:pStyle w:val="CitaoPGE"/>
        <w:rPr>
          <w:rFonts w:ascii="Times New Roman" w:hAnsi="Times New Roman" w:cs="Times New Roman"/>
          <w:sz w:val="22"/>
          <w:szCs w:val="22"/>
        </w:rPr>
      </w:pPr>
      <w:r w:rsidRPr="005408CD">
        <w:rPr>
          <w:rFonts w:ascii="Times New Roman" w:hAnsi="Times New Roman" w:cs="Times New Roman"/>
          <w:sz w:val="22"/>
          <w:szCs w:val="22"/>
        </w:rPr>
        <w:t>§ 2º O débito de precatórios poderá ser pago mediante a utilização de recursos orçamentários próprios e dos seguintes instrumentos:</w:t>
      </w:r>
    </w:p>
    <w:p w14:paraId="44B74788" w14:textId="77777777" w:rsidR="00750344" w:rsidRPr="005408CD" w:rsidRDefault="00750344" w:rsidP="00BA737D">
      <w:pPr>
        <w:pStyle w:val="CitaoPGE"/>
        <w:rPr>
          <w:rFonts w:ascii="Times New Roman" w:hAnsi="Times New Roman" w:cs="Times New Roman"/>
          <w:sz w:val="22"/>
          <w:szCs w:val="22"/>
        </w:rPr>
      </w:pPr>
      <w:r w:rsidRPr="005408CD">
        <w:rPr>
          <w:rFonts w:ascii="Times New Roman" w:hAnsi="Times New Roman" w:cs="Times New Roman"/>
          <w:sz w:val="22"/>
          <w:szCs w:val="22"/>
        </w:rPr>
        <w:t>I - até 75% (setenta e cinco por cento) do montante dos depósitos judiciais e dos depósitos administrativos em dinheiro referentes a processos judiciais ou administrativos, tributários ou não tributários, nos quais o Estado, o Distrito Federal ou os Municípios, ou suas autarquias, fundações e empresas estatais dependentes, sejam parte;</w:t>
      </w:r>
    </w:p>
    <w:p w14:paraId="463FF72F" w14:textId="77777777" w:rsidR="00750344" w:rsidRPr="005408CD" w:rsidRDefault="00750344" w:rsidP="00BA737D">
      <w:pPr>
        <w:pStyle w:val="CitaoPGE"/>
        <w:rPr>
          <w:rFonts w:ascii="Times New Roman" w:hAnsi="Times New Roman" w:cs="Times New Roman"/>
          <w:sz w:val="22"/>
          <w:szCs w:val="22"/>
        </w:rPr>
      </w:pPr>
      <w:r w:rsidRPr="005408CD">
        <w:rPr>
          <w:rFonts w:ascii="Times New Roman" w:hAnsi="Times New Roman" w:cs="Times New Roman"/>
          <w:sz w:val="22"/>
          <w:szCs w:val="22"/>
        </w:rPr>
        <w:t>II - até 20% (vinte por cento) dos demais depósitos judiciais da localidade, sob jurisdição do respectivo Tribunal de Justiça, excetuados os destinados à quitação de créditos de natureza alimentícia, mediante instituição de fundo garantidor composto pela parcela restante dos depósitos judiciais, destinando-se:</w:t>
      </w:r>
    </w:p>
    <w:p w14:paraId="1EFAAA8E" w14:textId="77777777" w:rsidR="003D329B" w:rsidRPr="005408CD" w:rsidRDefault="003D329B" w:rsidP="00BA737D">
      <w:pPr>
        <w:pStyle w:val="CitaoPGE"/>
        <w:rPr>
          <w:rFonts w:ascii="Times New Roman" w:hAnsi="Times New Roman" w:cs="Times New Roman"/>
          <w:sz w:val="22"/>
          <w:szCs w:val="22"/>
        </w:rPr>
      </w:pPr>
      <w:r w:rsidRPr="005408CD">
        <w:rPr>
          <w:rFonts w:ascii="Times New Roman" w:hAnsi="Times New Roman" w:cs="Times New Roman"/>
          <w:sz w:val="22"/>
          <w:szCs w:val="22"/>
        </w:rPr>
        <w:t>a) no caso do Distrito Federal, 100% (cem por cento) desses recursos ao próprio Distrito Federal;</w:t>
      </w:r>
    </w:p>
    <w:p w14:paraId="116DD352" w14:textId="77777777" w:rsidR="00F227AF" w:rsidRDefault="003D329B" w:rsidP="00BA737D">
      <w:pPr>
        <w:pStyle w:val="CitaoPGE"/>
        <w:rPr>
          <w:rFonts w:ascii="Times New Roman" w:hAnsi="Times New Roman" w:cs="Times New Roman"/>
          <w:sz w:val="22"/>
          <w:szCs w:val="22"/>
        </w:rPr>
      </w:pPr>
      <w:r w:rsidRPr="005408CD">
        <w:rPr>
          <w:rFonts w:ascii="Times New Roman" w:hAnsi="Times New Roman" w:cs="Times New Roman"/>
          <w:sz w:val="22"/>
          <w:szCs w:val="22"/>
        </w:rPr>
        <w:t>b) no caso dos Estados, 50% (cinquenta por cento) desses recursos ao próprio Estado e 50% (cinquenta por cento) a seus Municípios;</w:t>
      </w:r>
    </w:p>
    <w:p w14:paraId="3D509A13" w14:textId="77777777" w:rsidR="00DB589E" w:rsidRPr="005408CD" w:rsidRDefault="00DB589E" w:rsidP="00BA737D">
      <w:pPr>
        <w:pStyle w:val="CitaoPGE"/>
        <w:rPr>
          <w:rFonts w:ascii="Times New Roman" w:hAnsi="Times New Roman" w:cs="Times New Roman"/>
          <w:sz w:val="22"/>
          <w:szCs w:val="22"/>
        </w:rPr>
      </w:pPr>
    </w:p>
    <w:p w14:paraId="5833A7F6" w14:textId="77777777" w:rsidR="003D329B" w:rsidRDefault="00143C35"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ano seguinte, o constituinte editou a EC n.º 99/2017</w:t>
      </w:r>
      <w:r w:rsidR="00C60769">
        <w:rPr>
          <w:rFonts w:ascii="Times New Roman" w:hAnsi="Times New Roman" w:cs="Times New Roman"/>
          <w:sz w:val="24"/>
          <w:szCs w:val="24"/>
        </w:rPr>
        <w:t xml:space="preserve">. </w:t>
      </w:r>
      <w:r w:rsidR="00BA737D">
        <w:rPr>
          <w:rFonts w:ascii="Times New Roman" w:hAnsi="Times New Roman" w:cs="Times New Roman"/>
          <w:sz w:val="24"/>
          <w:szCs w:val="24"/>
        </w:rPr>
        <w:t xml:space="preserve">Entre outras coisas, a emenda fez alterações no </w:t>
      </w:r>
      <w:r w:rsidR="00BA737D">
        <w:rPr>
          <w:rFonts w:ascii="Times New Roman" w:hAnsi="Times New Roman" w:cs="Times New Roman"/>
          <w:i/>
          <w:iCs/>
          <w:sz w:val="24"/>
          <w:szCs w:val="24"/>
        </w:rPr>
        <w:t>caput</w:t>
      </w:r>
      <w:r w:rsidR="00BA737D">
        <w:rPr>
          <w:rFonts w:ascii="Times New Roman" w:hAnsi="Times New Roman" w:cs="Times New Roman"/>
          <w:sz w:val="24"/>
          <w:szCs w:val="24"/>
        </w:rPr>
        <w:t xml:space="preserve"> e no § 2º, I e II, do art. 101 do ADCT e nele incluiu o § 3º:</w:t>
      </w:r>
    </w:p>
    <w:p w14:paraId="50BF7922" w14:textId="77777777" w:rsidR="009F6503" w:rsidRDefault="009F6503" w:rsidP="00BA737D">
      <w:pPr>
        <w:spacing w:after="0" w:line="360" w:lineRule="auto"/>
        <w:ind w:firstLine="708"/>
        <w:jc w:val="both"/>
        <w:rPr>
          <w:rFonts w:ascii="Times New Roman" w:hAnsi="Times New Roman" w:cs="Times New Roman"/>
          <w:sz w:val="24"/>
          <w:szCs w:val="24"/>
        </w:rPr>
      </w:pPr>
    </w:p>
    <w:p w14:paraId="5C96F55A" w14:textId="77777777" w:rsidR="00C00871" w:rsidRPr="00E43795" w:rsidRDefault="00C00871" w:rsidP="00BA737D">
      <w:pPr>
        <w:pStyle w:val="CitaoPGE"/>
        <w:rPr>
          <w:rFonts w:ascii="Times New Roman" w:hAnsi="Times New Roman" w:cs="Times New Roman"/>
          <w:sz w:val="22"/>
          <w:szCs w:val="22"/>
        </w:rPr>
      </w:pPr>
      <w:r w:rsidRPr="00E43795">
        <w:rPr>
          <w:rFonts w:ascii="Times New Roman" w:hAnsi="Times New Roman" w:cs="Times New Roman"/>
          <w:sz w:val="22"/>
          <w:szCs w:val="22"/>
        </w:rPr>
        <w:t>Art. 101. Os Estados, o Distrito Federal e os Municípios que, em 25 de março de 2015, se encontravam em mora no pagamento de seus precatórios quitarão, até 31 de dezembro de 2024, seus débitos vencidos e os que vencerão dentro desse período, atualizados pelo Índice Nacional de Preços ao Consumidor Amplo Especial (IPCA-E), ou por outro índice que venha a substituí-lo, depositando mensalmente em conta especial do Tribunal de Justiça local, sob única e exclusiva administração deste, 1/12 (um doze avos) do valor calculado percentualmente sobre suas receitas correntes líquidas apuradas no segundo mês anterior ao mês de pagamento, em percentual suficiente para a quitação de seus débitos e, ainda que variável, nunca inferior, em cada exercício, ao percentual praticado na data da entrada em vigor do regime especial a que se refere este artigo, em conformidade com plano de pagamento a ser anualmente apresentado ao Tribunal de Justiça local.</w:t>
      </w:r>
      <w:r w:rsidR="000C7119" w:rsidRPr="00E43795">
        <w:rPr>
          <w:rFonts w:ascii="Times New Roman" w:hAnsi="Times New Roman" w:cs="Times New Roman"/>
          <w:sz w:val="22"/>
          <w:szCs w:val="22"/>
        </w:rPr>
        <w:t xml:space="preserve"> (...)</w:t>
      </w:r>
    </w:p>
    <w:p w14:paraId="264F5C08" w14:textId="77777777" w:rsidR="00C00871" w:rsidRPr="00E43795" w:rsidRDefault="00C00871" w:rsidP="00BA737D">
      <w:pPr>
        <w:pStyle w:val="CitaoPGE"/>
        <w:rPr>
          <w:rFonts w:ascii="Times New Roman" w:hAnsi="Times New Roman" w:cs="Times New Roman"/>
          <w:sz w:val="22"/>
          <w:szCs w:val="22"/>
        </w:rPr>
      </w:pPr>
      <w:r w:rsidRPr="00E43795">
        <w:rPr>
          <w:rFonts w:ascii="Times New Roman" w:hAnsi="Times New Roman" w:cs="Times New Roman"/>
          <w:sz w:val="22"/>
          <w:szCs w:val="22"/>
        </w:rPr>
        <w:t>§ 2º O débito de precatórios será pago com recursos orçamentários próprios provenientes das fontes de receita corrente líquida referidas no § 1º deste artigo e, adicionalmente, poderão ser utilizados recursos dos seguintes instrumentos:</w:t>
      </w:r>
    </w:p>
    <w:p w14:paraId="4D8A6CAE" w14:textId="77777777" w:rsidR="00C00871" w:rsidRPr="00E43795" w:rsidRDefault="00C00871" w:rsidP="00BA737D">
      <w:pPr>
        <w:pStyle w:val="CitaoPGE"/>
        <w:rPr>
          <w:rFonts w:ascii="Times New Roman" w:hAnsi="Times New Roman" w:cs="Times New Roman"/>
          <w:sz w:val="22"/>
          <w:szCs w:val="22"/>
        </w:rPr>
      </w:pPr>
      <w:r w:rsidRPr="00E43795">
        <w:rPr>
          <w:rFonts w:ascii="Times New Roman" w:hAnsi="Times New Roman" w:cs="Times New Roman"/>
          <w:sz w:val="22"/>
          <w:szCs w:val="22"/>
        </w:rPr>
        <w:t>I - até 75% (setenta e cinco por cento) dos depósitos judiciais e dos depósitos administrativos em dinheiro referentes a processos judiciais ou administrativos, tributários ou não tributários, nos quais sejam parte os Estados, o Distrito Federal ou os Municípios, e as respectivas autarquias, fundações e empresas estatais dependentes, mediante a instituição de fundo garantidor em montante equivalente a 1/3 (um terço) dos recursos levantados, constituído pela parcela restante dos depósitos judiciais e remunerado pela taxa referencial do Sistema Especial de Liquidação e de Custódia (Selic) para títulos federais, nunca inferior aos índices e critérios aplicados aos depósitos levantados;</w:t>
      </w:r>
    </w:p>
    <w:p w14:paraId="52783DE1" w14:textId="77777777" w:rsidR="00C00871" w:rsidRPr="00E43795" w:rsidRDefault="00C00871" w:rsidP="00BA737D">
      <w:pPr>
        <w:pStyle w:val="CitaoPGE"/>
        <w:rPr>
          <w:rFonts w:ascii="Times New Roman" w:hAnsi="Times New Roman" w:cs="Times New Roman"/>
          <w:sz w:val="22"/>
          <w:szCs w:val="22"/>
        </w:rPr>
      </w:pPr>
      <w:r w:rsidRPr="00E43795">
        <w:rPr>
          <w:rFonts w:ascii="Times New Roman" w:hAnsi="Times New Roman" w:cs="Times New Roman"/>
          <w:sz w:val="22"/>
          <w:szCs w:val="22"/>
        </w:rPr>
        <w:t xml:space="preserve">II - até 30% (trinta por cento) dos demais depósitos judiciais da localidade sob jurisdição do respectivo Tribunal de Justiça, mediante a instituição de fundo </w:t>
      </w:r>
      <w:r w:rsidRPr="00E43795">
        <w:rPr>
          <w:rFonts w:ascii="Times New Roman" w:hAnsi="Times New Roman" w:cs="Times New Roman"/>
          <w:sz w:val="22"/>
          <w:szCs w:val="22"/>
        </w:rPr>
        <w:lastRenderedPageBreak/>
        <w:t>garantidor em montante equivalente aos recursos levantados, constituído pela parcela restante dos depósitos judiciais e remunerado pela taxa referencial do Sistema Especial de Liquidação e de Custódia (Selic) para títulos federais, nunca inferior aos índices e critérios aplicados aos depósitos levantados, destinando-se:</w:t>
      </w:r>
    </w:p>
    <w:p w14:paraId="69EAC571" w14:textId="77777777" w:rsidR="00E43795" w:rsidRPr="00E43795" w:rsidRDefault="00E43795" w:rsidP="00BA737D">
      <w:pPr>
        <w:pStyle w:val="CitaoPGE"/>
        <w:rPr>
          <w:rFonts w:ascii="Times New Roman" w:hAnsi="Times New Roman" w:cs="Times New Roman"/>
          <w:sz w:val="22"/>
          <w:szCs w:val="22"/>
        </w:rPr>
      </w:pPr>
      <w:r w:rsidRPr="00E43795">
        <w:rPr>
          <w:rFonts w:ascii="Times New Roman" w:hAnsi="Times New Roman" w:cs="Times New Roman"/>
          <w:sz w:val="22"/>
          <w:szCs w:val="22"/>
        </w:rPr>
        <w:t>a) no caso do Distrito Federal, 100% (cem por cento) desses recursos ao próprio Distrito Federal;</w:t>
      </w:r>
    </w:p>
    <w:p w14:paraId="6EA55EAF" w14:textId="77777777" w:rsidR="009F6503" w:rsidRDefault="00C00871" w:rsidP="00BA737D">
      <w:pPr>
        <w:pStyle w:val="CitaoPGE"/>
        <w:rPr>
          <w:rFonts w:ascii="Times New Roman" w:hAnsi="Times New Roman" w:cs="Times New Roman"/>
          <w:sz w:val="22"/>
          <w:szCs w:val="22"/>
        </w:rPr>
      </w:pPr>
      <w:r w:rsidRPr="00E43795">
        <w:rPr>
          <w:rFonts w:ascii="Times New Roman" w:hAnsi="Times New Roman" w:cs="Times New Roman"/>
          <w:sz w:val="22"/>
          <w:szCs w:val="22"/>
        </w:rPr>
        <w:t>b) no caso dos Estados, 50% (cinquenta por cento) desses recursos ao próprio Estado e 50% (cinquenta por cento) aos respectivos Municípios, conforme a circunscrição judiciária onde estão depositados os recursos, e, se houver mais de um Município na mesma circunscrição judiciária, os recursos serão rateados entre os Municípios concorrentes, proporcionalmente às respectivas populações, utilizado como referência o último levantamento censitário ou a mais recente estimativa populacional da Fundação Instituto Brasileiro de Geografia e Estatística (IBGE);</w:t>
      </w:r>
      <w:r w:rsidR="00417696">
        <w:rPr>
          <w:rFonts w:ascii="Times New Roman" w:hAnsi="Times New Roman" w:cs="Times New Roman"/>
          <w:sz w:val="22"/>
          <w:szCs w:val="22"/>
        </w:rPr>
        <w:t xml:space="preserve"> (...)</w:t>
      </w:r>
    </w:p>
    <w:p w14:paraId="592E4939" w14:textId="77777777" w:rsidR="00417696" w:rsidRPr="00E43795" w:rsidRDefault="00417696" w:rsidP="00BA737D">
      <w:pPr>
        <w:pStyle w:val="CitaoPGE"/>
        <w:rPr>
          <w:rFonts w:ascii="Times New Roman" w:hAnsi="Times New Roman" w:cs="Times New Roman"/>
          <w:sz w:val="22"/>
          <w:szCs w:val="22"/>
        </w:rPr>
      </w:pPr>
      <w:r w:rsidRPr="00417696">
        <w:rPr>
          <w:rFonts w:ascii="Times New Roman" w:hAnsi="Times New Roman" w:cs="Times New Roman"/>
          <w:sz w:val="22"/>
          <w:szCs w:val="22"/>
        </w:rPr>
        <w:t xml:space="preserve">§ 3º Os recursos adicionais previstos nos incisos I, II e IV do § 2º deste artigo serão transferidos diretamente pela instituição financeira depositária para a conta especial referida no </w:t>
      </w:r>
      <w:r w:rsidRPr="00D965EC">
        <w:rPr>
          <w:rFonts w:ascii="Times New Roman" w:hAnsi="Times New Roman" w:cs="Times New Roman"/>
          <w:i/>
          <w:iCs/>
          <w:sz w:val="22"/>
          <w:szCs w:val="22"/>
        </w:rPr>
        <w:t>caput</w:t>
      </w:r>
      <w:r w:rsidRPr="00417696">
        <w:rPr>
          <w:rFonts w:ascii="Times New Roman" w:hAnsi="Times New Roman" w:cs="Times New Roman"/>
          <w:sz w:val="22"/>
          <w:szCs w:val="22"/>
        </w:rPr>
        <w:t xml:space="preserve"> deste artigo, sob única e exclusiva administração do Tribunal de Justiça local, e essa transferência deverá ser realizada em até sessenta dias contados a partir da entrada em vigor deste parágrafo, sob pena de responsabilização pessoal do dirigente da instituição financeira por improbidade.</w:t>
      </w:r>
    </w:p>
    <w:p w14:paraId="5FBBEE0A" w14:textId="77777777" w:rsidR="000C7119" w:rsidRDefault="000C7119" w:rsidP="00BA737D">
      <w:pPr>
        <w:pStyle w:val="CitaoPGE"/>
      </w:pPr>
    </w:p>
    <w:p w14:paraId="47A7E9C6" w14:textId="77777777" w:rsidR="000C7119" w:rsidRPr="00DA1B2C" w:rsidRDefault="000C7119" w:rsidP="00BA737D">
      <w:pPr>
        <w:pStyle w:val="CitaoPGE"/>
      </w:pPr>
    </w:p>
    <w:p w14:paraId="0FC0193D" w14:textId="77777777" w:rsidR="00417696" w:rsidRDefault="00E87D19" w:rsidP="00BA73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no ano de 2021, </w:t>
      </w:r>
      <w:r w:rsidR="00C30B0B">
        <w:rPr>
          <w:rFonts w:ascii="Times New Roman" w:hAnsi="Times New Roman" w:cs="Times New Roman"/>
          <w:sz w:val="24"/>
          <w:szCs w:val="24"/>
        </w:rPr>
        <w:t xml:space="preserve">o constituinte editou a EC n.º 109, alterando o </w:t>
      </w:r>
      <w:r w:rsidR="00C30B0B">
        <w:rPr>
          <w:rFonts w:ascii="Times New Roman" w:hAnsi="Times New Roman" w:cs="Times New Roman"/>
          <w:i/>
          <w:iCs/>
          <w:sz w:val="24"/>
          <w:szCs w:val="24"/>
        </w:rPr>
        <w:t xml:space="preserve">caput </w:t>
      </w:r>
      <w:r w:rsidR="00C30B0B">
        <w:rPr>
          <w:rFonts w:ascii="Times New Roman" w:hAnsi="Times New Roman" w:cs="Times New Roman"/>
          <w:sz w:val="24"/>
          <w:szCs w:val="24"/>
        </w:rPr>
        <w:t>do art. 101 do ADCT:</w:t>
      </w:r>
    </w:p>
    <w:p w14:paraId="5794F780" w14:textId="77777777" w:rsidR="00C30B0B" w:rsidRDefault="00C30B0B" w:rsidP="00BA737D">
      <w:pPr>
        <w:spacing w:after="0" w:line="360" w:lineRule="auto"/>
        <w:ind w:firstLine="708"/>
        <w:jc w:val="both"/>
        <w:rPr>
          <w:rFonts w:ascii="Times New Roman" w:hAnsi="Times New Roman" w:cs="Times New Roman"/>
          <w:sz w:val="24"/>
          <w:szCs w:val="24"/>
        </w:rPr>
      </w:pPr>
    </w:p>
    <w:p w14:paraId="08E7C823" w14:textId="77777777" w:rsidR="00C30B0B" w:rsidRPr="005E5D19" w:rsidRDefault="005E5D19" w:rsidP="00BA737D">
      <w:pPr>
        <w:pStyle w:val="CitaoPGE"/>
        <w:rPr>
          <w:rFonts w:ascii="Times New Roman" w:hAnsi="Times New Roman" w:cs="Times New Roman"/>
          <w:sz w:val="22"/>
          <w:szCs w:val="22"/>
        </w:rPr>
      </w:pPr>
      <w:r w:rsidRPr="005E5D19">
        <w:rPr>
          <w:rFonts w:ascii="Times New Roman" w:hAnsi="Times New Roman" w:cs="Times New Roman"/>
          <w:sz w:val="22"/>
          <w:szCs w:val="22"/>
        </w:rPr>
        <w:t>Art. 101. Os Estados, o Distrito Federal e os Municípios que, em 25 de março de 2015, se encontravam em mora no pagamento de seus precatórios quitarão, até 31 de dezembro de 2029, seus débitos vencidos e os que vencerão dentro desse período, atualizados pelo Índice Nacional de Preços ao Consumidor Amplo Especial (IPCA-E), ou por outro índice que venha a substituí-lo, depositando mensalmente em conta especial do Tribunal de Justiça local, sob única e exclusiva administração deste, 1/12 (um doze avos) do valor calculado percentualmente sobre suas receitas correntes líquidas apuradas no segundo mês anterior ao mês de pagamento, em percentual suficiente para a quitação de seus débitos e, ainda que variável, nunca inferior, em cada exercício, ao percentual praticado na data da entrada em vigor do regime especial a que se refere este artigo, em conformidade com plano de pagamento a ser anualmente apresentado ao Tribunal de Justiça local.</w:t>
      </w:r>
    </w:p>
    <w:p w14:paraId="3EF5AA00" w14:textId="77777777" w:rsidR="005E5D19" w:rsidRPr="00C30B0B" w:rsidRDefault="005E5D19" w:rsidP="00BA737D">
      <w:pPr>
        <w:spacing w:after="0" w:line="360" w:lineRule="auto"/>
        <w:ind w:left="2268"/>
        <w:jc w:val="both"/>
        <w:rPr>
          <w:rFonts w:ascii="Times New Roman" w:hAnsi="Times New Roman" w:cs="Times New Roman"/>
          <w:sz w:val="24"/>
          <w:szCs w:val="24"/>
        </w:rPr>
      </w:pPr>
    </w:p>
    <w:p w14:paraId="7187A02F" w14:textId="77777777" w:rsidR="006F380F" w:rsidRPr="00BA5F65" w:rsidRDefault="00663CF9" w:rsidP="00BA737D">
      <w:pPr>
        <w:spacing w:after="0" w:line="240" w:lineRule="auto"/>
        <w:jc w:val="both"/>
        <w:rPr>
          <w:rFonts w:ascii="Times New Roman" w:hAnsi="Times New Roman" w:cs="Times New Roman"/>
          <w:b/>
          <w:caps/>
          <w:sz w:val="24"/>
          <w:szCs w:val="24"/>
        </w:rPr>
      </w:pPr>
      <w:r>
        <w:rPr>
          <w:rFonts w:ascii="Times New Roman" w:hAnsi="Times New Roman" w:cs="Times New Roman"/>
          <w:b/>
          <w:caps/>
          <w:sz w:val="24"/>
          <w:szCs w:val="24"/>
        </w:rPr>
        <w:t>2</w:t>
      </w:r>
      <w:r w:rsidR="006F380F" w:rsidRPr="00BA5F65">
        <w:rPr>
          <w:rFonts w:ascii="Times New Roman" w:hAnsi="Times New Roman" w:cs="Times New Roman"/>
          <w:b/>
          <w:caps/>
          <w:sz w:val="24"/>
          <w:szCs w:val="24"/>
        </w:rPr>
        <w:t xml:space="preserve">. a constitucionalidade </w:t>
      </w:r>
      <w:r w:rsidR="00A53FBC">
        <w:rPr>
          <w:rFonts w:ascii="Times New Roman" w:hAnsi="Times New Roman" w:cs="Times New Roman"/>
          <w:b/>
          <w:caps/>
          <w:sz w:val="24"/>
          <w:szCs w:val="24"/>
        </w:rPr>
        <w:t xml:space="preserve">MATERIAL </w:t>
      </w:r>
      <w:r w:rsidR="006F380F" w:rsidRPr="00BA5F65">
        <w:rPr>
          <w:rFonts w:ascii="Times New Roman" w:hAnsi="Times New Roman" w:cs="Times New Roman"/>
          <w:b/>
          <w:caps/>
          <w:sz w:val="24"/>
          <w:szCs w:val="24"/>
        </w:rPr>
        <w:t>do</w:t>
      </w:r>
      <w:r w:rsidR="00A53FBC">
        <w:rPr>
          <w:rFonts w:ascii="Times New Roman" w:hAnsi="Times New Roman" w:cs="Times New Roman"/>
          <w:b/>
          <w:caps/>
          <w:sz w:val="24"/>
          <w:szCs w:val="24"/>
        </w:rPr>
        <w:t>S INCISOS I E II DO § 2º DO ART. 101</w:t>
      </w:r>
      <w:r w:rsidR="006F380F">
        <w:rPr>
          <w:rFonts w:ascii="Times New Roman" w:hAnsi="Times New Roman" w:cs="Times New Roman"/>
          <w:b/>
          <w:caps/>
          <w:sz w:val="24"/>
          <w:szCs w:val="24"/>
        </w:rPr>
        <w:t>D</w:t>
      </w:r>
      <w:r w:rsidR="006F380F" w:rsidRPr="00BA5F65">
        <w:rPr>
          <w:rFonts w:ascii="Times New Roman" w:hAnsi="Times New Roman" w:cs="Times New Roman"/>
          <w:b/>
          <w:caps/>
          <w:sz w:val="24"/>
          <w:szCs w:val="24"/>
        </w:rPr>
        <w:t xml:space="preserve">o </w:t>
      </w:r>
      <w:r w:rsidR="006F380F">
        <w:rPr>
          <w:rFonts w:ascii="Times New Roman" w:hAnsi="Times New Roman" w:cs="Times New Roman"/>
          <w:b/>
          <w:caps/>
          <w:sz w:val="24"/>
          <w:szCs w:val="24"/>
        </w:rPr>
        <w:t>ADCT</w:t>
      </w:r>
    </w:p>
    <w:p w14:paraId="7B191146" w14:textId="77777777" w:rsidR="006F380F" w:rsidRDefault="006F380F" w:rsidP="00BA737D">
      <w:pPr>
        <w:spacing w:after="0" w:line="360" w:lineRule="auto"/>
        <w:ind w:firstLine="709"/>
        <w:jc w:val="both"/>
        <w:rPr>
          <w:rFonts w:ascii="Times New Roman" w:hAnsi="Times New Roman" w:cs="Times New Roman"/>
          <w:sz w:val="24"/>
          <w:szCs w:val="24"/>
        </w:rPr>
      </w:pPr>
      <w:r w:rsidRPr="00B856D7">
        <w:rPr>
          <w:rFonts w:ascii="Times New Roman" w:hAnsi="Times New Roman" w:cs="Times New Roman"/>
          <w:sz w:val="24"/>
          <w:szCs w:val="24"/>
        </w:rPr>
        <w:t>Na ADI n.º 5.679, o Procurador-Geral da República pediu que fossem declarados inconstitucionais</w:t>
      </w:r>
      <w:r>
        <w:rPr>
          <w:rFonts w:ascii="Times New Roman" w:hAnsi="Times New Roman" w:cs="Times New Roman"/>
          <w:sz w:val="24"/>
          <w:szCs w:val="24"/>
        </w:rPr>
        <w:t xml:space="preserve"> 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CRFB</w:t>
      </w:r>
      <w:r>
        <w:rPr>
          <w:rFonts w:ascii="Times New Roman" w:hAnsi="Times New Roman" w:cs="Times New Roman"/>
          <w:sz w:val="24"/>
          <w:szCs w:val="24"/>
        </w:rPr>
        <w:t xml:space="preserve">. Na época da propositura da ação, </w:t>
      </w:r>
      <w:r w:rsidR="00595BEE">
        <w:rPr>
          <w:rFonts w:ascii="Times New Roman" w:hAnsi="Times New Roman" w:cs="Times New Roman"/>
          <w:sz w:val="24"/>
          <w:szCs w:val="24"/>
        </w:rPr>
        <w:t xml:space="preserve">ele impugnou </w:t>
      </w:r>
      <w:r>
        <w:rPr>
          <w:rFonts w:ascii="Times New Roman" w:hAnsi="Times New Roman" w:cs="Times New Roman"/>
          <w:sz w:val="24"/>
          <w:szCs w:val="24"/>
        </w:rPr>
        <w:t xml:space="preserve">a redação original dos incisos, dada pela EC n.º 94/2016. </w:t>
      </w:r>
      <w:r w:rsidR="00595BEE">
        <w:rPr>
          <w:rFonts w:ascii="Times New Roman" w:hAnsi="Times New Roman" w:cs="Times New Roman"/>
          <w:sz w:val="24"/>
          <w:szCs w:val="24"/>
        </w:rPr>
        <w:t>Mas, p</w:t>
      </w:r>
      <w:r>
        <w:rPr>
          <w:rFonts w:ascii="Times New Roman" w:hAnsi="Times New Roman" w:cs="Times New Roman"/>
          <w:sz w:val="24"/>
          <w:szCs w:val="24"/>
        </w:rPr>
        <w:t xml:space="preserve">osteriormente, pediu a emenda da petição inicial para que passasse a impugnar a redação dada pela EC n.º 99/2017. </w:t>
      </w:r>
      <w:r w:rsidR="00F33594">
        <w:rPr>
          <w:rFonts w:ascii="Times New Roman" w:hAnsi="Times New Roman" w:cs="Times New Roman"/>
          <w:sz w:val="24"/>
          <w:szCs w:val="24"/>
        </w:rPr>
        <w:t>A seu ver, n</w:t>
      </w:r>
      <w:r>
        <w:rPr>
          <w:rFonts w:ascii="Times New Roman" w:hAnsi="Times New Roman" w:cs="Times New Roman"/>
          <w:sz w:val="24"/>
          <w:szCs w:val="24"/>
        </w:rPr>
        <w:t>ão teria havido a perda do objeto porque a nova redação não teria promovido alteração substancial na disciplina normativa e padeceria dos mesmos vícios de inconstitucionalidade da anterior.</w:t>
      </w:r>
    </w:p>
    <w:p w14:paraId="0BB8A158"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o Procurador-Geral da República, os incisos impugnados seriam inconstitucionais porque tenderiam a abolir normas protegidas por cláusulas pétreas (CRFB, art. 60, § 4º, III e IV). Eles tenderiam a abolir sobretudo o direito fundamental à propriedade (CRFB, art. 5º, </w:t>
      </w:r>
      <w:r>
        <w:rPr>
          <w:rFonts w:ascii="Times New Roman" w:hAnsi="Times New Roman" w:cs="Times New Roman"/>
          <w:i/>
          <w:iCs/>
          <w:sz w:val="24"/>
          <w:szCs w:val="24"/>
        </w:rPr>
        <w:t>caput</w:t>
      </w:r>
      <w:r>
        <w:rPr>
          <w:rFonts w:ascii="Times New Roman" w:hAnsi="Times New Roman" w:cs="Times New Roman"/>
          <w:sz w:val="24"/>
          <w:szCs w:val="24"/>
        </w:rPr>
        <w:t xml:space="preserve"> e XXII</w:t>
      </w:r>
      <w:r>
        <w:rPr>
          <w:rFonts w:ascii="Times New Roman" w:hAnsi="Times New Roman" w:cs="Times New Roman"/>
          <w:i/>
          <w:iCs/>
          <w:sz w:val="24"/>
          <w:szCs w:val="24"/>
        </w:rPr>
        <w:t xml:space="preserve">; </w:t>
      </w:r>
      <w:r>
        <w:rPr>
          <w:rFonts w:ascii="Times New Roman" w:hAnsi="Times New Roman" w:cs="Times New Roman"/>
          <w:sz w:val="24"/>
          <w:szCs w:val="24"/>
        </w:rPr>
        <w:t>art. 170, II). Mas, em segundo lugar, tenderiam a abolir também o direito fundamental ao acesso à justiça (CRFB, art. 5º, XXXV); o princípio do devido processo legal (CRFB, art. LIV); o direito fundamental à razoável duração do processo (CRFB, art. 5º, LXXVII); e o princípio da separação dos poderes (CRFB, art. 2º).</w:t>
      </w:r>
    </w:p>
    <w:p w14:paraId="45126AA2" w14:textId="77777777" w:rsidR="00854D1B" w:rsidRDefault="00854D1B" w:rsidP="00BA737D">
      <w:pPr>
        <w:spacing w:after="0" w:line="360" w:lineRule="auto"/>
        <w:ind w:firstLine="709"/>
        <w:jc w:val="both"/>
        <w:rPr>
          <w:rFonts w:ascii="Times New Roman" w:hAnsi="Times New Roman" w:cs="Times New Roman"/>
          <w:b/>
          <w:bCs/>
          <w:sz w:val="24"/>
          <w:szCs w:val="24"/>
        </w:rPr>
      </w:pPr>
    </w:p>
    <w:p w14:paraId="6E91B57F" w14:textId="77777777" w:rsidR="006F380F" w:rsidRPr="004638A6" w:rsidRDefault="00663CF9" w:rsidP="00BA737D">
      <w:pPr>
        <w:spacing w:after="0" w:line="360" w:lineRule="auto"/>
        <w:jc w:val="both"/>
        <w:rPr>
          <w:rFonts w:ascii="Times New Roman" w:hAnsi="Times New Roman" w:cs="Times New Roman"/>
          <w:b/>
          <w:bCs/>
          <w:sz w:val="24"/>
          <w:szCs w:val="24"/>
        </w:rPr>
      </w:pPr>
      <w:r w:rsidRPr="004638A6">
        <w:rPr>
          <w:rFonts w:ascii="Times New Roman" w:hAnsi="Times New Roman" w:cs="Times New Roman"/>
          <w:b/>
          <w:bCs/>
          <w:sz w:val="24"/>
          <w:szCs w:val="24"/>
        </w:rPr>
        <w:t>2</w:t>
      </w:r>
      <w:r w:rsidR="006F380F" w:rsidRPr="004638A6">
        <w:rPr>
          <w:rFonts w:ascii="Times New Roman" w:hAnsi="Times New Roman" w:cs="Times New Roman"/>
          <w:b/>
          <w:bCs/>
          <w:sz w:val="24"/>
          <w:szCs w:val="24"/>
        </w:rPr>
        <w:t xml:space="preserve">.1 – </w:t>
      </w:r>
      <w:r w:rsidR="005B5854" w:rsidRPr="005B5854">
        <w:rPr>
          <w:rFonts w:ascii="Times New Roman" w:hAnsi="Times New Roman" w:cs="Times New Roman"/>
          <w:b/>
          <w:bCs/>
          <w:sz w:val="24"/>
          <w:szCs w:val="24"/>
        </w:rPr>
        <w:t>Os incisos não tendem a abolir o direito fundamental de propriedade</w:t>
      </w:r>
    </w:p>
    <w:p w14:paraId="66ECB18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o Procurador-Geral da República, ao se realizar depósitos de dinheiro, os valores depositados permanecem sendo de propriedade dos depositantes. O depositário meramente custodiaria tais valores, isto é, ele os guardaria e conservaria, mas, por não ser proprietário, não poderia lhes dar outra finalidade. Desse modo, se o Estado, na condição de depositário, usar os valores dos depósitos para pagar suas dívidas judiciais, ele estaria violando o direito fundamental dos depositantes à propriedade.  </w:t>
      </w:r>
    </w:p>
    <w:p w14:paraId="2162C97B"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coisas não acontecem exatamente dessa forma. </w:t>
      </w:r>
    </w:p>
    <w:p w14:paraId="65D833D2" w14:textId="77777777" w:rsidR="005963D9" w:rsidRDefault="005963D9" w:rsidP="00BA737D">
      <w:pPr>
        <w:spacing w:after="0" w:line="360" w:lineRule="auto"/>
        <w:ind w:firstLine="709"/>
        <w:jc w:val="both"/>
        <w:rPr>
          <w:rFonts w:ascii="Times New Roman" w:hAnsi="Times New Roman" w:cs="Times New Roman"/>
          <w:sz w:val="24"/>
          <w:szCs w:val="24"/>
        </w:rPr>
      </w:pPr>
    </w:p>
    <w:p w14:paraId="3248EBB6" w14:textId="77777777" w:rsidR="006F380F" w:rsidRPr="006C3B02" w:rsidRDefault="00663CF9" w:rsidP="00BA737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6F380F" w:rsidRPr="006C3B02">
        <w:rPr>
          <w:rFonts w:ascii="Times New Roman" w:hAnsi="Times New Roman" w:cs="Times New Roman"/>
          <w:sz w:val="24"/>
          <w:szCs w:val="24"/>
          <w:u w:val="single"/>
        </w:rPr>
        <w:t>.1.1 – O depósito transfere a propriedade</w:t>
      </w:r>
    </w:p>
    <w:p w14:paraId="32877897"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depósito de coisas fungíveis é um depósito irregular: em virtude da natureza dos bens depositados, o depositante não pode exigir a devolução dos mesmos bens que entregou</w:t>
      </w:r>
      <w:r w:rsidR="001072E3">
        <w:rPr>
          <w:rFonts w:ascii="Times New Roman" w:hAnsi="Times New Roman" w:cs="Times New Roman"/>
          <w:sz w:val="24"/>
          <w:szCs w:val="24"/>
        </w:rPr>
        <w:t xml:space="preserve"> (</w:t>
      </w:r>
      <w:r w:rsidR="006F7143">
        <w:rPr>
          <w:rFonts w:ascii="Times New Roman" w:hAnsi="Times New Roman" w:cs="Times New Roman"/>
          <w:sz w:val="24"/>
          <w:szCs w:val="24"/>
        </w:rPr>
        <w:t>TEPEDINO, 2020</w:t>
      </w:r>
      <w:r w:rsidR="001072E3">
        <w:rPr>
          <w:rFonts w:ascii="Times New Roman" w:hAnsi="Times New Roman" w:cs="Times New Roman"/>
          <w:sz w:val="24"/>
          <w:szCs w:val="24"/>
        </w:rPr>
        <w:t>)</w:t>
      </w:r>
      <w:r>
        <w:rPr>
          <w:rFonts w:ascii="Times New Roman" w:hAnsi="Times New Roman" w:cs="Times New Roman"/>
          <w:sz w:val="24"/>
          <w:szCs w:val="24"/>
        </w:rPr>
        <w:t xml:space="preserve">. Diante disso, o legislador brasileiro decidiu por submetê-lo à disciplina do mútuo (CC, art. 645), segundo a qual o mútuo transfere o domínio da coisa emprestada ao mutuário, por cuja conta correm todos os riscos desde a tradição (CC, art. 585). Logo, no Brasil, o depósito das coisas fungíveis transfere aos depositários a propriedade das coisas depositadas. </w:t>
      </w:r>
    </w:p>
    <w:p w14:paraId="1229F9AC" w14:textId="77777777" w:rsidR="00223699"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o dinheiro é uma coisa fungível, o depósito bancário de dinheiro transfere sua propriedade ao banco. Com o depósito, o depositante deixa de ter o direito real de propriedade do dinheiro depositado e passa a ter direito pessoal à prestação de entrega a ele de dinheiro da mesma qualidade e na mesma quantidade. Por outro lado, os bancos adquirem a propriedade dos valores depositados e contraem o dever pessoal de, quando solicitados, entregar aos depositantes dinheiro da mesma qualidade e na mesma qualidade. </w:t>
      </w:r>
      <w:r w:rsidR="00D66436">
        <w:rPr>
          <w:rFonts w:ascii="Times New Roman" w:hAnsi="Times New Roman" w:cs="Times New Roman"/>
          <w:sz w:val="24"/>
          <w:szCs w:val="24"/>
        </w:rPr>
        <w:t>Assim entende o STJ:</w:t>
      </w:r>
    </w:p>
    <w:p w14:paraId="6F5BF387" w14:textId="77777777" w:rsidR="00D66436" w:rsidRDefault="00D66436" w:rsidP="00BA737D">
      <w:pPr>
        <w:spacing w:after="0" w:line="360" w:lineRule="auto"/>
        <w:ind w:firstLine="709"/>
        <w:jc w:val="both"/>
        <w:rPr>
          <w:rFonts w:ascii="Times New Roman" w:hAnsi="Times New Roman" w:cs="Times New Roman"/>
          <w:sz w:val="24"/>
          <w:szCs w:val="24"/>
        </w:rPr>
      </w:pPr>
    </w:p>
    <w:p w14:paraId="359A7D27" w14:textId="77777777" w:rsidR="00D66436" w:rsidRDefault="00D66436" w:rsidP="00BA737D">
      <w:pPr>
        <w:spacing w:after="0" w:line="240" w:lineRule="auto"/>
        <w:ind w:left="2268"/>
        <w:jc w:val="both"/>
        <w:rPr>
          <w:rFonts w:ascii="Times New Roman" w:hAnsi="Times New Roman" w:cs="Times New Roman"/>
        </w:rPr>
      </w:pPr>
      <w:r w:rsidRPr="00FC6CEE">
        <w:rPr>
          <w:rFonts w:ascii="Times New Roman" w:hAnsi="Times New Roman" w:cs="Times New Roman"/>
        </w:rPr>
        <w:t xml:space="preserve">Ementa: Execução. Banco. Penhora de dinheiro. O depósito bancário é depósito irregular, a ele se aplicando as regras do mútuo. Passa o dinheiro à propriedade do depositário, contra quem o depositante terá um crédito. Possibilidade de ser o dinheiro penhorado, já que não constitui reserva bancária, nem pertence a terceiro. </w:t>
      </w:r>
      <w:r w:rsidRPr="00FC6CEE">
        <w:rPr>
          <w:rFonts w:ascii="Times New Roman" w:hAnsi="Times New Roman" w:cs="Times New Roman"/>
        </w:rPr>
        <w:lastRenderedPageBreak/>
        <w:t>(...) (REsp n. 212.886/MA, relator Ministro Eduardo Ribeiro, Terceira Turma, julgado em 29/6/2000, DJ de 28/8/2000, p. 77.)</w:t>
      </w:r>
    </w:p>
    <w:p w14:paraId="02C0056F" w14:textId="77777777" w:rsidR="00071AC6" w:rsidRDefault="00071AC6" w:rsidP="00BA737D">
      <w:pPr>
        <w:spacing w:after="0" w:line="360" w:lineRule="auto"/>
        <w:ind w:firstLine="709"/>
        <w:jc w:val="both"/>
        <w:rPr>
          <w:rFonts w:ascii="Times New Roman" w:hAnsi="Times New Roman" w:cs="Times New Roman"/>
          <w:sz w:val="24"/>
          <w:szCs w:val="24"/>
        </w:rPr>
      </w:pPr>
    </w:p>
    <w:p w14:paraId="1B9D12A6"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Embora adquiram o direito real de propriedade dos valores depositados, os bancos não possuem liberdade plena para usar a integralidade deles. Como forma de garantir o direito pessoal dos depositantes a receber valores na mesma qualidade e quantidade dos depositados, a ordem jurídica impõe aos bancos o dever de constituir reserva equivalente a determinada fração dos valores depositados. É o que se chama de reserva fracionária, a qual deve ser composta por dinheiro ou por ativos facilmente liquidáveis. Normalmente, uma parte da reserva fracionária é mantida no próprio banco depositário (encaixe obrigatório) e a outra parte é destinada compulsoriamente ao Banco Central (recolhimento compulsório).</w:t>
      </w:r>
    </w:p>
    <w:p w14:paraId="73E11AEF"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Observada a reserva fracionária, os bancos têm liberdade para fazer diversas aplicações com a parte restante dos valores depositados, podendo inclusive emprestá-la a terceiros. Isso dá ensejo ao fenômeno do multiplicador bancário, que expande a base monetária do país. Um exemplo ilustra o fenômeno. Se a Pessoa 1 depositar R$ 10.000,00 em um banco e, no momento, a reserva fracionária estiver fixada em 10%, o banco poderá emprestar R$ 9.000,00 à Pessoa 2. Assim, onde antes havia R$ 10.000,00, haverá R$ 19.000,00: R$ 10.000,00 que a Pessoa 1 poderá retirar a qualquer momento e R$ 9.000,00 que estarão nas mãos da Pessoa 2. </w:t>
      </w:r>
    </w:p>
    <w:p w14:paraId="1DD32F3F"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Pessoa 1 consegue retirar o equivalente à totalidade dos depósitos que fez porque a reserva fracionária é constituída não só por parte de seu depósito, mas por parte de todos os depósitos feitos no banco. E o percentual da reserva considera, entre outras coisas, o montante de valores que, com margem de segurança estatística, podem ser retirados em um dado momento. É claro que, se todas as pessoas comparecessem num mesmo instante para retirar o equivalente a todos os depósitos, os bancos não teriam condições de lhes satisfazer, mas isso é bastante improvável.</w:t>
      </w:r>
    </w:p>
    <w:p w14:paraId="49C8576E" w14:textId="77777777" w:rsidR="0094137F" w:rsidRDefault="006F380F" w:rsidP="00BA737D">
      <w:pPr>
        <w:spacing w:after="0" w:line="360" w:lineRule="auto"/>
        <w:ind w:firstLine="709"/>
        <w:jc w:val="both"/>
        <w:rPr>
          <w:rFonts w:ascii="Times New Roman" w:hAnsi="Times New Roman" w:cs="Times New Roman"/>
          <w:sz w:val="24"/>
          <w:szCs w:val="24"/>
        </w:rPr>
      </w:pPr>
      <w:r w:rsidRPr="00C11398">
        <w:rPr>
          <w:rFonts w:ascii="Times New Roman" w:hAnsi="Times New Roman" w:cs="Times New Roman"/>
          <w:sz w:val="24"/>
          <w:szCs w:val="24"/>
        </w:rPr>
        <w:t>A prática remonta ao tempo em que os bancos recebiam depósitos em ouro e prata. Eles notaram que apenas</w:t>
      </w:r>
      <w:r w:rsidR="00927800">
        <w:rPr>
          <w:rFonts w:ascii="Times New Roman" w:hAnsi="Times New Roman" w:cs="Times New Roman"/>
          <w:sz w:val="24"/>
          <w:szCs w:val="24"/>
        </w:rPr>
        <w:t xml:space="preserve"> parte</w:t>
      </w:r>
      <w:r w:rsidRPr="00C11398">
        <w:rPr>
          <w:rFonts w:ascii="Times New Roman" w:hAnsi="Times New Roman" w:cs="Times New Roman"/>
          <w:sz w:val="24"/>
          <w:szCs w:val="24"/>
        </w:rPr>
        <w:t xml:space="preserve"> desses depósitos </w:t>
      </w:r>
      <w:r w:rsidRPr="003971CB">
        <w:rPr>
          <w:rFonts w:ascii="Times New Roman" w:hAnsi="Times New Roman" w:cs="Times New Roman"/>
          <w:sz w:val="24"/>
          <w:szCs w:val="24"/>
        </w:rPr>
        <w:t>era</w:t>
      </w:r>
      <w:r w:rsidR="00927800" w:rsidRPr="003971CB">
        <w:rPr>
          <w:rFonts w:ascii="Times New Roman" w:hAnsi="Times New Roman" w:cs="Times New Roman"/>
          <w:sz w:val="24"/>
          <w:szCs w:val="24"/>
        </w:rPr>
        <w:t xml:space="preserve"> resgatad</w:t>
      </w:r>
      <w:r w:rsidR="003971CB" w:rsidRPr="003971CB">
        <w:rPr>
          <w:rFonts w:ascii="Times New Roman" w:hAnsi="Times New Roman" w:cs="Times New Roman"/>
          <w:sz w:val="24"/>
          <w:szCs w:val="24"/>
        </w:rPr>
        <w:t>a</w:t>
      </w:r>
      <w:r w:rsidRPr="003971CB">
        <w:rPr>
          <w:rFonts w:ascii="Times New Roman" w:hAnsi="Times New Roman" w:cs="Times New Roman"/>
          <w:sz w:val="24"/>
          <w:szCs w:val="24"/>
        </w:rPr>
        <w:t xml:space="preserve">. </w:t>
      </w:r>
      <w:r w:rsidRPr="00C11398">
        <w:rPr>
          <w:rFonts w:ascii="Times New Roman" w:hAnsi="Times New Roman" w:cs="Times New Roman"/>
          <w:sz w:val="24"/>
          <w:szCs w:val="24"/>
        </w:rPr>
        <w:t>Assim, decidiram constituir uma reserva equivalente a ess</w:t>
      </w:r>
      <w:r w:rsidR="003971CB">
        <w:rPr>
          <w:rFonts w:ascii="Times New Roman" w:hAnsi="Times New Roman" w:cs="Times New Roman"/>
          <w:sz w:val="24"/>
          <w:szCs w:val="24"/>
        </w:rPr>
        <w:t xml:space="preserve">a parte </w:t>
      </w:r>
      <w:r w:rsidRPr="00C11398">
        <w:rPr>
          <w:rFonts w:ascii="Times New Roman" w:hAnsi="Times New Roman" w:cs="Times New Roman"/>
          <w:sz w:val="24"/>
          <w:szCs w:val="24"/>
        </w:rPr>
        <w:t>e colocar a par</w:t>
      </w:r>
      <w:r w:rsidR="003971CB">
        <w:rPr>
          <w:rFonts w:ascii="Times New Roman" w:hAnsi="Times New Roman" w:cs="Times New Roman"/>
          <w:sz w:val="24"/>
          <w:szCs w:val="24"/>
        </w:rPr>
        <w:t>te</w:t>
      </w:r>
      <w:r w:rsidRPr="00C11398">
        <w:rPr>
          <w:rFonts w:ascii="Times New Roman" w:hAnsi="Times New Roman" w:cs="Times New Roman"/>
          <w:sz w:val="24"/>
          <w:szCs w:val="24"/>
        </w:rPr>
        <w:t xml:space="preserve"> restante em circulação por meio de empréstimos ou outras aplicações financeiras. Com isso, os bancos poderiam obter lucro em cima dessa parcela</w:t>
      </w:r>
      <w:r w:rsidR="009E33E2">
        <w:rPr>
          <w:rFonts w:ascii="Times New Roman" w:hAnsi="Times New Roman" w:cs="Times New Roman"/>
          <w:sz w:val="24"/>
          <w:szCs w:val="24"/>
        </w:rPr>
        <w:t xml:space="preserve"> (</w:t>
      </w:r>
      <w:r w:rsidR="001060DD" w:rsidRPr="001060DD">
        <w:rPr>
          <w:rFonts w:ascii="Times New Roman" w:hAnsi="Times New Roman" w:cs="Times New Roman"/>
          <w:sz w:val="24"/>
          <w:szCs w:val="24"/>
        </w:rPr>
        <w:t>FERGUNSON,</w:t>
      </w:r>
      <w:r w:rsidR="009E1F90">
        <w:rPr>
          <w:rFonts w:ascii="Times New Roman" w:hAnsi="Times New Roman" w:cs="Times New Roman"/>
          <w:sz w:val="24"/>
          <w:szCs w:val="24"/>
        </w:rPr>
        <w:t>2009)</w:t>
      </w:r>
      <w:r w:rsidRPr="00C11398">
        <w:rPr>
          <w:rFonts w:ascii="Times New Roman" w:hAnsi="Times New Roman" w:cs="Times New Roman"/>
          <w:sz w:val="24"/>
          <w:szCs w:val="24"/>
        </w:rPr>
        <w:t>.</w:t>
      </w:r>
    </w:p>
    <w:p w14:paraId="25CF051C" w14:textId="77777777" w:rsidR="006F380F" w:rsidRPr="00580FA8"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meio dessa prática, mesmo que os bancos tenham que entregar aos depositantes o valor dos depósitos com juros, eles lucram. Isso porque o índice de juros que eles cobram em cima dos valores que disponibilizam aos clientes como empréstimo etc. (taxa de aplicação) é muito superior ao eventual índice que paguem aos depositantes ao entregarem os valores equivalentes aos </w:t>
      </w:r>
      <w:r>
        <w:rPr>
          <w:rFonts w:ascii="Times New Roman" w:hAnsi="Times New Roman" w:cs="Times New Roman"/>
          <w:sz w:val="24"/>
          <w:szCs w:val="24"/>
        </w:rPr>
        <w:lastRenderedPageBreak/>
        <w:t xml:space="preserve">depósitos </w:t>
      </w:r>
      <w:r>
        <w:rPr>
          <w:rFonts w:ascii="Times New Roman" w:hAnsi="Times New Roman" w:cs="Times New Roman"/>
          <w:i/>
          <w:iCs/>
          <w:sz w:val="24"/>
          <w:szCs w:val="24"/>
        </w:rPr>
        <w:t xml:space="preserve">lato sensu </w:t>
      </w:r>
      <w:r>
        <w:rPr>
          <w:rFonts w:ascii="Times New Roman" w:hAnsi="Times New Roman" w:cs="Times New Roman"/>
          <w:sz w:val="24"/>
          <w:szCs w:val="24"/>
        </w:rPr>
        <w:t xml:space="preserve">feitos em suas agências(taxa de captação). É verdade que a taxa de aplicação considera diversos fatores, como custos operacionais, tributos, risco de inadimplência, mas ela se funda em muito no desejo de lucro dos bancos. A diferença entre ela e a taxa de captação é chamada de </w:t>
      </w:r>
      <w:r w:rsidRPr="00896110">
        <w:rPr>
          <w:rFonts w:ascii="Times New Roman" w:hAnsi="Times New Roman" w:cs="Times New Roman"/>
          <w:i/>
          <w:iCs/>
          <w:sz w:val="24"/>
          <w:szCs w:val="24"/>
        </w:rPr>
        <w:t>spread bancário</w:t>
      </w:r>
      <w:r>
        <w:rPr>
          <w:rFonts w:ascii="Times New Roman" w:hAnsi="Times New Roman" w:cs="Times New Roman"/>
          <w:sz w:val="24"/>
          <w:szCs w:val="24"/>
        </w:rPr>
        <w:t>.</w:t>
      </w:r>
      <w:r w:rsidR="00AB4768">
        <w:rPr>
          <w:rFonts w:ascii="Times New Roman" w:hAnsi="Times New Roman" w:cs="Times New Roman"/>
          <w:sz w:val="24"/>
          <w:szCs w:val="24"/>
        </w:rPr>
        <w:t xml:space="preserve"> </w:t>
      </w:r>
      <w:r>
        <w:rPr>
          <w:rFonts w:ascii="Times New Roman" w:hAnsi="Times New Roman" w:cs="Times New Roman"/>
          <w:sz w:val="24"/>
          <w:szCs w:val="24"/>
        </w:rPr>
        <w:t xml:space="preserve">O </w:t>
      </w:r>
      <w:r>
        <w:rPr>
          <w:rFonts w:ascii="Times New Roman" w:hAnsi="Times New Roman" w:cs="Times New Roman"/>
          <w:i/>
          <w:iCs/>
          <w:sz w:val="24"/>
          <w:szCs w:val="24"/>
        </w:rPr>
        <w:t xml:space="preserve">spread bancário </w:t>
      </w:r>
      <w:r>
        <w:rPr>
          <w:rFonts w:ascii="Times New Roman" w:hAnsi="Times New Roman" w:cs="Times New Roman"/>
          <w:sz w:val="24"/>
          <w:szCs w:val="24"/>
        </w:rPr>
        <w:t>do Brasil é um dos mais altos do mundo</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e é um dos grandes responsáveis pelo enriquecimento dos bancos e dos banqueiros.</w:t>
      </w:r>
    </w:p>
    <w:p w14:paraId="1203B71A"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os depósitos judiciais ou administrativos, há uma peculiaridade. Eles transferem a propriedade dos valores depositados pelos particulares não ao banco, mas ao Estado: os judiciais, à Administração do Poder Judiciário; os administrativos, à Administração Pública propriamente dita. Ao recebê-los, o Estado os deposita em banco contratado para geri-los e para assumir o dever de entregar, no momento devido, valores equivalentes.</w:t>
      </w:r>
    </w:p>
    <w:p w14:paraId="33940F34" w14:textId="77777777" w:rsidR="00587D04"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é o Estado que trava uma relação jurídica com os particulares depositantes, e não os bancos. Nessa relação, o Estado figura como depositário. Mas, em seguida, ele estabelece uma outra relação, agora c</w:t>
      </w:r>
      <w:r w:rsidR="00AB4768">
        <w:rPr>
          <w:rFonts w:ascii="Times New Roman" w:hAnsi="Times New Roman" w:cs="Times New Roman"/>
          <w:sz w:val="24"/>
          <w:szCs w:val="24"/>
        </w:rPr>
        <w:t>om a instituição financeira. E nela</w:t>
      </w:r>
      <w:r>
        <w:rPr>
          <w:rFonts w:ascii="Times New Roman" w:hAnsi="Times New Roman" w:cs="Times New Roman"/>
          <w:sz w:val="24"/>
          <w:szCs w:val="24"/>
        </w:rPr>
        <w:t xml:space="preserve"> o Estado é o depositante</w:t>
      </w:r>
      <w:r w:rsidR="00587D04">
        <w:rPr>
          <w:rFonts w:ascii="Times New Roman" w:hAnsi="Times New Roman" w:cs="Times New Roman"/>
          <w:sz w:val="24"/>
          <w:szCs w:val="24"/>
        </w:rPr>
        <w:t xml:space="preserve">. </w:t>
      </w:r>
      <w:r w:rsidR="00587D04" w:rsidRPr="00587D04">
        <w:rPr>
          <w:rFonts w:ascii="Times New Roman" w:hAnsi="Times New Roman" w:cs="Times New Roman"/>
          <w:sz w:val="24"/>
          <w:szCs w:val="24"/>
        </w:rPr>
        <w:t xml:space="preserve">Assim se manifestou o Ministro Eros Roberto Grau no julgamento da ADI n.º 2.855: </w:t>
      </w:r>
    </w:p>
    <w:p w14:paraId="5217FE8E" w14:textId="77777777" w:rsidR="00587D04" w:rsidRDefault="00587D04" w:rsidP="00BA737D">
      <w:pPr>
        <w:spacing w:after="0" w:line="360" w:lineRule="auto"/>
        <w:ind w:firstLine="709"/>
        <w:jc w:val="both"/>
        <w:rPr>
          <w:rFonts w:ascii="Times New Roman" w:hAnsi="Times New Roman" w:cs="Times New Roman"/>
          <w:sz w:val="24"/>
          <w:szCs w:val="24"/>
        </w:rPr>
      </w:pPr>
    </w:p>
    <w:p w14:paraId="7D8D5E0E" w14:textId="77777777" w:rsidR="00EA2263" w:rsidRDefault="00EA2263" w:rsidP="00BA737D">
      <w:pPr>
        <w:spacing w:after="0" w:line="240" w:lineRule="auto"/>
        <w:ind w:left="2268"/>
        <w:jc w:val="both"/>
        <w:rPr>
          <w:rFonts w:ascii="Times New Roman" w:hAnsi="Times New Roman" w:cs="Times New Roman"/>
        </w:rPr>
      </w:pPr>
      <w:r w:rsidRPr="006406D2">
        <w:rPr>
          <w:rFonts w:ascii="Times New Roman" w:hAnsi="Times New Roman" w:cs="Times New Roman"/>
        </w:rPr>
        <w:t>7. É certo que ao juiz incumbe, no exercício da atividade jurisdicional, administrar tudo quanto em Juízo é depositado. O Poder Judiciário é o depositário desses valores. A relação travada entre o jurisdicionado-depositante e o juízo-depositário está inserida, nesse sentido, no âmbito de relação jurídica processual. Quanto ao depósito de valores em dinheiro, como observou o Ministro Lewandowski, o artigo 1.219 do CPC [1973] estabelece que o depósito será efetuado em nome da parte ou do interessado, em conta especial movimentada por ordem do juiz.</w:t>
      </w:r>
      <w:r w:rsidR="00AB4768">
        <w:rPr>
          <w:rFonts w:ascii="Times New Roman" w:hAnsi="Times New Roman" w:cs="Times New Roman"/>
        </w:rPr>
        <w:t xml:space="preserve"> </w:t>
      </w:r>
      <w:r w:rsidRPr="006406D2">
        <w:rPr>
          <w:rFonts w:ascii="Times New Roman" w:hAnsi="Times New Roman" w:cs="Times New Roman"/>
        </w:rPr>
        <w:t xml:space="preserve">8. O Poder Judiciário, depositário desses valores, a seguir atua como seu depositante, no sistema bancário, para garantir a segurança do depósito e possibilitar a remuneração devida, definida em norma federal, até o momento da restituição a quem de direito. O depositário não é, no âmbito processual, o banco, mas o Poder Judiciário. O banco é depositário dos valores que lhe são confiados pelo Poder Judiciário em outra relação, administrativo-financeira, destacada da atividade jurisdicional. O modo sob o qual o Poder Judiciário administra esses valores é expressivo de atividade exercida no âmbito da sua autonomia administrativa e financeira, dele, Poder Judiciário (CB, artigo 99, </w:t>
      </w:r>
      <w:r w:rsidRPr="00D965EC">
        <w:rPr>
          <w:rFonts w:ascii="Times New Roman" w:hAnsi="Times New Roman" w:cs="Times New Roman"/>
          <w:i/>
          <w:iCs/>
        </w:rPr>
        <w:t>caput</w:t>
      </w:r>
      <w:r w:rsidRPr="006406D2">
        <w:rPr>
          <w:rFonts w:ascii="Times New Roman" w:hAnsi="Times New Roman" w:cs="Times New Roman"/>
        </w:rPr>
        <w:t>).</w:t>
      </w:r>
      <w:r w:rsidR="00AB4768">
        <w:rPr>
          <w:rFonts w:ascii="Times New Roman" w:hAnsi="Times New Roman" w:cs="Times New Roman"/>
        </w:rPr>
        <w:t xml:space="preserve"> </w:t>
      </w:r>
      <w:r w:rsidRPr="00C15147">
        <w:rPr>
          <w:rFonts w:ascii="Times New Roman" w:hAnsi="Times New Roman" w:cs="Times New Roman"/>
        </w:rPr>
        <w:t>(ADI 2855, Relator(a): MARCO AURÉLIO, Tribunal Pleno, julgado em 12/05/2010, DJe-173  DIVULG 16-09-2010  PUBLIC 17-09-2010 EMENT VOL-02415-02  PP-00209 RTJ VOL-00218-01 PP-00122)</w:t>
      </w:r>
    </w:p>
    <w:p w14:paraId="335E4270" w14:textId="77777777" w:rsidR="00F235ED" w:rsidRDefault="00F235ED" w:rsidP="00BA737D">
      <w:pPr>
        <w:spacing w:after="0" w:line="240" w:lineRule="auto"/>
        <w:ind w:left="2268"/>
        <w:jc w:val="both"/>
        <w:rPr>
          <w:rFonts w:ascii="Times New Roman" w:hAnsi="Times New Roman" w:cs="Times New Roman"/>
        </w:rPr>
      </w:pPr>
    </w:p>
    <w:p w14:paraId="42278633" w14:textId="77777777" w:rsidR="00F235ED" w:rsidRDefault="00F235E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mesmo sentido, voto condutor do acórdão proferido pelo CNJ no PCA n.º 2008.10.00.000248-8:</w:t>
      </w:r>
    </w:p>
    <w:p w14:paraId="01541F42" w14:textId="77777777" w:rsidR="00AB4768" w:rsidRDefault="00AB4768" w:rsidP="00BA737D">
      <w:pPr>
        <w:spacing w:after="0" w:line="240" w:lineRule="auto"/>
        <w:ind w:left="2268"/>
        <w:jc w:val="both"/>
        <w:rPr>
          <w:rFonts w:ascii="Times New Roman" w:hAnsi="Times New Roman" w:cs="Times New Roman"/>
        </w:rPr>
      </w:pPr>
    </w:p>
    <w:p w14:paraId="133FDA75" w14:textId="77777777" w:rsidR="00F235ED" w:rsidRPr="005C7848" w:rsidRDefault="00F235ED" w:rsidP="00BA737D">
      <w:pPr>
        <w:spacing w:after="0" w:line="240" w:lineRule="auto"/>
        <w:ind w:left="2268"/>
        <w:jc w:val="both"/>
        <w:rPr>
          <w:rFonts w:ascii="Times New Roman" w:hAnsi="Times New Roman" w:cs="Times New Roman"/>
        </w:rPr>
      </w:pPr>
      <w:r w:rsidRPr="005C7848">
        <w:rPr>
          <w:rFonts w:ascii="Times New Roman" w:hAnsi="Times New Roman" w:cs="Times New Roman"/>
        </w:rPr>
        <w:t xml:space="preserve">A atividade prestada por essas instituições, consistente na administração de contas de depósitos judiciais, configura-se como típica prestação de serviço uma vez que se trata de trabalho especializado desenvolvido por terceiro para a satisfação de </w:t>
      </w:r>
      <w:r w:rsidRPr="005C7848">
        <w:rPr>
          <w:rFonts w:ascii="Times New Roman" w:hAnsi="Times New Roman" w:cs="Times New Roman"/>
        </w:rPr>
        <w:lastRenderedPageBreak/>
        <w:t>uma necessidade de interesse do Poder Judiciário. Esse serviço é prestado diretamente a órgão do Poder Judiciário e não a um particular, porque compete àquele, na condição de guardião, decidir sobre a destinação dos valores depositados. Portanto, é equivocado afirmar que o serviço envolve diretamente as partes do processo judicial, porque estas não podem dispor livremente dos valores depositados.</w:t>
      </w:r>
    </w:p>
    <w:p w14:paraId="13AC65D1" w14:textId="77777777" w:rsidR="00F235ED" w:rsidRPr="006406D2" w:rsidRDefault="00F235ED" w:rsidP="00BA737D">
      <w:pPr>
        <w:spacing w:after="0" w:line="240" w:lineRule="auto"/>
        <w:ind w:left="2268"/>
        <w:jc w:val="both"/>
        <w:rPr>
          <w:rFonts w:ascii="Times New Roman" w:hAnsi="Times New Roman" w:cs="Times New Roman"/>
        </w:rPr>
      </w:pPr>
    </w:p>
    <w:p w14:paraId="57CAC174" w14:textId="77777777" w:rsidR="000F133D"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Desse modo, quando o particular faz um depósito judicial ou administrativo, o Estado adquire a propriedade do valor depositado e contrai o dever de lhe entregar valor da mesma qualidade e na mesma quantidade no momento devido.</w:t>
      </w:r>
    </w:p>
    <w:p w14:paraId="186C5C04" w14:textId="77777777" w:rsidR="005963D9" w:rsidRDefault="005963D9" w:rsidP="00BA737D">
      <w:pPr>
        <w:spacing w:after="0" w:line="360" w:lineRule="auto"/>
        <w:ind w:firstLine="709"/>
        <w:jc w:val="both"/>
        <w:rPr>
          <w:rFonts w:ascii="Times New Roman" w:hAnsi="Times New Roman" w:cs="Times New Roman"/>
          <w:sz w:val="24"/>
          <w:szCs w:val="24"/>
        </w:rPr>
      </w:pPr>
    </w:p>
    <w:p w14:paraId="1012D195" w14:textId="77777777" w:rsidR="006F380F" w:rsidRPr="006C3B02" w:rsidRDefault="00663CF9" w:rsidP="00BA737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6F380F" w:rsidRPr="006C3B02">
        <w:rPr>
          <w:rFonts w:ascii="Times New Roman" w:hAnsi="Times New Roman" w:cs="Times New Roman"/>
          <w:sz w:val="24"/>
          <w:szCs w:val="24"/>
          <w:u w:val="single"/>
        </w:rPr>
        <w:t>.1.</w:t>
      </w:r>
      <w:r w:rsidR="006F380F">
        <w:rPr>
          <w:rFonts w:ascii="Times New Roman" w:hAnsi="Times New Roman" w:cs="Times New Roman"/>
          <w:sz w:val="24"/>
          <w:szCs w:val="24"/>
          <w:u w:val="single"/>
        </w:rPr>
        <w:t>2</w:t>
      </w:r>
      <w:r w:rsidR="006F380F" w:rsidRPr="006C3B02">
        <w:rPr>
          <w:rFonts w:ascii="Times New Roman" w:hAnsi="Times New Roman" w:cs="Times New Roman"/>
          <w:sz w:val="24"/>
          <w:szCs w:val="24"/>
          <w:u w:val="single"/>
        </w:rPr>
        <w:t xml:space="preserve"> – O</w:t>
      </w:r>
      <w:r w:rsidR="005B5854">
        <w:rPr>
          <w:rFonts w:ascii="Times New Roman" w:hAnsi="Times New Roman" w:cs="Times New Roman"/>
          <w:sz w:val="24"/>
          <w:szCs w:val="24"/>
          <w:u w:val="single"/>
        </w:rPr>
        <w:t xml:space="preserve">s </w:t>
      </w:r>
      <w:r w:rsidR="006F380F">
        <w:rPr>
          <w:rFonts w:ascii="Times New Roman" w:hAnsi="Times New Roman" w:cs="Times New Roman"/>
          <w:sz w:val="24"/>
          <w:szCs w:val="24"/>
          <w:u w:val="single"/>
        </w:rPr>
        <w:t>bancos e o Poder Judiciário</w:t>
      </w:r>
      <w:r w:rsidR="005B5854">
        <w:rPr>
          <w:rFonts w:ascii="Times New Roman" w:hAnsi="Times New Roman" w:cs="Times New Roman"/>
          <w:sz w:val="24"/>
          <w:szCs w:val="24"/>
          <w:u w:val="single"/>
        </w:rPr>
        <w:t xml:space="preserve"> rateiam o </w:t>
      </w:r>
      <w:r w:rsidR="005B5854">
        <w:rPr>
          <w:rFonts w:ascii="Times New Roman" w:hAnsi="Times New Roman" w:cs="Times New Roman"/>
          <w:i/>
          <w:iCs/>
          <w:sz w:val="24"/>
          <w:szCs w:val="24"/>
          <w:u w:val="single"/>
        </w:rPr>
        <w:t xml:space="preserve">spread </w:t>
      </w:r>
      <w:r w:rsidR="005B5854">
        <w:rPr>
          <w:rFonts w:ascii="Times New Roman" w:hAnsi="Times New Roman" w:cs="Times New Roman"/>
          <w:sz w:val="24"/>
          <w:szCs w:val="24"/>
          <w:u w:val="single"/>
        </w:rPr>
        <w:t>dos depósitos</w:t>
      </w:r>
    </w:p>
    <w:p w14:paraId="3CFF0996"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taxa de captação dos depósitos judiciais e administrativos é baixa. Normalmente, os depósitos judiciais recebem a mesma remuneração da poupança (p. ex.: Lei n.º 9.289/1996, art. 11, § 1º). Já a taxa dos depósitos administrativos varia de ente para ente, mas ela tende a ser baixa.</w:t>
      </w:r>
    </w:p>
    <w:p w14:paraId="1F1F8BC6"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Dado o baixo índice da taxa de captação, o </w:t>
      </w:r>
      <w:r>
        <w:rPr>
          <w:rFonts w:ascii="Times New Roman" w:hAnsi="Times New Roman" w:cs="Times New Roman"/>
          <w:i/>
          <w:iCs/>
          <w:sz w:val="24"/>
          <w:szCs w:val="24"/>
        </w:rPr>
        <w:t xml:space="preserve">spread bancário </w:t>
      </w:r>
      <w:r>
        <w:rPr>
          <w:rFonts w:ascii="Times New Roman" w:hAnsi="Times New Roman" w:cs="Times New Roman"/>
          <w:sz w:val="24"/>
          <w:szCs w:val="24"/>
        </w:rPr>
        <w:t xml:space="preserve">relativo aos depósitos judiciais e administrativos fica entre os mais altos do país, que já possui um dos </w:t>
      </w:r>
      <w:r>
        <w:rPr>
          <w:rFonts w:ascii="Times New Roman" w:hAnsi="Times New Roman" w:cs="Times New Roman"/>
          <w:i/>
          <w:iCs/>
          <w:sz w:val="24"/>
          <w:szCs w:val="24"/>
        </w:rPr>
        <w:t xml:space="preserve">spreads </w:t>
      </w:r>
      <w:r>
        <w:rPr>
          <w:rFonts w:ascii="Times New Roman" w:hAnsi="Times New Roman" w:cs="Times New Roman"/>
          <w:sz w:val="24"/>
          <w:szCs w:val="24"/>
        </w:rPr>
        <w:t xml:space="preserve">gerais mais altos do mundo. Isso torna o negócio de gestão desses depósitos muito atrativo. Especificamente quanto aos depósitos judiciais, a atratividade do negócio da gestão já foi reconhecida pelo CNJ. Isso ocorreu no acórdão que julgou o Procedimento de Controle Administrativo (PCA) n.º </w:t>
      </w:r>
      <w:r w:rsidRPr="002B68AA">
        <w:rPr>
          <w:rFonts w:ascii="Times New Roman" w:hAnsi="Times New Roman" w:cs="Times New Roman"/>
          <w:sz w:val="24"/>
          <w:szCs w:val="24"/>
        </w:rPr>
        <w:t>0007034-41.2009.2.00.0000</w:t>
      </w:r>
      <w:r>
        <w:rPr>
          <w:rFonts w:ascii="Times New Roman" w:hAnsi="Times New Roman" w:cs="Times New Roman"/>
          <w:sz w:val="24"/>
          <w:szCs w:val="24"/>
        </w:rPr>
        <w:t>:</w:t>
      </w:r>
    </w:p>
    <w:p w14:paraId="1841DAF6" w14:textId="77777777" w:rsidR="006F380F" w:rsidRDefault="006F380F" w:rsidP="00BA737D">
      <w:pPr>
        <w:autoSpaceDE w:val="0"/>
        <w:autoSpaceDN w:val="0"/>
        <w:adjustRightInd w:val="0"/>
        <w:spacing w:after="0" w:line="240" w:lineRule="auto"/>
        <w:ind w:left="2268"/>
        <w:jc w:val="both"/>
        <w:rPr>
          <w:rFonts w:ascii="Times New Roman" w:hAnsi="Times New Roman" w:cs="Times New Roman"/>
          <w:sz w:val="24"/>
          <w:szCs w:val="24"/>
        </w:rPr>
      </w:pPr>
    </w:p>
    <w:p w14:paraId="3179D367" w14:textId="77777777" w:rsidR="006F380F" w:rsidRPr="000060EF" w:rsidRDefault="006F380F" w:rsidP="00BA737D">
      <w:pPr>
        <w:autoSpaceDE w:val="0"/>
        <w:autoSpaceDN w:val="0"/>
        <w:adjustRightInd w:val="0"/>
        <w:spacing w:after="0" w:line="240" w:lineRule="auto"/>
        <w:ind w:left="2268"/>
        <w:jc w:val="both"/>
        <w:rPr>
          <w:rFonts w:ascii="Times New Roman" w:hAnsi="Times New Roman" w:cs="Times New Roman"/>
        </w:rPr>
      </w:pPr>
      <w:r w:rsidRPr="000060EF">
        <w:rPr>
          <w:rFonts w:ascii="Times New Roman" w:hAnsi="Times New Roman" w:cs="Times New Roman"/>
        </w:rPr>
        <w:t xml:space="preserve">De forma simplificada, a esta diferença entre o quanto a instituição financeira desembolsa para financiar os juros de captação e o quanto recebe nas operações de crédito que disponibiliza à sociedade, chama-se </w:t>
      </w:r>
      <w:r w:rsidRPr="000060EF">
        <w:rPr>
          <w:rFonts w:ascii="Times New Roman" w:hAnsi="Times New Roman" w:cs="Times New Roman"/>
          <w:i/>
          <w:iCs/>
        </w:rPr>
        <w:t xml:space="preserve">spread </w:t>
      </w:r>
      <w:r w:rsidRPr="000060EF">
        <w:rPr>
          <w:rFonts w:ascii="Times New Roman" w:hAnsi="Times New Roman" w:cs="Times New Roman"/>
        </w:rPr>
        <w:t>bancário.</w:t>
      </w:r>
    </w:p>
    <w:p w14:paraId="29AFED90" w14:textId="77777777" w:rsidR="006F380F" w:rsidRPr="000060EF" w:rsidRDefault="00BA737D" w:rsidP="00BA737D">
      <w:pPr>
        <w:autoSpaceDE w:val="0"/>
        <w:autoSpaceDN w:val="0"/>
        <w:adjustRightInd w:val="0"/>
        <w:spacing w:after="0" w:line="240" w:lineRule="auto"/>
        <w:ind w:left="2268"/>
        <w:jc w:val="both"/>
        <w:rPr>
          <w:rFonts w:ascii="Times New Roman" w:hAnsi="Times New Roman" w:cs="Times New Roman"/>
        </w:rPr>
      </w:pPr>
      <w:r w:rsidRPr="000060EF">
        <w:rPr>
          <w:rFonts w:ascii="Times New Roman" w:hAnsi="Times New Roman" w:cs="Times New Roman"/>
        </w:rPr>
        <w:t xml:space="preserve">A lucratividade do ajuste </w:t>
      </w:r>
      <w:r w:rsidRPr="000060EF">
        <w:rPr>
          <w:rFonts w:ascii="Times New Roman" w:hAnsi="Times New Roman" w:cs="Times New Roman"/>
          <w:i/>
          <w:iCs/>
        </w:rPr>
        <w:t xml:space="preserve">sub examine </w:t>
      </w:r>
      <w:r w:rsidRPr="000060EF">
        <w:rPr>
          <w:rFonts w:ascii="Times New Roman" w:hAnsi="Times New Roman" w:cs="Times New Roman"/>
        </w:rPr>
        <w:t>fica ainda mais evidente quando se considera que o Relatório de Economia Bancária e de Crédito publica</w:t>
      </w:r>
      <w:r w:rsidR="00AB4768">
        <w:rPr>
          <w:rFonts w:ascii="Times New Roman" w:hAnsi="Times New Roman" w:cs="Times New Roman"/>
        </w:rPr>
        <w:t>do pelo Banco Central do Brasil</w:t>
      </w:r>
      <w:r w:rsidRPr="000060EF">
        <w:rPr>
          <w:rFonts w:ascii="Times New Roman" w:hAnsi="Times New Roman" w:cs="Times New Roman"/>
        </w:rPr>
        <w:t xml:space="preserve">, referente ao ano de 2008, indica que, somente naquele ano, o </w:t>
      </w:r>
      <w:r w:rsidRPr="000060EF">
        <w:rPr>
          <w:rFonts w:ascii="Times New Roman" w:hAnsi="Times New Roman" w:cs="Times New Roman"/>
          <w:i/>
          <w:iCs/>
        </w:rPr>
        <w:t xml:space="preserve">spread </w:t>
      </w:r>
      <w:r w:rsidRPr="000060EF">
        <w:rPr>
          <w:rFonts w:ascii="Times New Roman" w:hAnsi="Times New Roman" w:cs="Times New Roman"/>
        </w:rPr>
        <w:t>bancário geral alcançou 30,7% (trinta inteiro</w:t>
      </w:r>
      <w:r>
        <w:rPr>
          <w:rFonts w:ascii="Times New Roman" w:hAnsi="Times New Roman" w:cs="Times New Roman"/>
        </w:rPr>
        <w:t xml:space="preserve">s </w:t>
      </w:r>
      <w:r w:rsidRPr="000060EF">
        <w:rPr>
          <w:rFonts w:ascii="Times New Roman" w:hAnsi="Times New Roman" w:cs="Times New Roman"/>
        </w:rPr>
        <w:t>e sete décimos por cento).</w:t>
      </w:r>
    </w:p>
    <w:p w14:paraId="5D396A4D" w14:textId="77777777" w:rsidR="006F380F" w:rsidRPr="000060EF" w:rsidRDefault="006F380F" w:rsidP="00BA737D">
      <w:pPr>
        <w:autoSpaceDE w:val="0"/>
        <w:autoSpaceDN w:val="0"/>
        <w:adjustRightInd w:val="0"/>
        <w:spacing w:after="0" w:line="240" w:lineRule="auto"/>
        <w:ind w:left="2268"/>
        <w:jc w:val="both"/>
        <w:rPr>
          <w:rFonts w:ascii="Times New Roman" w:hAnsi="Times New Roman" w:cs="Times New Roman"/>
        </w:rPr>
      </w:pPr>
      <w:r w:rsidRPr="000060EF">
        <w:rPr>
          <w:rFonts w:ascii="Times New Roman" w:hAnsi="Times New Roman" w:cs="Times New Roman"/>
        </w:rPr>
        <w:t>Isto é, o serviço público de gestão dos depósitos judiciais, visto sob as lentes da instituição financeira, representa um negócio no qual se vislumbra a possibilidade de tomar centenas de milhões de reais a juros que, no máximo, se equiparam aos de poupança (0,5% a.m.)</w:t>
      </w:r>
      <w:r w:rsidRPr="000060EF">
        <w:rPr>
          <w:rStyle w:val="Refdenotaderodap"/>
          <w:rFonts w:ascii="Times New Roman" w:hAnsi="Times New Roman" w:cs="Times New Roman"/>
        </w:rPr>
        <w:footnoteReference w:id="8"/>
      </w:r>
      <w:r w:rsidRPr="000060EF">
        <w:rPr>
          <w:rFonts w:ascii="Times New Roman" w:hAnsi="Times New Roman" w:cs="Times New Roman"/>
        </w:rPr>
        <w:t>, e recolocá-los no mercado por percentuais muito superiores.</w:t>
      </w:r>
    </w:p>
    <w:p w14:paraId="7EB006A0" w14:textId="77777777" w:rsidR="006F380F" w:rsidRPr="000060EF" w:rsidRDefault="006F380F" w:rsidP="00BA737D">
      <w:pPr>
        <w:autoSpaceDE w:val="0"/>
        <w:autoSpaceDN w:val="0"/>
        <w:adjustRightInd w:val="0"/>
        <w:spacing w:after="0" w:line="240" w:lineRule="auto"/>
        <w:ind w:left="2268"/>
        <w:jc w:val="both"/>
        <w:rPr>
          <w:rFonts w:ascii="Times New Roman" w:hAnsi="Times New Roman" w:cs="Times New Roman"/>
        </w:rPr>
      </w:pPr>
      <w:r w:rsidRPr="000060EF">
        <w:rPr>
          <w:rFonts w:ascii="Times New Roman" w:hAnsi="Times New Roman" w:cs="Times New Roman"/>
        </w:rPr>
        <w:t>A operação, sob este prisma, é mais que rentável</w:t>
      </w:r>
      <w:r w:rsidRPr="000060EF">
        <w:rPr>
          <w:rFonts w:ascii="Times New Roman" w:hAnsi="Times New Roman" w:cs="Times New Roman"/>
          <w:i/>
          <w:iCs/>
        </w:rPr>
        <w:t xml:space="preserve">. </w:t>
      </w:r>
      <w:r w:rsidRPr="000060EF">
        <w:rPr>
          <w:rFonts w:ascii="Times New Roman" w:hAnsi="Times New Roman" w:cs="Times New Roman"/>
        </w:rPr>
        <w:t>Daí por que, com o devido respeito, impossível aceitar que as quantias oferecidas pela instituição financeira, como contrapartida pelo recebimento do serviço de gestão dos depósitos judiciais, seja uma liberalidade, doação, fruto do sentimento cívico de cooperação com a prestação jurisdicional ou da propalada responsabilidade social da empresa.</w:t>
      </w:r>
    </w:p>
    <w:p w14:paraId="41FB3597" w14:textId="77777777" w:rsidR="006F380F" w:rsidRPr="00C74328" w:rsidRDefault="006F380F" w:rsidP="00BA737D">
      <w:pPr>
        <w:spacing w:after="0" w:line="360" w:lineRule="auto"/>
        <w:ind w:firstLine="709"/>
        <w:jc w:val="both"/>
        <w:rPr>
          <w:rFonts w:ascii="Times New Roman" w:hAnsi="Times New Roman" w:cs="Times New Roman"/>
          <w:sz w:val="24"/>
          <w:szCs w:val="24"/>
        </w:rPr>
      </w:pPr>
    </w:p>
    <w:p w14:paraId="5D43B94C"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Já no julgamento do PCA n.º 2008.10.00.000248-8, o CNJ, confirmando a atratividade no negócio, afirmou que o banco que administraria os depósitos judiciais do E</w:t>
      </w:r>
      <w:r w:rsidR="004638A6">
        <w:rPr>
          <w:rFonts w:ascii="Times New Roman" w:hAnsi="Times New Roman" w:cs="Times New Roman"/>
          <w:sz w:val="24"/>
          <w:szCs w:val="24"/>
        </w:rPr>
        <w:t xml:space="preserve">stado </w:t>
      </w:r>
      <w:r>
        <w:rPr>
          <w:rFonts w:ascii="Times New Roman" w:hAnsi="Times New Roman" w:cs="Times New Roman"/>
          <w:sz w:val="24"/>
          <w:szCs w:val="24"/>
        </w:rPr>
        <w:t>de Minas Gerais por 24 meses a partir de 2008 seria remunerado com mais de um bilhão de reais</w:t>
      </w:r>
      <w:r w:rsidR="004638A6">
        <w:rPr>
          <w:rFonts w:ascii="Times New Roman" w:hAnsi="Times New Roman" w:cs="Times New Roman"/>
          <w:sz w:val="24"/>
          <w:szCs w:val="24"/>
        </w:rPr>
        <w:t>.</w:t>
      </w:r>
    </w:p>
    <w:p w14:paraId="0A28717A" w14:textId="77777777" w:rsidR="00C257DD"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Inicialmente, o lucro decorrente do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dos depósitos judiciais ficava exclusivamente com os bancos. Apesar de meros executores do serviço, foram eles que se enriqueceram gerindo os valores depositados judicialmente. Isso também foi reconhecido pelo CNJ no acórdão que julgou o PCA n.º 0007034-41.2009.2.00.0000</w:t>
      </w:r>
      <w:r w:rsidR="00C257DD">
        <w:rPr>
          <w:rStyle w:val="Refdenotaderodap"/>
          <w:rFonts w:ascii="Times New Roman" w:hAnsi="Times New Roman" w:cs="Times New Roman"/>
          <w:sz w:val="24"/>
          <w:szCs w:val="24"/>
        </w:rPr>
        <w:footnoteReference w:id="9"/>
      </w:r>
      <w:r w:rsidR="00C257DD">
        <w:rPr>
          <w:rFonts w:ascii="Times New Roman" w:hAnsi="Times New Roman" w:cs="Times New Roman"/>
          <w:sz w:val="24"/>
          <w:szCs w:val="24"/>
        </w:rPr>
        <w:t>.</w:t>
      </w:r>
    </w:p>
    <w:p w14:paraId="4C961921"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Contudo, os entes federados começaram a questionar a situação. Afinal, eram eles os titulares do serviço de gestão dos depósitos judiciais. Assim, construíram normas, editaram atos e celebraram contratos administrativos com o objetivo de destinar parcela do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 xml:space="preserve">dos depósitos judiciais à Administração do Poder Judiciário. </w:t>
      </w:r>
    </w:p>
    <w:p w14:paraId="354EEF97"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Mas, como era de se esperar, a constitucionalidade deles foi contestada: os bancos tinham muito a perder.</w:t>
      </w:r>
    </w:p>
    <w:p w14:paraId="304A3D36"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No Estado de Mato Grosso, por exemplo, foi editada a Lei n.º 7.604/2001, da iniciativa do Poder Judiciário. No julgamento da ADI n.º 2.855</w:t>
      </w:r>
      <w:r w:rsidRPr="00171D8B">
        <w:rPr>
          <w:rStyle w:val="Refdenotaderodap"/>
          <w:rFonts w:ascii="Times New Roman" w:hAnsi="Times New Roman" w:cs="Times New Roman"/>
          <w:sz w:val="24"/>
          <w:szCs w:val="24"/>
        </w:rPr>
        <w:footnoteReference w:id="10"/>
      </w:r>
      <w:r w:rsidRPr="00171D8B">
        <w:rPr>
          <w:rFonts w:ascii="Times New Roman" w:hAnsi="Times New Roman" w:cs="Times New Roman"/>
          <w:sz w:val="24"/>
          <w:szCs w:val="24"/>
        </w:rPr>
        <w:t xml:space="preserve">, a lei foi declarada inconstitucional por vício formal: ela não poderia ter sido da iniciativa do Poder Judiciário. Não houve, porém, decisão sobre a constitucionalidade material da norma. </w:t>
      </w:r>
    </w:p>
    <w:p w14:paraId="2B1B13CA"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Apesar disso, o Ministro Eros Roberto Grau, em </w:t>
      </w:r>
      <w:r w:rsidRPr="00171D8B">
        <w:rPr>
          <w:rFonts w:ascii="Times New Roman" w:hAnsi="Times New Roman" w:cs="Times New Roman"/>
          <w:i/>
          <w:iCs/>
          <w:sz w:val="24"/>
          <w:szCs w:val="24"/>
        </w:rPr>
        <w:t>obiter dicta</w:t>
      </w:r>
      <w:r w:rsidRPr="00171D8B">
        <w:rPr>
          <w:rFonts w:ascii="Times New Roman" w:hAnsi="Times New Roman" w:cs="Times New Roman"/>
          <w:sz w:val="24"/>
          <w:szCs w:val="24"/>
        </w:rPr>
        <w:t xml:space="preserve">, se manifestou por sua constitucionalidade material. A seu ver, não haveria qualquer ofensa ao direito constitucional da propriedade dos particulares depositantes; o direito deles de receber valores equivalentes aos depositados não teria sido violado. Os únicos prejudicados com a norma seriam os bancos; eles teriam seus lucros reduzidos, uma vez que deixariam de se beneficiar da integralidade do </w:t>
      </w:r>
      <w:r w:rsidRPr="00171D8B">
        <w:rPr>
          <w:rFonts w:ascii="Times New Roman" w:hAnsi="Times New Roman" w:cs="Times New Roman"/>
          <w:i/>
          <w:iCs/>
          <w:sz w:val="24"/>
          <w:szCs w:val="24"/>
        </w:rPr>
        <w:t>spread</w:t>
      </w:r>
      <w:r w:rsidRPr="00171D8B">
        <w:rPr>
          <w:rFonts w:ascii="Times New Roman" w:hAnsi="Times New Roman" w:cs="Times New Roman"/>
          <w:sz w:val="24"/>
          <w:szCs w:val="24"/>
        </w:rPr>
        <w:t>. Mas isso não seria uma ofensa ao direito constitucional de propriedade</w:t>
      </w:r>
      <w:r w:rsidR="003F760D">
        <w:rPr>
          <w:rFonts w:ascii="Times New Roman" w:hAnsi="Times New Roman" w:cs="Times New Roman"/>
          <w:sz w:val="24"/>
          <w:szCs w:val="24"/>
        </w:rPr>
        <w:t xml:space="preserve">. </w:t>
      </w:r>
      <w:r w:rsidR="003F760D" w:rsidRPr="00171D8B">
        <w:rPr>
          <w:rFonts w:ascii="Times New Roman" w:hAnsi="Times New Roman" w:cs="Times New Roman"/>
          <w:sz w:val="24"/>
          <w:szCs w:val="24"/>
        </w:rPr>
        <w:t xml:space="preserve">E mais: seria melhor que o </w:t>
      </w:r>
      <w:r w:rsidR="003F760D" w:rsidRPr="00171D8B">
        <w:rPr>
          <w:rFonts w:ascii="Times New Roman" w:hAnsi="Times New Roman" w:cs="Times New Roman"/>
          <w:i/>
          <w:iCs/>
          <w:sz w:val="24"/>
          <w:szCs w:val="24"/>
        </w:rPr>
        <w:t xml:space="preserve">spread </w:t>
      </w:r>
      <w:r w:rsidR="003F760D" w:rsidRPr="00171D8B">
        <w:rPr>
          <w:rFonts w:ascii="Times New Roman" w:hAnsi="Times New Roman" w:cs="Times New Roman"/>
          <w:sz w:val="24"/>
          <w:szCs w:val="24"/>
        </w:rPr>
        <w:t>fosse destinado ao Estado, que teoricamente o redistribuiria à sociedade, do que aos bancos, que iriam utilizá-lo para enriquecer o pequeno conjunto de pessoas formado por seus sócios e por seus altos executivos</w:t>
      </w:r>
      <w:r w:rsidRPr="00171D8B">
        <w:rPr>
          <w:rFonts w:ascii="Times New Roman" w:hAnsi="Times New Roman" w:cs="Times New Roman"/>
          <w:sz w:val="24"/>
          <w:szCs w:val="24"/>
        </w:rPr>
        <w:t xml:space="preserve">. </w:t>
      </w:r>
    </w:p>
    <w:p w14:paraId="48D2F7AF" w14:textId="77777777" w:rsidR="006F380F" w:rsidRPr="00171D8B" w:rsidRDefault="006F380F" w:rsidP="00BA737D">
      <w:pPr>
        <w:spacing w:after="0" w:line="360" w:lineRule="auto"/>
        <w:ind w:firstLine="709"/>
        <w:jc w:val="both"/>
        <w:rPr>
          <w:rFonts w:ascii="Times New Roman" w:hAnsi="Times New Roman" w:cs="Times New Roman"/>
        </w:rPr>
      </w:pPr>
      <w:r w:rsidRPr="00171D8B">
        <w:rPr>
          <w:rFonts w:ascii="Times New Roman" w:hAnsi="Times New Roman" w:cs="Times New Roman"/>
          <w:sz w:val="24"/>
          <w:szCs w:val="24"/>
        </w:rPr>
        <w:lastRenderedPageBreak/>
        <w:t>No mesmo julgamento, alguns Ministros sugeriram que a matéria fosse disciplinada pelo CNJ, para se garantir a uniformidade</w:t>
      </w:r>
      <w:r w:rsidR="00143987">
        <w:rPr>
          <w:rFonts w:ascii="Times New Roman" w:hAnsi="Times New Roman" w:cs="Times New Roman"/>
          <w:sz w:val="24"/>
          <w:szCs w:val="24"/>
        </w:rPr>
        <w:t>.</w:t>
      </w:r>
    </w:p>
    <w:p w14:paraId="6074E377"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No PCA n.º 0007034-41.2009.2.00.0000, o CNJ, atento à provocação do STF, examinou a constitucionalidade de ajuste firmado pelo Estado do Paraná com banco</w:t>
      </w:r>
      <w:r w:rsidR="00AF5483">
        <w:rPr>
          <w:rFonts w:ascii="Times New Roman" w:hAnsi="Times New Roman" w:cs="Times New Roman"/>
          <w:sz w:val="24"/>
          <w:szCs w:val="24"/>
        </w:rPr>
        <w:t xml:space="preserve"> prevendo</w:t>
      </w:r>
      <w:r w:rsidRPr="00171D8B">
        <w:rPr>
          <w:rFonts w:ascii="Times New Roman" w:hAnsi="Times New Roman" w:cs="Times New Roman"/>
          <w:sz w:val="24"/>
          <w:szCs w:val="24"/>
        </w:rPr>
        <w:t xml:space="preserve"> a destinação de parte do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 xml:space="preserve">dos depósitos judiciais ao TJ/PR. O relator informou que o TJ/PR havia comunicado que diversos outros estados-membros teriam feitos ajustes similares. E, no que foi acompanhado pelo colegiado, entendeu que, com a EC n.º 45/2004, se tornou constitucionalmente possível </w:t>
      </w:r>
      <w:r>
        <w:rPr>
          <w:rFonts w:ascii="Times New Roman" w:hAnsi="Times New Roman" w:cs="Times New Roman"/>
          <w:sz w:val="24"/>
          <w:szCs w:val="24"/>
        </w:rPr>
        <w:t xml:space="preserve">tal ajuste. </w:t>
      </w:r>
      <w:r w:rsidRPr="00171D8B">
        <w:rPr>
          <w:rFonts w:ascii="Times New Roman" w:hAnsi="Times New Roman" w:cs="Times New Roman"/>
          <w:sz w:val="24"/>
          <w:szCs w:val="24"/>
        </w:rPr>
        <w:t xml:space="preserve">Isso porque a Emenda inseriu na CRFB o § 2º do art. 98, que prevê a possibilidade de destinação de custas e emolumentos para o custeio das atividades do Judiciário. </w:t>
      </w:r>
    </w:p>
    <w:p w14:paraId="7F4745D6"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O relator entendeu também que a destinação de parcela do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 xml:space="preserve">ao Judiciário seria justa: ao tomarem o </w:t>
      </w:r>
      <w:r w:rsidRPr="00171D8B">
        <w:rPr>
          <w:rFonts w:ascii="Times New Roman" w:hAnsi="Times New Roman" w:cs="Times New Roman"/>
          <w:i/>
          <w:iCs/>
          <w:sz w:val="24"/>
          <w:szCs w:val="24"/>
        </w:rPr>
        <w:t>spread</w:t>
      </w:r>
      <w:r w:rsidRPr="00171D8B">
        <w:rPr>
          <w:rFonts w:ascii="Times New Roman" w:hAnsi="Times New Roman" w:cs="Times New Roman"/>
          <w:sz w:val="24"/>
          <w:szCs w:val="24"/>
        </w:rPr>
        <w:t xml:space="preserve"> todo para si, os bancos estariam se locupletando indevidamente em virtude do exercício de uma tarefa que lhes é delegada pela Administração do Poder Judiciário, a titular da tarefa. </w:t>
      </w:r>
    </w:p>
    <w:p w14:paraId="6C4F1B60"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Além do mais, 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não poderia pertencer ao depositante: o depósito de valores no Judiciário não poderia se transformar em investimento financeiro para o depositante. Do contrário, as pessoas poderiam optar por se tornar litigantes em processos judiciais em vez de adotar soluções consensuais, apenas com o intuito de, por meio de ação de consignação em pagamento, ter lucro no sistema financeiro por meio de Judiciário. Haveria uma grande especulação financeira no contexto das ações judiciais</w:t>
      </w:r>
      <w:r w:rsidR="00BA60E8">
        <w:rPr>
          <w:rFonts w:ascii="Times New Roman" w:hAnsi="Times New Roman" w:cs="Times New Roman"/>
          <w:sz w:val="24"/>
          <w:szCs w:val="24"/>
        </w:rPr>
        <w:t>.</w:t>
      </w:r>
    </w:p>
    <w:p w14:paraId="31DA1CCD"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Portanto, o CNJ chancelou o rateio do </w:t>
      </w:r>
      <w:r w:rsidRPr="00171D8B">
        <w:rPr>
          <w:rFonts w:ascii="Times New Roman" w:hAnsi="Times New Roman" w:cs="Times New Roman"/>
          <w:i/>
          <w:iCs/>
          <w:sz w:val="24"/>
          <w:szCs w:val="24"/>
        </w:rPr>
        <w:t xml:space="preserve">spread </w:t>
      </w:r>
      <w:r w:rsidRPr="00171D8B">
        <w:rPr>
          <w:rFonts w:ascii="Times New Roman" w:hAnsi="Times New Roman" w:cs="Times New Roman"/>
          <w:sz w:val="24"/>
          <w:szCs w:val="24"/>
        </w:rPr>
        <w:t>dos depósitos judiciais entre os bancos e as Administrações do Poder Judiciário. Desse modo, ele implicitamente afirmou que os depósitos não são da propriedade dos depositantes: só assim banco e Judiciário podem</w:t>
      </w:r>
      <w:r w:rsidR="005939DA">
        <w:rPr>
          <w:rFonts w:ascii="Times New Roman" w:hAnsi="Times New Roman" w:cs="Times New Roman"/>
          <w:sz w:val="24"/>
          <w:szCs w:val="24"/>
        </w:rPr>
        <w:t>, sem a autorização deles,</w:t>
      </w:r>
      <w:r w:rsidRPr="00171D8B">
        <w:rPr>
          <w:rFonts w:ascii="Times New Roman" w:hAnsi="Times New Roman" w:cs="Times New Roman"/>
          <w:sz w:val="24"/>
          <w:szCs w:val="24"/>
        </w:rPr>
        <w:t xml:space="preserve"> ratear os frutos dos depósitos</w:t>
      </w:r>
      <w:r w:rsidR="00BA60E8" w:rsidRPr="00171D8B">
        <w:rPr>
          <w:rFonts w:ascii="Times New Roman" w:hAnsi="Times New Roman" w:cs="Times New Roman"/>
          <w:sz w:val="24"/>
          <w:szCs w:val="24"/>
        </w:rPr>
        <w:t>.</w:t>
      </w:r>
    </w:p>
    <w:p w14:paraId="178F9FBE"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A existência dos ajustes </w:t>
      </w:r>
      <w:r>
        <w:rPr>
          <w:rFonts w:ascii="Times New Roman" w:hAnsi="Times New Roman" w:cs="Times New Roman"/>
          <w:sz w:val="24"/>
          <w:szCs w:val="24"/>
        </w:rPr>
        <w:t xml:space="preserve">de rateio do </w:t>
      </w:r>
      <w:r>
        <w:rPr>
          <w:rFonts w:ascii="Times New Roman" w:hAnsi="Times New Roman" w:cs="Times New Roman"/>
          <w:i/>
          <w:iCs/>
          <w:sz w:val="24"/>
          <w:szCs w:val="24"/>
        </w:rPr>
        <w:t xml:space="preserve">spread </w:t>
      </w:r>
      <w:r w:rsidRPr="00171D8B">
        <w:rPr>
          <w:rFonts w:ascii="Times New Roman" w:hAnsi="Times New Roman" w:cs="Times New Roman"/>
          <w:sz w:val="24"/>
          <w:szCs w:val="24"/>
        </w:rPr>
        <w:t>foi confirmada pelo Ministro Luís Roberto Barroso ao votar no julgamento de questão de ordem nas ADIs n.º 4.537 e 4.425:</w:t>
      </w:r>
    </w:p>
    <w:p w14:paraId="7BF0097F" w14:textId="77777777" w:rsidR="006F380F" w:rsidRPr="00171D8B" w:rsidRDefault="006F380F" w:rsidP="00BA737D">
      <w:pPr>
        <w:spacing w:after="0" w:line="240" w:lineRule="auto"/>
        <w:ind w:left="2268"/>
        <w:jc w:val="both"/>
        <w:rPr>
          <w:rFonts w:ascii="Times New Roman" w:hAnsi="Times New Roman" w:cs="Times New Roman"/>
        </w:rPr>
      </w:pPr>
    </w:p>
    <w:p w14:paraId="42A9464C" w14:textId="77777777" w:rsidR="006F380F" w:rsidRPr="00171D8B" w:rsidRDefault="006F380F" w:rsidP="00BA737D">
      <w:pPr>
        <w:spacing w:after="0" w:line="240" w:lineRule="auto"/>
        <w:ind w:left="2268"/>
        <w:jc w:val="both"/>
        <w:rPr>
          <w:rFonts w:ascii="Times New Roman" w:hAnsi="Times New Roman" w:cs="Times New Roman"/>
        </w:rPr>
      </w:pPr>
      <w:r w:rsidRPr="00171D8B">
        <w:rPr>
          <w:rFonts w:ascii="Times New Roman" w:hAnsi="Times New Roman" w:cs="Times New Roman"/>
        </w:rPr>
        <w:t>Em relação aos depósitos judiciais não tributários, o que existe, na maior parte dos estados, é um acordo ou um contrato entre o Tribunal de Justiça e uma instituição financeira oficial – porque o CNJ entendeu que só podia ser instituição financeira oficial – em que quem ganha o spread é o próprio tribunal. Ou seja, a instituição financeira, para ficar e administrar o recurso, paga um determinado valor ao Tribunal.</w:t>
      </w:r>
    </w:p>
    <w:p w14:paraId="72FAA082" w14:textId="77777777" w:rsidR="006F380F" w:rsidRPr="00171D8B" w:rsidRDefault="006F380F" w:rsidP="00BA737D">
      <w:pPr>
        <w:spacing w:after="0" w:line="360" w:lineRule="auto"/>
        <w:ind w:left="2268"/>
        <w:jc w:val="both"/>
        <w:rPr>
          <w:rFonts w:ascii="Times New Roman" w:hAnsi="Times New Roman" w:cs="Times New Roman"/>
          <w:sz w:val="24"/>
          <w:szCs w:val="24"/>
        </w:rPr>
      </w:pPr>
    </w:p>
    <w:p w14:paraId="13EC7F55" w14:textId="77777777" w:rsidR="006F380F" w:rsidRPr="00171D8B" w:rsidRDefault="006F380F" w:rsidP="00BA737D">
      <w:pPr>
        <w:spacing w:after="0" w:line="360" w:lineRule="auto"/>
        <w:ind w:firstLine="709"/>
        <w:jc w:val="both"/>
        <w:rPr>
          <w:rFonts w:ascii="Times New Roman" w:hAnsi="Times New Roman" w:cs="Times New Roman"/>
          <w:b/>
          <w:bCs/>
          <w:sz w:val="24"/>
          <w:szCs w:val="24"/>
        </w:rPr>
      </w:pPr>
      <w:r w:rsidRPr="00171D8B">
        <w:rPr>
          <w:rFonts w:ascii="Times New Roman" w:hAnsi="Times New Roman" w:cs="Times New Roman"/>
          <w:sz w:val="24"/>
          <w:szCs w:val="24"/>
        </w:rPr>
        <w:t xml:space="preserve">Apesar desse entendimento sobre os </w:t>
      </w:r>
      <w:r>
        <w:rPr>
          <w:rFonts w:ascii="Times New Roman" w:hAnsi="Times New Roman" w:cs="Times New Roman"/>
          <w:sz w:val="24"/>
          <w:szCs w:val="24"/>
        </w:rPr>
        <w:t xml:space="preserve">ajustes </w:t>
      </w:r>
      <w:r w:rsidRPr="00171D8B">
        <w:rPr>
          <w:rFonts w:ascii="Times New Roman" w:hAnsi="Times New Roman" w:cs="Times New Roman"/>
          <w:sz w:val="24"/>
          <w:szCs w:val="24"/>
        </w:rPr>
        <w:t xml:space="preserve">administrativos que preveem o rateio do </w:t>
      </w:r>
      <w:r w:rsidRPr="00171D8B">
        <w:rPr>
          <w:rFonts w:ascii="Times New Roman" w:hAnsi="Times New Roman" w:cs="Times New Roman"/>
          <w:i/>
          <w:iCs/>
          <w:sz w:val="24"/>
          <w:szCs w:val="24"/>
        </w:rPr>
        <w:t>spread</w:t>
      </w:r>
      <w:r w:rsidRPr="00171D8B">
        <w:rPr>
          <w:rFonts w:ascii="Times New Roman" w:hAnsi="Times New Roman" w:cs="Times New Roman"/>
          <w:sz w:val="24"/>
          <w:szCs w:val="24"/>
        </w:rPr>
        <w:t xml:space="preserve">, o STF, em </w:t>
      </w:r>
      <w:r>
        <w:rPr>
          <w:rFonts w:ascii="Times New Roman" w:hAnsi="Times New Roman" w:cs="Times New Roman"/>
          <w:sz w:val="24"/>
          <w:szCs w:val="24"/>
        </w:rPr>
        <w:t>julgamentos recentes</w:t>
      </w:r>
      <w:r w:rsidRPr="00171D8B">
        <w:rPr>
          <w:rFonts w:ascii="Times New Roman" w:hAnsi="Times New Roman" w:cs="Times New Roman"/>
          <w:sz w:val="24"/>
          <w:szCs w:val="24"/>
        </w:rPr>
        <w:t>, declarou a inconstitucionalidade de lei</w:t>
      </w:r>
      <w:r>
        <w:rPr>
          <w:rFonts w:ascii="Times New Roman" w:hAnsi="Times New Roman" w:cs="Times New Roman"/>
          <w:sz w:val="24"/>
          <w:szCs w:val="24"/>
        </w:rPr>
        <w:t>s</w:t>
      </w:r>
      <w:r w:rsidRPr="00171D8B">
        <w:rPr>
          <w:rFonts w:ascii="Times New Roman" w:hAnsi="Times New Roman" w:cs="Times New Roman"/>
          <w:sz w:val="24"/>
          <w:szCs w:val="24"/>
        </w:rPr>
        <w:t xml:space="preserve"> estadua</w:t>
      </w:r>
      <w:r>
        <w:rPr>
          <w:rFonts w:ascii="Times New Roman" w:hAnsi="Times New Roman" w:cs="Times New Roman"/>
          <w:sz w:val="24"/>
          <w:szCs w:val="24"/>
        </w:rPr>
        <w:t>is</w:t>
      </w:r>
      <w:r w:rsidRPr="00171D8B">
        <w:rPr>
          <w:rFonts w:ascii="Times New Roman" w:hAnsi="Times New Roman" w:cs="Times New Roman"/>
          <w:sz w:val="24"/>
          <w:szCs w:val="24"/>
        </w:rPr>
        <w:t xml:space="preserve"> que previa</w:t>
      </w:r>
      <w:r>
        <w:rPr>
          <w:rFonts w:ascii="Times New Roman" w:hAnsi="Times New Roman" w:cs="Times New Roman"/>
          <w:sz w:val="24"/>
          <w:szCs w:val="24"/>
        </w:rPr>
        <w:t>m</w:t>
      </w:r>
      <w:r w:rsidRPr="00171D8B">
        <w:rPr>
          <w:rFonts w:ascii="Times New Roman" w:hAnsi="Times New Roman" w:cs="Times New Roman"/>
          <w:sz w:val="24"/>
          <w:szCs w:val="24"/>
        </w:rPr>
        <w:t xml:space="preserve"> o rateio do </w:t>
      </w:r>
      <w:r w:rsidRPr="00171D8B">
        <w:rPr>
          <w:rFonts w:ascii="Times New Roman" w:hAnsi="Times New Roman" w:cs="Times New Roman"/>
          <w:i/>
          <w:iCs/>
          <w:sz w:val="24"/>
          <w:szCs w:val="24"/>
        </w:rPr>
        <w:t>spread</w:t>
      </w:r>
      <w:r w:rsidRPr="00171D8B">
        <w:rPr>
          <w:rFonts w:ascii="Times New Roman" w:hAnsi="Times New Roman" w:cs="Times New Roman"/>
          <w:sz w:val="24"/>
          <w:szCs w:val="24"/>
        </w:rPr>
        <w:t xml:space="preserve"> entre os bancos e a Administração do Poder Judiciário</w:t>
      </w:r>
      <w:r w:rsidR="00A56805">
        <w:rPr>
          <w:rFonts w:ascii="Times New Roman" w:hAnsi="Times New Roman" w:cs="Times New Roman"/>
          <w:sz w:val="24"/>
          <w:szCs w:val="24"/>
        </w:rPr>
        <w:t xml:space="preserve"> (STF, ADI n.º 5.456, ADI </w:t>
      </w:r>
      <w:r w:rsidR="00A56805">
        <w:rPr>
          <w:rFonts w:ascii="Times New Roman" w:hAnsi="Times New Roman" w:cs="Times New Roman"/>
          <w:sz w:val="24"/>
          <w:szCs w:val="24"/>
        </w:rPr>
        <w:lastRenderedPageBreak/>
        <w:t>n.º 6.701</w:t>
      </w:r>
      <w:r w:rsidR="00A56805">
        <w:rPr>
          <w:rStyle w:val="Refdenotaderodap"/>
          <w:rFonts w:ascii="Times New Roman" w:hAnsi="Times New Roman" w:cs="Times New Roman"/>
          <w:sz w:val="24"/>
          <w:szCs w:val="24"/>
        </w:rPr>
        <w:footnoteReference w:id="11"/>
      </w:r>
      <w:r w:rsidR="00A56805">
        <w:rPr>
          <w:rFonts w:ascii="Times New Roman" w:hAnsi="Times New Roman" w:cs="Times New Roman"/>
          <w:sz w:val="24"/>
          <w:szCs w:val="24"/>
        </w:rPr>
        <w:t>)</w:t>
      </w:r>
      <w:r w:rsidRPr="00171D8B">
        <w:rPr>
          <w:rFonts w:ascii="Times New Roman" w:hAnsi="Times New Roman" w:cs="Times New Roman"/>
          <w:sz w:val="24"/>
          <w:szCs w:val="24"/>
        </w:rPr>
        <w:t>. A declaração de inconstitucionalidade considerou que a lei estadual contrariaria o âmbito normativo das normas federais sobre direito financeiro em vigor, que não preveriam esse rateio. Contrariaria especialmente o art. 101, §§ 2º, I e II, e 3º, do ADCT e a Lei Complementar n.º 151/2015</w:t>
      </w:r>
      <w:r w:rsidR="00D579A0">
        <w:rPr>
          <w:rFonts w:ascii="Times New Roman" w:hAnsi="Times New Roman" w:cs="Times New Roman"/>
          <w:sz w:val="24"/>
          <w:szCs w:val="24"/>
        </w:rPr>
        <w:t>.</w:t>
      </w:r>
    </w:p>
    <w:p w14:paraId="72DDAD21" w14:textId="77777777" w:rsidR="006F380F" w:rsidRPr="00171D8B"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Desse modo, há, atualmente, uma chancela do CNJ de ajustes feitos pelos Tribunais de Justiça com os bancos prevendo o rateio, mas, por outro lado, há declaraç</w:t>
      </w:r>
      <w:r>
        <w:rPr>
          <w:rFonts w:ascii="Times New Roman" w:hAnsi="Times New Roman" w:cs="Times New Roman"/>
          <w:sz w:val="24"/>
          <w:szCs w:val="24"/>
        </w:rPr>
        <w:t>ões</w:t>
      </w:r>
      <w:r w:rsidRPr="00171D8B">
        <w:rPr>
          <w:rFonts w:ascii="Times New Roman" w:hAnsi="Times New Roman" w:cs="Times New Roman"/>
          <w:sz w:val="24"/>
          <w:szCs w:val="24"/>
        </w:rPr>
        <w:t xml:space="preserve"> de inconstitucionalidade de lei</w:t>
      </w:r>
      <w:r>
        <w:rPr>
          <w:rFonts w:ascii="Times New Roman" w:hAnsi="Times New Roman" w:cs="Times New Roman"/>
          <w:sz w:val="24"/>
          <w:szCs w:val="24"/>
        </w:rPr>
        <w:t>s</w:t>
      </w:r>
      <w:r w:rsidRPr="00171D8B">
        <w:rPr>
          <w:rFonts w:ascii="Times New Roman" w:hAnsi="Times New Roman" w:cs="Times New Roman"/>
          <w:sz w:val="24"/>
          <w:szCs w:val="24"/>
        </w:rPr>
        <w:t xml:space="preserve"> estadua</w:t>
      </w:r>
      <w:r>
        <w:rPr>
          <w:rFonts w:ascii="Times New Roman" w:hAnsi="Times New Roman" w:cs="Times New Roman"/>
          <w:sz w:val="24"/>
          <w:szCs w:val="24"/>
        </w:rPr>
        <w:t>is</w:t>
      </w:r>
      <w:r w:rsidRPr="00171D8B">
        <w:rPr>
          <w:rFonts w:ascii="Times New Roman" w:hAnsi="Times New Roman" w:cs="Times New Roman"/>
          <w:sz w:val="24"/>
          <w:szCs w:val="24"/>
        </w:rPr>
        <w:t xml:space="preserve"> que </w:t>
      </w:r>
      <w:r>
        <w:rPr>
          <w:rFonts w:ascii="Times New Roman" w:hAnsi="Times New Roman" w:cs="Times New Roman"/>
          <w:sz w:val="24"/>
          <w:szCs w:val="24"/>
        </w:rPr>
        <w:t xml:space="preserve">igualmente o </w:t>
      </w:r>
      <w:r w:rsidRPr="00171D8B">
        <w:rPr>
          <w:rFonts w:ascii="Times New Roman" w:hAnsi="Times New Roman" w:cs="Times New Roman"/>
          <w:sz w:val="24"/>
          <w:szCs w:val="24"/>
        </w:rPr>
        <w:t>prev</w:t>
      </w:r>
      <w:r>
        <w:rPr>
          <w:rFonts w:ascii="Times New Roman" w:hAnsi="Times New Roman" w:cs="Times New Roman"/>
          <w:sz w:val="24"/>
          <w:szCs w:val="24"/>
        </w:rPr>
        <w:t>eem.</w:t>
      </w:r>
    </w:p>
    <w:p w14:paraId="3D47AF3E" w14:textId="77777777" w:rsidR="003F760D" w:rsidRDefault="006F380F" w:rsidP="00BA737D">
      <w:pPr>
        <w:spacing w:after="0" w:line="360" w:lineRule="auto"/>
        <w:ind w:firstLine="709"/>
        <w:jc w:val="both"/>
        <w:rPr>
          <w:rFonts w:ascii="Times New Roman" w:hAnsi="Times New Roman" w:cs="Times New Roman"/>
          <w:sz w:val="24"/>
          <w:szCs w:val="24"/>
        </w:rPr>
      </w:pPr>
      <w:r w:rsidRPr="00171D8B">
        <w:rPr>
          <w:rFonts w:ascii="Times New Roman" w:hAnsi="Times New Roman" w:cs="Times New Roman"/>
          <w:sz w:val="24"/>
          <w:szCs w:val="24"/>
        </w:rPr>
        <w:t xml:space="preserve">Sendo assim, são os bancos os que têm mais motivo para se insurgir contra o uso dos depósitos para o pagamento de precatórios pelos estados-membros, uma vez que irão perder o </w:t>
      </w:r>
      <w:r w:rsidRPr="003F760D">
        <w:rPr>
          <w:rFonts w:ascii="Times New Roman" w:hAnsi="Times New Roman" w:cs="Times New Roman"/>
          <w:i/>
          <w:iCs/>
          <w:sz w:val="24"/>
          <w:szCs w:val="24"/>
        </w:rPr>
        <w:t xml:space="preserve">spread </w:t>
      </w:r>
      <w:r w:rsidRPr="003F760D">
        <w:rPr>
          <w:rFonts w:ascii="Times New Roman" w:hAnsi="Times New Roman" w:cs="Times New Roman"/>
          <w:sz w:val="24"/>
          <w:szCs w:val="24"/>
        </w:rPr>
        <w:t>sobre todos os valores objetos depósitos judiciais e administrativos que sejam destinados ao pagamento dos precatórios</w:t>
      </w:r>
      <w:r w:rsidR="00143987" w:rsidRPr="003F760D">
        <w:rPr>
          <w:rFonts w:ascii="Times New Roman" w:hAnsi="Times New Roman" w:cs="Times New Roman"/>
          <w:sz w:val="24"/>
          <w:szCs w:val="24"/>
        </w:rPr>
        <w:t>.</w:t>
      </w:r>
      <w:r w:rsidR="00AB4768">
        <w:rPr>
          <w:rFonts w:ascii="Times New Roman" w:hAnsi="Times New Roman" w:cs="Times New Roman"/>
          <w:sz w:val="24"/>
          <w:szCs w:val="24"/>
        </w:rPr>
        <w:t xml:space="preserve"> </w:t>
      </w:r>
      <w:r w:rsidR="003F760D">
        <w:rPr>
          <w:rFonts w:ascii="Times New Roman" w:hAnsi="Times New Roman" w:cs="Times New Roman"/>
          <w:sz w:val="24"/>
          <w:szCs w:val="24"/>
        </w:rPr>
        <w:t>É sintomático que o Banco do Brasil tenha se manifestado</w:t>
      </w:r>
      <w:r w:rsidR="000F1F1A">
        <w:rPr>
          <w:rFonts w:ascii="Times New Roman" w:hAnsi="Times New Roman" w:cs="Times New Roman"/>
          <w:sz w:val="24"/>
          <w:szCs w:val="24"/>
        </w:rPr>
        <w:t>,</w:t>
      </w:r>
      <w:r w:rsidR="00AB4768">
        <w:rPr>
          <w:rFonts w:ascii="Times New Roman" w:hAnsi="Times New Roman" w:cs="Times New Roman"/>
          <w:sz w:val="24"/>
          <w:szCs w:val="24"/>
        </w:rPr>
        <w:t xml:space="preserve"> </w:t>
      </w:r>
      <w:r w:rsidR="000F1F1A" w:rsidRPr="003F760D">
        <w:rPr>
          <w:rFonts w:ascii="Times New Roman" w:hAnsi="Times New Roman" w:cs="Times New Roman"/>
          <w:sz w:val="24"/>
          <w:szCs w:val="24"/>
        </w:rPr>
        <w:t>nos autos ADI n.º 5.679, pela declaração de inconstitucionalidade dos incisos I e II do § 2º do art. 101 do ADCT.</w:t>
      </w:r>
    </w:p>
    <w:p w14:paraId="021AB8DD" w14:textId="77777777" w:rsidR="00113DE2" w:rsidRDefault="003F760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não está claro se o Poder Judiciário e seus membros </w:t>
      </w:r>
      <w:r w:rsidR="00113DE2">
        <w:rPr>
          <w:rFonts w:ascii="Times New Roman" w:hAnsi="Times New Roman" w:cs="Times New Roman"/>
          <w:sz w:val="24"/>
          <w:szCs w:val="24"/>
        </w:rPr>
        <w:t>sofrer</w:t>
      </w:r>
      <w:r w:rsidR="00A1455F">
        <w:rPr>
          <w:rFonts w:ascii="Times New Roman" w:hAnsi="Times New Roman" w:cs="Times New Roman"/>
          <w:sz w:val="24"/>
          <w:szCs w:val="24"/>
        </w:rPr>
        <w:t>ão</w:t>
      </w:r>
      <w:r w:rsidR="00113DE2">
        <w:rPr>
          <w:rFonts w:ascii="Times New Roman" w:hAnsi="Times New Roman" w:cs="Times New Roman"/>
          <w:sz w:val="24"/>
          <w:szCs w:val="24"/>
        </w:rPr>
        <w:t xml:space="preserve"> perdas </w:t>
      </w:r>
      <w:r w:rsidR="000F1F1A">
        <w:rPr>
          <w:rFonts w:ascii="Times New Roman" w:hAnsi="Times New Roman" w:cs="Times New Roman"/>
          <w:sz w:val="24"/>
          <w:szCs w:val="24"/>
        </w:rPr>
        <w:t>com a medida.</w:t>
      </w:r>
    </w:p>
    <w:p w14:paraId="5632B9DF" w14:textId="77777777" w:rsidR="00113DE2" w:rsidRDefault="00113DE2"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Antes</w:t>
      </w:r>
      <w:r w:rsidR="000F1F1A">
        <w:rPr>
          <w:rFonts w:ascii="Times New Roman" w:hAnsi="Times New Roman" w:cs="Times New Roman"/>
          <w:sz w:val="24"/>
          <w:szCs w:val="24"/>
        </w:rPr>
        <w:t xml:space="preserve"> dela, havia ajustes administrativos prevendo o rateio do </w:t>
      </w:r>
      <w:r w:rsidR="000F1F1A">
        <w:rPr>
          <w:rFonts w:ascii="Times New Roman" w:hAnsi="Times New Roman" w:cs="Times New Roman"/>
          <w:i/>
          <w:iCs/>
          <w:sz w:val="24"/>
          <w:szCs w:val="24"/>
        </w:rPr>
        <w:t>spread</w:t>
      </w:r>
      <w:r w:rsidR="000F1F1A">
        <w:rPr>
          <w:rFonts w:ascii="Times New Roman" w:hAnsi="Times New Roman" w:cs="Times New Roman"/>
          <w:sz w:val="24"/>
          <w:szCs w:val="24"/>
        </w:rPr>
        <w:t xml:space="preserve"> entre eles e os bancos e havia também a chancela desses ajustes pelo CNJ. Com o uso dos depósitos para o pagamento dos precatórios, eles deixariam de ter direito ao </w:t>
      </w:r>
      <w:r w:rsidR="000F1F1A">
        <w:rPr>
          <w:rFonts w:ascii="Times New Roman" w:hAnsi="Times New Roman" w:cs="Times New Roman"/>
          <w:i/>
          <w:iCs/>
          <w:sz w:val="24"/>
          <w:szCs w:val="24"/>
        </w:rPr>
        <w:t>spread</w:t>
      </w:r>
      <w:r w:rsidR="000F1F1A">
        <w:rPr>
          <w:rFonts w:ascii="Times New Roman" w:hAnsi="Times New Roman" w:cs="Times New Roman"/>
          <w:sz w:val="24"/>
          <w:szCs w:val="24"/>
        </w:rPr>
        <w:t xml:space="preserve"> e, assim, sofreriam perdas. </w:t>
      </w:r>
    </w:p>
    <w:p w14:paraId="731173B5" w14:textId="77777777" w:rsidR="00CD4760" w:rsidRDefault="00CD4760"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postura das associações de magistrados indica que o Poder Judiciário e seus membros não estão satisfeitos com a medida. Algumas delas </w:t>
      </w:r>
      <w:r w:rsidRPr="003F760D">
        <w:rPr>
          <w:rFonts w:ascii="Times New Roman" w:hAnsi="Times New Roman" w:cs="Times New Roman"/>
          <w:sz w:val="24"/>
          <w:szCs w:val="24"/>
        </w:rPr>
        <w:t>se manifesta</w:t>
      </w:r>
      <w:r>
        <w:rPr>
          <w:rFonts w:ascii="Times New Roman" w:hAnsi="Times New Roman" w:cs="Times New Roman"/>
          <w:sz w:val="24"/>
          <w:szCs w:val="24"/>
        </w:rPr>
        <w:t>ram,</w:t>
      </w:r>
      <w:r w:rsidRPr="003F760D">
        <w:rPr>
          <w:rFonts w:ascii="Times New Roman" w:hAnsi="Times New Roman" w:cs="Times New Roman"/>
          <w:sz w:val="24"/>
          <w:szCs w:val="24"/>
        </w:rPr>
        <w:t xml:space="preserve"> nos autos </w:t>
      </w:r>
      <w:r>
        <w:rPr>
          <w:rFonts w:ascii="Times New Roman" w:hAnsi="Times New Roman" w:cs="Times New Roman"/>
          <w:sz w:val="24"/>
          <w:szCs w:val="24"/>
        </w:rPr>
        <w:t xml:space="preserve">da </w:t>
      </w:r>
      <w:r w:rsidRPr="003F760D">
        <w:rPr>
          <w:rFonts w:ascii="Times New Roman" w:hAnsi="Times New Roman" w:cs="Times New Roman"/>
          <w:sz w:val="24"/>
          <w:szCs w:val="24"/>
        </w:rPr>
        <w:t xml:space="preserve">ADI n.º 5.679, pela declaração de inconstitucionalidade dos incisos I e II do § 2º do art. 101 do ADCT. </w:t>
      </w:r>
      <w:r>
        <w:rPr>
          <w:rFonts w:ascii="Times New Roman" w:hAnsi="Times New Roman" w:cs="Times New Roman"/>
          <w:sz w:val="24"/>
          <w:szCs w:val="24"/>
        </w:rPr>
        <w:t>Ademais</w:t>
      </w:r>
      <w:r w:rsidRPr="003F760D">
        <w:rPr>
          <w:rFonts w:ascii="Times New Roman" w:hAnsi="Times New Roman" w:cs="Times New Roman"/>
          <w:sz w:val="24"/>
          <w:szCs w:val="24"/>
        </w:rPr>
        <w:t>, a AMB propôs ADI contra a LC n.º 151/2015 e contra lei</w:t>
      </w:r>
      <w:r>
        <w:rPr>
          <w:rFonts w:ascii="Times New Roman" w:hAnsi="Times New Roman" w:cs="Times New Roman"/>
          <w:sz w:val="24"/>
          <w:szCs w:val="24"/>
        </w:rPr>
        <w:t>s</w:t>
      </w:r>
      <w:r w:rsidRPr="003F760D">
        <w:rPr>
          <w:rFonts w:ascii="Times New Roman" w:hAnsi="Times New Roman" w:cs="Times New Roman"/>
          <w:sz w:val="24"/>
          <w:szCs w:val="24"/>
        </w:rPr>
        <w:t xml:space="preserve"> estaduais que preveem a destinação dos depósitos para pagamento de precatórios.</w:t>
      </w:r>
    </w:p>
    <w:p w14:paraId="7F90D379" w14:textId="77777777" w:rsidR="000F1F1A" w:rsidRDefault="00CD4760"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p</w:t>
      </w:r>
      <w:r w:rsidR="000F1F1A">
        <w:rPr>
          <w:rFonts w:ascii="Times New Roman" w:hAnsi="Times New Roman" w:cs="Times New Roman"/>
          <w:sz w:val="24"/>
          <w:szCs w:val="24"/>
        </w:rPr>
        <w:t xml:space="preserve">or outro lado, já se tem notícia de ajuste firmado entre ente federado, banco e tribunal </w:t>
      </w:r>
      <w:r w:rsidR="008D0541">
        <w:rPr>
          <w:rFonts w:ascii="Times New Roman" w:hAnsi="Times New Roman" w:cs="Times New Roman"/>
          <w:sz w:val="24"/>
          <w:szCs w:val="24"/>
        </w:rPr>
        <w:t xml:space="preserve">de justiça </w:t>
      </w:r>
      <w:r w:rsidR="000F1F1A">
        <w:rPr>
          <w:rFonts w:ascii="Times New Roman" w:hAnsi="Times New Roman" w:cs="Times New Roman"/>
          <w:sz w:val="24"/>
          <w:szCs w:val="24"/>
        </w:rPr>
        <w:t>estabelecendo que o ente federado deverá</w:t>
      </w:r>
      <w:r w:rsidR="00113DE2">
        <w:rPr>
          <w:rFonts w:ascii="Times New Roman" w:hAnsi="Times New Roman" w:cs="Times New Roman"/>
          <w:sz w:val="24"/>
          <w:szCs w:val="24"/>
        </w:rPr>
        <w:t xml:space="preserve"> com recursos próprios</w:t>
      </w:r>
      <w:r w:rsidR="000F1F1A">
        <w:rPr>
          <w:rFonts w:ascii="Times New Roman" w:hAnsi="Times New Roman" w:cs="Times New Roman"/>
          <w:sz w:val="24"/>
          <w:szCs w:val="24"/>
        </w:rPr>
        <w:t xml:space="preserve"> compensar o tribunal no valor das perdas decorrentes da impossibilidade de apropriação de parte do </w:t>
      </w:r>
      <w:r w:rsidR="000F1F1A" w:rsidRPr="000F1F1A">
        <w:rPr>
          <w:rFonts w:ascii="Times New Roman" w:hAnsi="Times New Roman" w:cs="Times New Roman"/>
          <w:i/>
          <w:iCs/>
          <w:sz w:val="24"/>
          <w:szCs w:val="24"/>
        </w:rPr>
        <w:t>spread</w:t>
      </w:r>
      <w:r w:rsidR="00AB4768">
        <w:rPr>
          <w:rFonts w:ascii="Times New Roman" w:hAnsi="Times New Roman" w:cs="Times New Roman"/>
          <w:i/>
          <w:iCs/>
          <w:sz w:val="24"/>
          <w:szCs w:val="24"/>
        </w:rPr>
        <w:t xml:space="preserve"> </w:t>
      </w:r>
      <w:r w:rsidR="00113DE2" w:rsidRPr="00113DE2">
        <w:rPr>
          <w:rFonts w:ascii="Times New Roman" w:hAnsi="Times New Roman" w:cs="Times New Roman"/>
          <w:sz w:val="24"/>
          <w:szCs w:val="24"/>
        </w:rPr>
        <w:t xml:space="preserve">em virtude </w:t>
      </w:r>
      <w:r w:rsidR="00113DE2">
        <w:rPr>
          <w:rFonts w:ascii="Times New Roman" w:hAnsi="Times New Roman" w:cs="Times New Roman"/>
          <w:sz w:val="24"/>
          <w:szCs w:val="24"/>
        </w:rPr>
        <w:t>do uso dos depósitos para pagamento dos precatórios</w:t>
      </w:r>
      <w:r w:rsidR="00AB4768" w:rsidRPr="00AB4768">
        <w:rPr>
          <w:rStyle w:val="Refdenotaderodap"/>
          <w:rFonts w:ascii="Times New Roman" w:hAnsi="Times New Roman" w:cs="Times New Roman"/>
          <w:bCs/>
          <w:sz w:val="24"/>
          <w:szCs w:val="24"/>
        </w:rPr>
        <w:footnoteReference w:id="12"/>
      </w:r>
      <w:r w:rsidR="00AB4768">
        <w:rPr>
          <w:rFonts w:ascii="Times New Roman" w:hAnsi="Times New Roman" w:cs="Times New Roman"/>
          <w:sz w:val="24"/>
          <w:szCs w:val="24"/>
          <w:vertAlign w:val="superscript"/>
        </w:rPr>
        <w:t>,</w:t>
      </w:r>
      <w:r w:rsidR="00AB4768">
        <w:rPr>
          <w:rStyle w:val="Refdenotaderodap"/>
          <w:rFonts w:ascii="Times New Roman" w:hAnsi="Times New Roman" w:cs="Times New Roman"/>
          <w:sz w:val="24"/>
          <w:szCs w:val="24"/>
        </w:rPr>
        <w:footnoteReference w:id="13"/>
      </w:r>
      <w:r w:rsidR="00113DE2">
        <w:rPr>
          <w:rFonts w:ascii="Times New Roman" w:hAnsi="Times New Roman" w:cs="Times New Roman"/>
          <w:sz w:val="24"/>
          <w:szCs w:val="24"/>
        </w:rPr>
        <w:t>.</w:t>
      </w:r>
      <w:r w:rsidR="00717ED7">
        <w:rPr>
          <w:rFonts w:ascii="Times New Roman" w:hAnsi="Times New Roman" w:cs="Times New Roman"/>
          <w:sz w:val="24"/>
          <w:szCs w:val="24"/>
        </w:rPr>
        <w:t xml:space="preserve"> Essa medida neutraliza qualquer possível perda</w:t>
      </w:r>
      <w:r w:rsidR="00B56653">
        <w:rPr>
          <w:rFonts w:ascii="Times New Roman" w:hAnsi="Times New Roman" w:cs="Times New Roman"/>
          <w:sz w:val="24"/>
          <w:szCs w:val="24"/>
        </w:rPr>
        <w:t xml:space="preserve"> para o Poder Judiciário</w:t>
      </w:r>
      <w:r w:rsidR="00717ED7">
        <w:rPr>
          <w:rFonts w:ascii="Times New Roman" w:hAnsi="Times New Roman" w:cs="Times New Roman"/>
          <w:sz w:val="24"/>
          <w:szCs w:val="24"/>
        </w:rPr>
        <w:t>.</w:t>
      </w:r>
    </w:p>
    <w:p w14:paraId="720DB85F" w14:textId="77777777" w:rsidR="005963D9" w:rsidRPr="00046695" w:rsidRDefault="001B5943" w:rsidP="00BA737D">
      <w:pPr>
        <w:spacing w:after="0" w:line="360" w:lineRule="auto"/>
        <w:ind w:firstLine="709"/>
        <w:jc w:val="both"/>
        <w:rPr>
          <w:rFonts w:ascii="Times New Roman" w:hAnsi="Times New Roman" w:cs="Times New Roman"/>
          <w:sz w:val="24"/>
          <w:szCs w:val="24"/>
        </w:rPr>
      </w:pPr>
      <w:r w:rsidRPr="00046695">
        <w:rPr>
          <w:rFonts w:ascii="Times New Roman" w:hAnsi="Times New Roman" w:cs="Times New Roman"/>
          <w:sz w:val="24"/>
          <w:szCs w:val="24"/>
        </w:rPr>
        <w:t xml:space="preserve">Já </w:t>
      </w:r>
      <w:r w:rsidR="00150989" w:rsidRPr="00046695">
        <w:rPr>
          <w:rFonts w:ascii="Times New Roman" w:hAnsi="Times New Roman" w:cs="Times New Roman"/>
          <w:sz w:val="24"/>
          <w:szCs w:val="24"/>
        </w:rPr>
        <w:t>o § 3º do art. 101 do ADCT</w:t>
      </w:r>
      <w:r w:rsidR="000D20AF" w:rsidRPr="00046695">
        <w:rPr>
          <w:rFonts w:ascii="Times New Roman" w:hAnsi="Times New Roman" w:cs="Times New Roman"/>
          <w:sz w:val="24"/>
          <w:szCs w:val="24"/>
        </w:rPr>
        <w:t xml:space="preserve">, inserido pela EC n.º 99/2017, e o § 5º do art. 55 da Resolução n.º 303/2019 do CNJ </w:t>
      </w:r>
      <w:r w:rsidR="000C03FA">
        <w:rPr>
          <w:rFonts w:ascii="Times New Roman" w:hAnsi="Times New Roman" w:cs="Times New Roman"/>
          <w:sz w:val="24"/>
          <w:szCs w:val="24"/>
        </w:rPr>
        <w:t>diminuem as perdas</w:t>
      </w:r>
      <w:r w:rsidR="00AD114B">
        <w:rPr>
          <w:rFonts w:ascii="Times New Roman" w:hAnsi="Times New Roman" w:cs="Times New Roman"/>
          <w:sz w:val="24"/>
          <w:szCs w:val="24"/>
        </w:rPr>
        <w:t xml:space="preserve"> tanto do Poder Judiciário quanto dos bancos</w:t>
      </w:r>
      <w:r w:rsidR="00910588">
        <w:rPr>
          <w:rFonts w:ascii="Times New Roman" w:hAnsi="Times New Roman" w:cs="Times New Roman"/>
          <w:sz w:val="24"/>
          <w:szCs w:val="24"/>
        </w:rPr>
        <w:t xml:space="preserve">, </w:t>
      </w:r>
      <w:r w:rsidR="000C03FA">
        <w:rPr>
          <w:rFonts w:ascii="Times New Roman" w:hAnsi="Times New Roman" w:cs="Times New Roman"/>
          <w:sz w:val="24"/>
          <w:szCs w:val="24"/>
        </w:rPr>
        <w:lastRenderedPageBreak/>
        <w:t xml:space="preserve">mas </w:t>
      </w:r>
      <w:r w:rsidR="000D20AF" w:rsidRPr="00046695">
        <w:rPr>
          <w:rFonts w:ascii="Times New Roman" w:hAnsi="Times New Roman" w:cs="Times New Roman"/>
          <w:sz w:val="24"/>
          <w:szCs w:val="24"/>
        </w:rPr>
        <w:t xml:space="preserve">não </w:t>
      </w:r>
      <w:r w:rsidR="00BA737D">
        <w:rPr>
          <w:rFonts w:ascii="Times New Roman" w:hAnsi="Times New Roman" w:cs="Times New Roman"/>
          <w:sz w:val="24"/>
          <w:szCs w:val="24"/>
        </w:rPr>
        <w:t xml:space="preserve">as </w:t>
      </w:r>
      <w:r w:rsidR="00BA737D" w:rsidRPr="00046695">
        <w:rPr>
          <w:rFonts w:ascii="Times New Roman" w:hAnsi="Times New Roman" w:cs="Times New Roman"/>
          <w:sz w:val="24"/>
          <w:szCs w:val="24"/>
        </w:rPr>
        <w:t>neutralizam</w:t>
      </w:r>
      <w:r w:rsidR="000C03FA">
        <w:rPr>
          <w:rFonts w:ascii="Times New Roman" w:hAnsi="Times New Roman" w:cs="Times New Roman"/>
          <w:sz w:val="24"/>
          <w:szCs w:val="24"/>
        </w:rPr>
        <w:t xml:space="preserve">. </w:t>
      </w:r>
      <w:r w:rsidR="00BE5156" w:rsidRPr="00046695">
        <w:rPr>
          <w:rFonts w:ascii="Times New Roman" w:hAnsi="Times New Roman" w:cs="Times New Roman"/>
          <w:sz w:val="24"/>
          <w:szCs w:val="24"/>
        </w:rPr>
        <w:t>O primeiro prevê</w:t>
      </w:r>
      <w:r w:rsidR="00150989" w:rsidRPr="00046695">
        <w:rPr>
          <w:rFonts w:ascii="Times New Roman" w:hAnsi="Times New Roman" w:cs="Times New Roman"/>
          <w:sz w:val="24"/>
          <w:szCs w:val="24"/>
        </w:rPr>
        <w:t xml:space="preserve"> que os recursos previstos nos incisos I e II do § 2º do mesmo art. serão transferidos diretamente pela instituição financeira para a conta especial sob única e exclusiva administração do Tribunal de Justiça local</w:t>
      </w:r>
      <w:r w:rsidR="00BE5156" w:rsidRPr="00046695">
        <w:rPr>
          <w:rFonts w:ascii="Times New Roman" w:hAnsi="Times New Roman" w:cs="Times New Roman"/>
          <w:sz w:val="24"/>
          <w:szCs w:val="24"/>
        </w:rPr>
        <w:t xml:space="preserve">. O segundo </w:t>
      </w:r>
      <w:r w:rsidR="00BA737D" w:rsidRPr="00046695">
        <w:rPr>
          <w:rFonts w:ascii="Times New Roman" w:hAnsi="Times New Roman" w:cs="Times New Roman"/>
          <w:sz w:val="24"/>
          <w:szCs w:val="24"/>
        </w:rPr>
        <w:t>prevê</w:t>
      </w:r>
      <w:r w:rsidR="00BA737D">
        <w:rPr>
          <w:rFonts w:ascii="Times New Roman" w:hAnsi="Times New Roman" w:cs="Times New Roman"/>
          <w:sz w:val="24"/>
          <w:szCs w:val="24"/>
        </w:rPr>
        <w:t xml:space="preserve"> que</w:t>
      </w:r>
      <w:r w:rsidR="008208D6">
        <w:rPr>
          <w:rFonts w:ascii="Times New Roman" w:hAnsi="Times New Roman" w:cs="Times New Roman"/>
          <w:sz w:val="24"/>
          <w:szCs w:val="24"/>
        </w:rPr>
        <w:t xml:space="preserve"> </w:t>
      </w:r>
      <w:r w:rsidR="008208D6" w:rsidRPr="00046695">
        <w:rPr>
          <w:rFonts w:ascii="Times New Roman" w:hAnsi="Times New Roman" w:cs="Times New Roman"/>
          <w:sz w:val="24"/>
          <w:szCs w:val="24"/>
        </w:rPr>
        <w:t xml:space="preserve">os tribunais e os bancos </w:t>
      </w:r>
      <w:r w:rsidR="008208D6">
        <w:rPr>
          <w:rFonts w:ascii="Times New Roman" w:hAnsi="Times New Roman" w:cs="Times New Roman"/>
          <w:sz w:val="24"/>
          <w:szCs w:val="24"/>
        </w:rPr>
        <w:t xml:space="preserve">poderão ratear o </w:t>
      </w:r>
      <w:r w:rsidR="00150989" w:rsidRPr="00046695">
        <w:rPr>
          <w:rFonts w:ascii="Times New Roman" w:hAnsi="Times New Roman" w:cs="Times New Roman"/>
          <w:i/>
          <w:iCs/>
          <w:sz w:val="24"/>
          <w:szCs w:val="24"/>
        </w:rPr>
        <w:t xml:space="preserve">spread </w:t>
      </w:r>
      <w:r w:rsidR="00150989" w:rsidRPr="00046695">
        <w:rPr>
          <w:rFonts w:ascii="Times New Roman" w:hAnsi="Times New Roman" w:cs="Times New Roman"/>
          <w:sz w:val="24"/>
          <w:szCs w:val="24"/>
        </w:rPr>
        <w:t xml:space="preserve">relativo aos valores constantes dessa conta. </w:t>
      </w:r>
      <w:r w:rsidR="008208D6">
        <w:rPr>
          <w:rFonts w:ascii="Times New Roman" w:hAnsi="Times New Roman" w:cs="Times New Roman"/>
          <w:sz w:val="24"/>
          <w:szCs w:val="24"/>
        </w:rPr>
        <w:t>Mas, a</w:t>
      </w:r>
      <w:r w:rsidR="00910588">
        <w:rPr>
          <w:rFonts w:ascii="Times New Roman" w:hAnsi="Times New Roman" w:cs="Times New Roman"/>
          <w:sz w:val="24"/>
          <w:szCs w:val="24"/>
        </w:rPr>
        <w:t>in</w:t>
      </w:r>
      <w:r w:rsidR="0077277B">
        <w:rPr>
          <w:rFonts w:ascii="Times New Roman" w:hAnsi="Times New Roman" w:cs="Times New Roman"/>
          <w:sz w:val="24"/>
          <w:szCs w:val="24"/>
        </w:rPr>
        <w:t>da assim,</w:t>
      </w:r>
      <w:r w:rsidR="00AB4768">
        <w:rPr>
          <w:rFonts w:ascii="Times New Roman" w:hAnsi="Times New Roman" w:cs="Times New Roman"/>
          <w:sz w:val="24"/>
          <w:szCs w:val="24"/>
        </w:rPr>
        <w:t xml:space="preserve"> </w:t>
      </w:r>
      <w:r w:rsidR="00046695">
        <w:rPr>
          <w:rFonts w:ascii="Times New Roman" w:hAnsi="Times New Roman" w:cs="Times New Roman"/>
          <w:sz w:val="24"/>
          <w:szCs w:val="24"/>
        </w:rPr>
        <w:t xml:space="preserve">é mais vantajoso </w:t>
      </w:r>
      <w:r w:rsidR="00E9308B">
        <w:rPr>
          <w:rFonts w:ascii="Times New Roman" w:hAnsi="Times New Roman" w:cs="Times New Roman"/>
          <w:sz w:val="24"/>
          <w:szCs w:val="24"/>
        </w:rPr>
        <w:t xml:space="preserve">o rateio do </w:t>
      </w:r>
      <w:r w:rsidR="00E9308B">
        <w:rPr>
          <w:rFonts w:ascii="Times New Roman" w:hAnsi="Times New Roman" w:cs="Times New Roman"/>
          <w:i/>
          <w:iCs/>
          <w:sz w:val="24"/>
          <w:szCs w:val="24"/>
        </w:rPr>
        <w:t xml:space="preserve">spread </w:t>
      </w:r>
      <w:r w:rsidR="00E9308B">
        <w:rPr>
          <w:rFonts w:ascii="Times New Roman" w:hAnsi="Times New Roman" w:cs="Times New Roman"/>
          <w:sz w:val="24"/>
          <w:szCs w:val="24"/>
        </w:rPr>
        <w:t xml:space="preserve">dos depósitos judiciais. </w:t>
      </w:r>
      <w:r w:rsidR="004768BA">
        <w:rPr>
          <w:rFonts w:ascii="Times New Roman" w:hAnsi="Times New Roman" w:cs="Times New Roman"/>
          <w:sz w:val="24"/>
          <w:szCs w:val="24"/>
        </w:rPr>
        <w:t xml:space="preserve">Isso porque </w:t>
      </w:r>
      <w:r w:rsidR="00150989" w:rsidRPr="00046695">
        <w:rPr>
          <w:rFonts w:ascii="Times New Roman" w:hAnsi="Times New Roman" w:cs="Times New Roman"/>
          <w:sz w:val="24"/>
          <w:szCs w:val="24"/>
        </w:rPr>
        <w:t xml:space="preserve">os </w:t>
      </w:r>
      <w:r w:rsidR="0077277B">
        <w:rPr>
          <w:rFonts w:ascii="Times New Roman" w:hAnsi="Times New Roman" w:cs="Times New Roman"/>
          <w:sz w:val="24"/>
          <w:szCs w:val="24"/>
        </w:rPr>
        <w:t xml:space="preserve">valores desses </w:t>
      </w:r>
      <w:r w:rsidR="004768BA">
        <w:rPr>
          <w:rFonts w:ascii="Times New Roman" w:hAnsi="Times New Roman" w:cs="Times New Roman"/>
          <w:sz w:val="24"/>
          <w:szCs w:val="24"/>
        </w:rPr>
        <w:t xml:space="preserve">depósitos </w:t>
      </w:r>
      <w:r w:rsidR="00150989" w:rsidRPr="00046695">
        <w:rPr>
          <w:rFonts w:ascii="Times New Roman" w:hAnsi="Times New Roman" w:cs="Times New Roman"/>
          <w:sz w:val="24"/>
          <w:szCs w:val="24"/>
        </w:rPr>
        <w:t>permanecem por mais tempo nos bancos do que os valores depositados na conta especial para pagamento dos precatórios</w:t>
      </w:r>
      <w:r w:rsidR="005E1B58" w:rsidRPr="00046695">
        <w:rPr>
          <w:rFonts w:ascii="Times New Roman" w:hAnsi="Times New Roman" w:cs="Times New Roman"/>
          <w:sz w:val="24"/>
          <w:szCs w:val="24"/>
        </w:rPr>
        <w:t xml:space="preserve">: </w:t>
      </w:r>
      <w:r w:rsidR="00AF4A04" w:rsidRPr="00046695">
        <w:rPr>
          <w:rFonts w:ascii="Times New Roman" w:hAnsi="Times New Roman" w:cs="Times New Roman"/>
          <w:sz w:val="24"/>
          <w:szCs w:val="24"/>
        </w:rPr>
        <w:t>quanto mais tempo</w:t>
      </w:r>
      <w:r w:rsidR="005E1B58" w:rsidRPr="00046695">
        <w:rPr>
          <w:rFonts w:ascii="Times New Roman" w:hAnsi="Times New Roman" w:cs="Times New Roman"/>
          <w:sz w:val="24"/>
          <w:szCs w:val="24"/>
        </w:rPr>
        <w:t xml:space="preserve"> no banco, </w:t>
      </w:r>
      <w:r w:rsidR="00D8764B" w:rsidRPr="00046695">
        <w:rPr>
          <w:rFonts w:ascii="Times New Roman" w:hAnsi="Times New Roman" w:cs="Times New Roman"/>
          <w:sz w:val="24"/>
          <w:szCs w:val="24"/>
        </w:rPr>
        <w:t>maior a tendência de rendimentos maiores</w:t>
      </w:r>
      <w:r w:rsidR="004F1D41" w:rsidRPr="00046695">
        <w:rPr>
          <w:rFonts w:ascii="Times New Roman" w:hAnsi="Times New Roman" w:cs="Times New Roman"/>
          <w:sz w:val="24"/>
          <w:szCs w:val="24"/>
        </w:rPr>
        <w:t xml:space="preserve"> e, </w:t>
      </w:r>
      <w:r w:rsidR="00BA737D" w:rsidRPr="00046695">
        <w:rPr>
          <w:rFonts w:ascii="Times New Roman" w:hAnsi="Times New Roman" w:cs="Times New Roman"/>
          <w:sz w:val="24"/>
          <w:szCs w:val="24"/>
        </w:rPr>
        <w:t>conseqüentemente</w:t>
      </w:r>
      <w:r w:rsidR="004F1D41" w:rsidRPr="00046695">
        <w:rPr>
          <w:rFonts w:ascii="Times New Roman" w:hAnsi="Times New Roman" w:cs="Times New Roman"/>
          <w:sz w:val="24"/>
          <w:szCs w:val="24"/>
        </w:rPr>
        <w:t>, maior o montante a ser rateado</w:t>
      </w:r>
      <w:r w:rsidR="00D8764B" w:rsidRPr="00046695">
        <w:rPr>
          <w:rFonts w:ascii="Times New Roman" w:hAnsi="Times New Roman" w:cs="Times New Roman"/>
          <w:sz w:val="24"/>
          <w:szCs w:val="24"/>
        </w:rPr>
        <w:t>.</w:t>
      </w:r>
    </w:p>
    <w:p w14:paraId="1367189D" w14:textId="77777777" w:rsidR="003971CB" w:rsidRDefault="003971CB" w:rsidP="00BA737D">
      <w:pPr>
        <w:spacing w:after="0" w:line="360" w:lineRule="auto"/>
        <w:ind w:firstLine="709"/>
        <w:jc w:val="both"/>
        <w:rPr>
          <w:rFonts w:ascii="Times New Roman" w:hAnsi="Times New Roman" w:cs="Times New Roman"/>
          <w:color w:val="FF0000"/>
          <w:sz w:val="24"/>
          <w:szCs w:val="24"/>
        </w:rPr>
      </w:pPr>
    </w:p>
    <w:p w14:paraId="7527FB80" w14:textId="77777777" w:rsidR="006F380F" w:rsidRPr="006C3B02" w:rsidRDefault="00663CF9" w:rsidP="00BA737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6F380F" w:rsidRPr="006C3B02">
        <w:rPr>
          <w:rFonts w:ascii="Times New Roman" w:hAnsi="Times New Roman" w:cs="Times New Roman"/>
          <w:sz w:val="24"/>
          <w:szCs w:val="24"/>
          <w:u w:val="single"/>
        </w:rPr>
        <w:t>.</w:t>
      </w:r>
      <w:r w:rsidR="006F380F">
        <w:rPr>
          <w:rFonts w:ascii="Times New Roman" w:hAnsi="Times New Roman" w:cs="Times New Roman"/>
          <w:sz w:val="24"/>
          <w:szCs w:val="24"/>
          <w:u w:val="single"/>
        </w:rPr>
        <w:t>1</w:t>
      </w:r>
      <w:r w:rsidR="006F380F" w:rsidRPr="006C3B02">
        <w:rPr>
          <w:rFonts w:ascii="Times New Roman" w:hAnsi="Times New Roman" w:cs="Times New Roman"/>
          <w:sz w:val="24"/>
          <w:szCs w:val="24"/>
          <w:u w:val="single"/>
        </w:rPr>
        <w:t>.</w:t>
      </w:r>
      <w:r w:rsidR="006F380F">
        <w:rPr>
          <w:rFonts w:ascii="Times New Roman" w:hAnsi="Times New Roman" w:cs="Times New Roman"/>
          <w:sz w:val="24"/>
          <w:szCs w:val="24"/>
          <w:u w:val="single"/>
        </w:rPr>
        <w:t>3</w:t>
      </w:r>
      <w:r w:rsidR="006F380F" w:rsidRPr="006C3B02">
        <w:rPr>
          <w:rFonts w:ascii="Times New Roman" w:hAnsi="Times New Roman" w:cs="Times New Roman"/>
          <w:sz w:val="24"/>
          <w:szCs w:val="24"/>
          <w:u w:val="single"/>
        </w:rPr>
        <w:t xml:space="preserve"> – </w:t>
      </w:r>
      <w:r w:rsidR="001B3818">
        <w:rPr>
          <w:rFonts w:ascii="Times New Roman" w:hAnsi="Times New Roman" w:cs="Times New Roman"/>
          <w:sz w:val="24"/>
          <w:szCs w:val="24"/>
          <w:u w:val="single"/>
        </w:rPr>
        <w:t>O histórico da</w:t>
      </w:r>
      <w:r w:rsidR="007B4AD4">
        <w:rPr>
          <w:rFonts w:ascii="Times New Roman" w:hAnsi="Times New Roman" w:cs="Times New Roman"/>
          <w:sz w:val="24"/>
          <w:szCs w:val="24"/>
          <w:u w:val="single"/>
        </w:rPr>
        <w:t>s normas que previram</w:t>
      </w:r>
      <w:r w:rsidR="006F380F">
        <w:rPr>
          <w:rFonts w:ascii="Times New Roman" w:hAnsi="Times New Roman" w:cs="Times New Roman"/>
          <w:sz w:val="24"/>
          <w:szCs w:val="24"/>
          <w:u w:val="single"/>
        </w:rPr>
        <w:t xml:space="preserve"> o uso dos depósitos pela Administração Pública e as decisões que controlaram a constitucionalidade delas</w:t>
      </w:r>
    </w:p>
    <w:p w14:paraId="19E84DBF" w14:textId="77777777" w:rsidR="006F380F" w:rsidRDefault="00D4153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Independente</w:t>
      </w:r>
      <w:r w:rsidR="00411A9E">
        <w:rPr>
          <w:rFonts w:ascii="Times New Roman" w:hAnsi="Times New Roman" w:cs="Times New Roman"/>
          <w:sz w:val="24"/>
          <w:szCs w:val="24"/>
        </w:rPr>
        <w:t>mente</w:t>
      </w:r>
      <w:r>
        <w:rPr>
          <w:rFonts w:ascii="Times New Roman" w:hAnsi="Times New Roman" w:cs="Times New Roman"/>
          <w:sz w:val="24"/>
          <w:szCs w:val="24"/>
        </w:rPr>
        <w:t xml:space="preserve"> do desti</w:t>
      </w:r>
      <w:r w:rsidR="004C6475">
        <w:rPr>
          <w:rFonts w:ascii="Times New Roman" w:hAnsi="Times New Roman" w:cs="Times New Roman"/>
          <w:sz w:val="24"/>
          <w:szCs w:val="24"/>
        </w:rPr>
        <w:t>n</w:t>
      </w:r>
      <w:r>
        <w:rPr>
          <w:rFonts w:ascii="Times New Roman" w:hAnsi="Times New Roman" w:cs="Times New Roman"/>
          <w:sz w:val="24"/>
          <w:szCs w:val="24"/>
        </w:rPr>
        <w:t xml:space="preserve">o do </w:t>
      </w:r>
      <w:r>
        <w:rPr>
          <w:rFonts w:ascii="Times New Roman" w:hAnsi="Times New Roman" w:cs="Times New Roman"/>
          <w:i/>
          <w:iCs/>
          <w:sz w:val="24"/>
          <w:szCs w:val="24"/>
        </w:rPr>
        <w:t>spread</w:t>
      </w:r>
      <w:r>
        <w:rPr>
          <w:rFonts w:ascii="Times New Roman" w:hAnsi="Times New Roman" w:cs="Times New Roman"/>
          <w:sz w:val="24"/>
          <w:szCs w:val="24"/>
        </w:rPr>
        <w:t xml:space="preserve">, </w:t>
      </w:r>
      <w:r w:rsidR="006F380F">
        <w:rPr>
          <w:rFonts w:ascii="Times New Roman" w:hAnsi="Times New Roman" w:cs="Times New Roman"/>
          <w:sz w:val="24"/>
          <w:szCs w:val="24"/>
        </w:rPr>
        <w:t>o Estado, ao receber os valores dos depósitos judiciais e administrativos, vira proprietário deles. É verdade que é uma situação peculiar de propriedade, uma vez que com ela surge concomitantemente um passivo, o dever de entregar ao depositante valores equivalentes no momento devido</w:t>
      </w:r>
      <w:r w:rsidR="00B85C54">
        <w:rPr>
          <w:rFonts w:ascii="Times New Roman" w:hAnsi="Times New Roman" w:cs="Times New Roman"/>
          <w:sz w:val="24"/>
          <w:szCs w:val="24"/>
        </w:rPr>
        <w:t>.</w:t>
      </w:r>
      <w:r w:rsidR="006F380F">
        <w:rPr>
          <w:rFonts w:ascii="Times New Roman" w:hAnsi="Times New Roman" w:cs="Times New Roman"/>
          <w:sz w:val="24"/>
          <w:szCs w:val="24"/>
        </w:rPr>
        <w:t xml:space="preserve"> Isso impõe ao Estado o dever de instituir medidas robustas para assegurar os direitos pessoais dos depositantes – de forma similar ao que acontece com os depósitos bancários, assegurados pela reserva fracionária. Mas, ainda assim, é propriedade. </w:t>
      </w:r>
    </w:p>
    <w:p w14:paraId="7FFB4FC1" w14:textId="77777777" w:rsidR="006F380F" w:rsidRDefault="00BA737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o Estado é proprietário dos valores depositados, a ordem jurídica deve poder lhe autorizar a fazer determinados usos deles: uma propriedade que não permite qualquer uso pelo proprietário mesmo na hipótese de inexistir outro direito sobre o bem é contraditória em si.</w:t>
      </w:r>
      <w:r w:rsidR="006F380F">
        <w:rPr>
          <w:rFonts w:ascii="Times New Roman" w:hAnsi="Times New Roman" w:cs="Times New Roman"/>
          <w:sz w:val="24"/>
          <w:szCs w:val="24"/>
        </w:rPr>
        <w:t xml:space="preserve"> E, evidentemente, a possibilidade dessa autorização é ainda mais ampla quando se trata de normas constitucionais. Afinal, não há cláusula pétrea a vedando. O direito pessoal dos depositantes não impede isso por si só.  Se o fizesse, o sistema da reserva fracionária seria inconstitucional; os bancos também não poderiam usar os valores depositados. Embora haja correntes das ciências econômicas que assim entendem, especialmente as ligadas à escola austríaca</w:t>
      </w:r>
      <w:r w:rsidR="00CC7676">
        <w:rPr>
          <w:rFonts w:ascii="Times New Roman" w:hAnsi="Times New Roman" w:cs="Times New Roman"/>
          <w:sz w:val="24"/>
          <w:szCs w:val="24"/>
        </w:rPr>
        <w:t xml:space="preserve"> (ROTHBARD, 2013)</w:t>
      </w:r>
      <w:r w:rsidR="006F380F">
        <w:rPr>
          <w:rFonts w:ascii="Times New Roman" w:hAnsi="Times New Roman" w:cs="Times New Roman"/>
          <w:sz w:val="24"/>
          <w:szCs w:val="24"/>
        </w:rPr>
        <w:t>, não é o que tem prevalecido no Brasil.</w:t>
      </w:r>
    </w:p>
    <w:p w14:paraId="672FA83B"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Atentos a esse cenário, diversos entes federados editaram leis permitindo determinados usos pela Administração Pública de depósitos judiciais e administrativos. </w:t>
      </w:r>
    </w:p>
    <w:p w14:paraId="2A55C8DC" w14:textId="77777777" w:rsidR="000034C8"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em 1998, a União editou a Lei n.º 9.703/1998 </w:t>
      </w:r>
      <w:r w:rsidRPr="00A91D48">
        <w:rPr>
          <w:rFonts w:ascii="Times New Roman" w:hAnsi="Times New Roman" w:cs="Times New Roman"/>
          <w:sz w:val="24"/>
          <w:szCs w:val="24"/>
        </w:rPr>
        <w:t xml:space="preserve">determinado a transferência ao </w:t>
      </w:r>
      <w:r w:rsidR="00BA737D" w:rsidRPr="00A91D48">
        <w:rPr>
          <w:rFonts w:ascii="Times New Roman" w:hAnsi="Times New Roman" w:cs="Times New Roman"/>
          <w:sz w:val="24"/>
          <w:szCs w:val="24"/>
        </w:rPr>
        <w:t>Tesouro</w:t>
      </w:r>
      <w:r w:rsidR="00BA737D">
        <w:rPr>
          <w:rFonts w:ascii="Times New Roman" w:hAnsi="Times New Roman" w:cs="Times New Roman"/>
          <w:sz w:val="24"/>
          <w:szCs w:val="24"/>
        </w:rPr>
        <w:t xml:space="preserve"> </w:t>
      </w:r>
      <w:r w:rsidR="00BA737D" w:rsidRPr="00A91D48">
        <w:rPr>
          <w:rFonts w:ascii="Times New Roman" w:hAnsi="Times New Roman" w:cs="Times New Roman"/>
          <w:sz w:val="24"/>
          <w:szCs w:val="24"/>
        </w:rPr>
        <w:t>Nacional</w:t>
      </w:r>
      <w:r w:rsidRPr="00A91D48">
        <w:rPr>
          <w:rFonts w:ascii="Times New Roman" w:hAnsi="Times New Roman" w:cs="Times New Roman"/>
          <w:sz w:val="24"/>
          <w:szCs w:val="24"/>
        </w:rPr>
        <w:t xml:space="preserve"> da integralidade dos valores </w:t>
      </w:r>
      <w:r>
        <w:rPr>
          <w:rFonts w:ascii="Times New Roman" w:hAnsi="Times New Roman" w:cs="Times New Roman"/>
          <w:sz w:val="24"/>
          <w:szCs w:val="24"/>
        </w:rPr>
        <w:t xml:space="preserve">objetos de depósitos feitos em </w:t>
      </w:r>
      <w:r w:rsidRPr="00A91D48">
        <w:rPr>
          <w:rFonts w:ascii="Times New Roman" w:hAnsi="Times New Roman" w:cs="Times New Roman"/>
          <w:sz w:val="24"/>
          <w:szCs w:val="24"/>
        </w:rPr>
        <w:t>processos judiciais e administrativos</w:t>
      </w:r>
      <w:r>
        <w:rPr>
          <w:rFonts w:ascii="Times New Roman" w:hAnsi="Times New Roman" w:cs="Times New Roman"/>
          <w:sz w:val="24"/>
          <w:szCs w:val="24"/>
        </w:rPr>
        <w:t xml:space="preserve"> em que</w:t>
      </w:r>
      <w:r w:rsidRPr="00A91D48">
        <w:rPr>
          <w:rFonts w:ascii="Times New Roman" w:hAnsi="Times New Roman" w:cs="Times New Roman"/>
          <w:sz w:val="24"/>
          <w:szCs w:val="24"/>
        </w:rPr>
        <w:t xml:space="preserve"> se discut</w:t>
      </w:r>
      <w:r>
        <w:rPr>
          <w:rFonts w:ascii="Times New Roman" w:hAnsi="Times New Roman" w:cs="Times New Roman"/>
          <w:sz w:val="24"/>
          <w:szCs w:val="24"/>
        </w:rPr>
        <w:t>ia</w:t>
      </w:r>
      <w:r w:rsidRPr="00A91D48">
        <w:rPr>
          <w:rFonts w:ascii="Times New Roman" w:hAnsi="Times New Roman" w:cs="Times New Roman"/>
          <w:sz w:val="24"/>
          <w:szCs w:val="24"/>
        </w:rPr>
        <w:t xml:space="preserve"> a cobrança de tributos federais</w:t>
      </w:r>
      <w:r>
        <w:rPr>
          <w:rFonts w:ascii="Times New Roman" w:hAnsi="Times New Roman" w:cs="Times New Roman"/>
          <w:sz w:val="24"/>
          <w:szCs w:val="24"/>
        </w:rPr>
        <w:t xml:space="preserve">. É verdade que a lei não previu </w:t>
      </w:r>
      <w:r>
        <w:rPr>
          <w:rFonts w:ascii="Times New Roman" w:hAnsi="Times New Roman" w:cs="Times New Roman"/>
          <w:sz w:val="24"/>
          <w:szCs w:val="24"/>
        </w:rPr>
        <w:lastRenderedPageBreak/>
        <w:t xml:space="preserve">qualquer uso específico pela União dos valores transferidos ao Tesouro, mas ela previu a transferência. </w:t>
      </w:r>
    </w:p>
    <w:p w14:paraId="38076934" w14:textId="77777777" w:rsidR="000034C8"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após, o Estado de </w:t>
      </w:r>
      <w:r w:rsidRPr="004008AF">
        <w:rPr>
          <w:rFonts w:ascii="Times New Roman" w:hAnsi="Times New Roman" w:cs="Times New Roman"/>
          <w:sz w:val="24"/>
          <w:szCs w:val="24"/>
        </w:rPr>
        <w:t xml:space="preserve">Mato Grosso do Sul </w:t>
      </w:r>
      <w:r>
        <w:rPr>
          <w:rFonts w:ascii="Times New Roman" w:hAnsi="Times New Roman" w:cs="Times New Roman"/>
          <w:sz w:val="24"/>
          <w:szCs w:val="24"/>
        </w:rPr>
        <w:t xml:space="preserve">editou </w:t>
      </w:r>
      <w:r w:rsidRPr="004008AF">
        <w:rPr>
          <w:rFonts w:ascii="Times New Roman" w:hAnsi="Times New Roman" w:cs="Times New Roman"/>
          <w:sz w:val="24"/>
          <w:szCs w:val="24"/>
        </w:rPr>
        <w:t>a Lei n</w:t>
      </w:r>
      <w:r>
        <w:rPr>
          <w:rFonts w:ascii="Times New Roman" w:hAnsi="Times New Roman" w:cs="Times New Roman"/>
          <w:sz w:val="24"/>
          <w:szCs w:val="24"/>
        </w:rPr>
        <w:t>.</w:t>
      </w:r>
      <w:r w:rsidRPr="004008AF">
        <w:rPr>
          <w:rFonts w:ascii="Times New Roman" w:hAnsi="Times New Roman" w:cs="Times New Roman"/>
          <w:sz w:val="24"/>
          <w:szCs w:val="24"/>
        </w:rPr>
        <w:t>º 1.952</w:t>
      </w:r>
      <w:r>
        <w:rPr>
          <w:rFonts w:ascii="Times New Roman" w:hAnsi="Times New Roman" w:cs="Times New Roman"/>
          <w:sz w:val="24"/>
          <w:szCs w:val="24"/>
        </w:rPr>
        <w:t xml:space="preserve">/1999, reproduzindo os dispositivos da lei da União. </w:t>
      </w:r>
    </w:p>
    <w:p w14:paraId="0F5BBC19" w14:textId="77777777" w:rsidR="00BC0F89"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seguida, o Estado de Goiás editou a Lei estadual n.º 15.010/2004, prevendo que até 50% dos valores dos depósitos feitos nos processos judiciais referentes a tributos estaduais deveriam ser repassados ao Tesouro do Estado. E foi além: previu que esses recursos deveriam ser utilizados prioritariamente no pagamento de precatórios alimentares. Para assegurar o direito dos depositantes, a lei determinou a constituição de fundo de reserva a ser composto com 20% dos saldos de depósitos judiciais e extrajudiciais, com remuneração prevista em lei. Previu, ainda, que o fundo deveria ser recomposto sempre que seu saldo estivesse abaixo do limite, ou reduzido sempre que estivesse acima dele. </w:t>
      </w:r>
    </w:p>
    <w:p w14:paraId="4D4BB424"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três leis tiveram sua constitucionalidade questionada.</w:t>
      </w:r>
    </w:p>
    <w:p w14:paraId="6C4AB798"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30/5/2001, na ADI n.º 1.933, o STF indeferiu pedido para suspender cautelarmente a Lei federal n.º 9.703/1998. </w:t>
      </w:r>
      <w:r w:rsidR="00AB4768">
        <w:rPr>
          <w:rFonts w:ascii="Times New Roman" w:hAnsi="Times New Roman" w:cs="Times New Roman"/>
          <w:sz w:val="24"/>
          <w:szCs w:val="24"/>
        </w:rPr>
        <w:t>Entendeu</w:t>
      </w:r>
      <w:r w:rsidR="008926D6">
        <w:rPr>
          <w:rFonts w:ascii="Times New Roman" w:hAnsi="Times New Roman" w:cs="Times New Roman"/>
          <w:sz w:val="24"/>
          <w:szCs w:val="24"/>
        </w:rPr>
        <w:t xml:space="preserve"> que</w:t>
      </w:r>
      <w:r>
        <w:rPr>
          <w:rFonts w:ascii="Times New Roman" w:hAnsi="Times New Roman" w:cs="Times New Roman"/>
          <w:sz w:val="24"/>
          <w:szCs w:val="24"/>
        </w:rPr>
        <w:t xml:space="preserve"> a destinação ao Tesouro Nacional da integralidade dos depósitos </w:t>
      </w:r>
      <w:r w:rsidR="00D313B7">
        <w:rPr>
          <w:rFonts w:ascii="Times New Roman" w:hAnsi="Times New Roman" w:cs="Times New Roman"/>
          <w:sz w:val="24"/>
          <w:szCs w:val="24"/>
        </w:rPr>
        <w:t xml:space="preserve">dos </w:t>
      </w:r>
      <w:r w:rsidRPr="00A91D48">
        <w:rPr>
          <w:rFonts w:ascii="Times New Roman" w:hAnsi="Times New Roman" w:cs="Times New Roman"/>
          <w:sz w:val="24"/>
          <w:szCs w:val="24"/>
        </w:rPr>
        <w:t>processos judiciais e administrativos</w:t>
      </w:r>
      <w:r>
        <w:rPr>
          <w:rFonts w:ascii="Times New Roman" w:hAnsi="Times New Roman" w:cs="Times New Roman"/>
          <w:sz w:val="24"/>
          <w:szCs w:val="24"/>
        </w:rPr>
        <w:t xml:space="preserve"> em que</w:t>
      </w:r>
      <w:r w:rsidRPr="00A91D48">
        <w:rPr>
          <w:rFonts w:ascii="Times New Roman" w:hAnsi="Times New Roman" w:cs="Times New Roman"/>
          <w:sz w:val="24"/>
          <w:szCs w:val="24"/>
        </w:rPr>
        <w:t xml:space="preserve"> se discute a cobrança de tributos </w:t>
      </w:r>
      <w:r w:rsidR="00BA737D" w:rsidRPr="00A91D48">
        <w:rPr>
          <w:rFonts w:ascii="Times New Roman" w:hAnsi="Times New Roman" w:cs="Times New Roman"/>
          <w:sz w:val="24"/>
          <w:szCs w:val="24"/>
        </w:rPr>
        <w:t>federais</w:t>
      </w:r>
      <w:r w:rsidR="00BA737D">
        <w:rPr>
          <w:rFonts w:ascii="Times New Roman" w:hAnsi="Times New Roman" w:cs="Times New Roman"/>
          <w:sz w:val="24"/>
          <w:szCs w:val="24"/>
        </w:rPr>
        <w:t xml:space="preserve"> </w:t>
      </w:r>
      <w:r w:rsidR="00BA737D" w:rsidRPr="001E3CED">
        <w:rPr>
          <w:rFonts w:ascii="Times New Roman" w:hAnsi="Times New Roman" w:cs="Times New Roman"/>
          <w:sz w:val="24"/>
          <w:szCs w:val="24"/>
        </w:rPr>
        <w:t>não</w:t>
      </w:r>
      <w:r w:rsidRPr="001E3CED">
        <w:rPr>
          <w:rFonts w:ascii="Times New Roman" w:hAnsi="Times New Roman" w:cs="Times New Roman"/>
          <w:sz w:val="24"/>
          <w:szCs w:val="24"/>
        </w:rPr>
        <w:t xml:space="preserve"> </w:t>
      </w:r>
      <w:r w:rsidR="00D32D33" w:rsidRPr="001E3CED">
        <w:rPr>
          <w:rFonts w:ascii="Times New Roman" w:hAnsi="Times New Roman" w:cs="Times New Roman"/>
          <w:sz w:val="24"/>
          <w:szCs w:val="24"/>
        </w:rPr>
        <w:t>ofende a separação de poderes</w:t>
      </w:r>
      <w:r w:rsidRPr="001E3CED">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AB4768">
        <w:rPr>
          <w:rFonts w:ascii="Times New Roman" w:hAnsi="Times New Roman" w:cs="Times New Roman"/>
          <w:sz w:val="24"/>
          <w:szCs w:val="24"/>
        </w:rPr>
        <w:t xml:space="preserve">se manifestou </w:t>
      </w:r>
      <w:r>
        <w:rPr>
          <w:rFonts w:ascii="Times New Roman" w:hAnsi="Times New Roman" w:cs="Times New Roman"/>
          <w:sz w:val="24"/>
          <w:szCs w:val="24"/>
        </w:rPr>
        <w:t>sobre o direito de propriedade.</w:t>
      </w:r>
    </w:p>
    <w:p w14:paraId="09723F5A" w14:textId="77777777" w:rsidR="006F380F" w:rsidRPr="00C96142" w:rsidRDefault="006F380F" w:rsidP="00BA737D">
      <w:pPr>
        <w:spacing w:after="0" w:line="360" w:lineRule="auto"/>
        <w:ind w:firstLine="709"/>
        <w:jc w:val="both"/>
        <w:rPr>
          <w:rFonts w:ascii="Times New Roman" w:hAnsi="Times New Roman" w:cs="Times New Roman"/>
        </w:rPr>
      </w:pPr>
      <w:bookmarkStart w:id="4" w:name="_Hlk140243789"/>
      <w:r>
        <w:rPr>
          <w:rFonts w:ascii="Times New Roman" w:hAnsi="Times New Roman" w:cs="Times New Roman"/>
          <w:sz w:val="24"/>
          <w:szCs w:val="24"/>
        </w:rPr>
        <w:t xml:space="preserve">Em 6/6/2002, na ADI n.º 2.214, </w:t>
      </w:r>
      <w:r w:rsidR="00AB4768">
        <w:rPr>
          <w:rFonts w:ascii="Times New Roman" w:hAnsi="Times New Roman" w:cs="Times New Roman"/>
          <w:sz w:val="24"/>
          <w:szCs w:val="24"/>
        </w:rPr>
        <w:t xml:space="preserve">o STF indeferiu </w:t>
      </w:r>
      <w:r>
        <w:rPr>
          <w:rFonts w:ascii="Times New Roman" w:hAnsi="Times New Roman" w:cs="Times New Roman"/>
          <w:sz w:val="24"/>
          <w:szCs w:val="24"/>
        </w:rPr>
        <w:t xml:space="preserve">o pedido de medida cautelar contra a lei sul mato-grossense. </w:t>
      </w:r>
      <w:r w:rsidR="00AB4768">
        <w:rPr>
          <w:rFonts w:ascii="Times New Roman" w:hAnsi="Times New Roman" w:cs="Times New Roman"/>
          <w:sz w:val="24"/>
          <w:szCs w:val="24"/>
        </w:rPr>
        <w:t>A</w:t>
      </w:r>
      <w:r>
        <w:rPr>
          <w:rFonts w:ascii="Times New Roman" w:hAnsi="Times New Roman" w:cs="Times New Roman"/>
          <w:sz w:val="24"/>
          <w:szCs w:val="24"/>
        </w:rPr>
        <w:t xml:space="preserve">lém de reiterar o entendimento da decisão cautelar da ADI n.º 1.933, </w:t>
      </w:r>
      <w:r w:rsidR="00AB4768">
        <w:rPr>
          <w:rFonts w:ascii="Times New Roman" w:hAnsi="Times New Roman" w:cs="Times New Roman"/>
          <w:sz w:val="24"/>
          <w:szCs w:val="24"/>
        </w:rPr>
        <w:t xml:space="preserve">ele </w:t>
      </w:r>
      <w:r>
        <w:rPr>
          <w:rFonts w:ascii="Times New Roman" w:hAnsi="Times New Roman" w:cs="Times New Roman"/>
          <w:sz w:val="24"/>
          <w:szCs w:val="24"/>
        </w:rPr>
        <w:t>afirmou que não havia ofensa ao direito de propriedade dos depositantes</w:t>
      </w:r>
      <w:r w:rsidR="00CA5C61">
        <w:rPr>
          <w:rFonts w:ascii="Times New Roman" w:hAnsi="Times New Roman" w:cs="Times New Roman"/>
          <w:sz w:val="24"/>
          <w:szCs w:val="24"/>
        </w:rPr>
        <w:t>.</w:t>
      </w:r>
    </w:p>
    <w:bookmarkEnd w:id="4"/>
    <w:p w14:paraId="7EF5205B"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29/10/2002, </w:t>
      </w:r>
      <w:r w:rsidR="00AB4768">
        <w:rPr>
          <w:rFonts w:ascii="Times New Roman" w:hAnsi="Times New Roman" w:cs="Times New Roman"/>
          <w:sz w:val="24"/>
          <w:szCs w:val="24"/>
        </w:rPr>
        <w:t xml:space="preserve">ele extinguiu </w:t>
      </w:r>
      <w:r>
        <w:rPr>
          <w:rFonts w:ascii="Times New Roman" w:hAnsi="Times New Roman" w:cs="Times New Roman"/>
          <w:sz w:val="24"/>
          <w:szCs w:val="24"/>
        </w:rPr>
        <w:t xml:space="preserve">a ADI n.º 2.214 sem resolução do mérito por perda do objeto. </w:t>
      </w:r>
    </w:p>
    <w:p w14:paraId="1CE739E6"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21/2/2008, na ADI n.º 3.458, cujo relator foi o Ministro Eros Roberto Grau, </w:t>
      </w:r>
      <w:r w:rsidR="00AB4768">
        <w:rPr>
          <w:rFonts w:ascii="Times New Roman" w:hAnsi="Times New Roman" w:cs="Times New Roman"/>
          <w:sz w:val="24"/>
          <w:szCs w:val="24"/>
        </w:rPr>
        <w:t xml:space="preserve">o STF declarou </w:t>
      </w:r>
      <w:r>
        <w:rPr>
          <w:rFonts w:ascii="Times New Roman" w:hAnsi="Times New Roman" w:cs="Times New Roman"/>
          <w:sz w:val="24"/>
          <w:szCs w:val="24"/>
        </w:rPr>
        <w:t>a lei goiana inconstitucional.</w:t>
      </w:r>
      <w:r w:rsidR="00AB4768">
        <w:rPr>
          <w:rFonts w:ascii="Times New Roman" w:hAnsi="Times New Roman" w:cs="Times New Roman"/>
          <w:sz w:val="24"/>
          <w:szCs w:val="24"/>
        </w:rPr>
        <w:t xml:space="preserve"> Entendeu</w:t>
      </w:r>
      <w:r>
        <w:rPr>
          <w:rFonts w:ascii="Times New Roman" w:hAnsi="Times New Roman" w:cs="Times New Roman"/>
          <w:sz w:val="24"/>
          <w:szCs w:val="24"/>
        </w:rPr>
        <w:t xml:space="preserve"> que ela afrontava o princípio da separação dos poderes (CRFB, art. 2º). Isso porque a gestão de depósitos judiciais seria exclusiva do Poder Judiciário; logo, ela não poderia ser</w:t>
      </w:r>
      <w:r w:rsidR="00AB4768">
        <w:rPr>
          <w:rFonts w:ascii="Times New Roman" w:hAnsi="Times New Roman" w:cs="Times New Roman"/>
          <w:sz w:val="24"/>
          <w:szCs w:val="24"/>
        </w:rPr>
        <w:t xml:space="preserve"> transferida ao Executivo. Não se manifestou sobre o direito </w:t>
      </w:r>
      <w:r>
        <w:rPr>
          <w:rFonts w:ascii="Times New Roman" w:hAnsi="Times New Roman" w:cs="Times New Roman"/>
          <w:sz w:val="24"/>
          <w:szCs w:val="24"/>
        </w:rPr>
        <w:t>de propriedade.</w:t>
      </w:r>
    </w:p>
    <w:p w14:paraId="6DA4E353" w14:textId="77777777" w:rsidR="00F24906" w:rsidRDefault="00F24906"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nova reviravolta, no julgamento do mérito da ADI n.º 1.933,</w:t>
      </w:r>
      <w:r w:rsidR="00AB4768">
        <w:rPr>
          <w:rFonts w:ascii="Times New Roman" w:hAnsi="Times New Roman" w:cs="Times New Roman"/>
          <w:sz w:val="24"/>
          <w:szCs w:val="24"/>
        </w:rPr>
        <w:t xml:space="preserve"> </w:t>
      </w:r>
      <w:r>
        <w:rPr>
          <w:rFonts w:ascii="Times New Roman" w:hAnsi="Times New Roman" w:cs="Times New Roman"/>
          <w:sz w:val="24"/>
          <w:szCs w:val="24"/>
        </w:rPr>
        <w:t xml:space="preserve">ocorrido em 14/4/2010, o Ministro Eros Roberto Grau e o STF declararam a constitucionalidade da Lei federal n.º 9.703/1988. Fazendo referência ao julgamento da medida cautelar na ADI n.º 2.214, eles reviram seu entendimento e afirmaram que a transferência dos depósitos judiciais ao tesouro não configurava ofensa ao princípio da separação dos poderes. Igualmente não </w:t>
      </w:r>
      <w:r w:rsidR="00AB4768">
        <w:rPr>
          <w:rFonts w:ascii="Times New Roman" w:hAnsi="Times New Roman" w:cs="Times New Roman"/>
          <w:sz w:val="24"/>
          <w:szCs w:val="24"/>
        </w:rPr>
        <w:t xml:space="preserve">se manifestaram </w:t>
      </w:r>
      <w:r>
        <w:rPr>
          <w:rFonts w:ascii="Times New Roman" w:hAnsi="Times New Roman" w:cs="Times New Roman"/>
          <w:sz w:val="24"/>
          <w:szCs w:val="24"/>
        </w:rPr>
        <w:t>sobre o direito de propriedade.</w:t>
      </w:r>
    </w:p>
    <w:p w14:paraId="69B1DEE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Logo após o julgamento que indeferiu a medida cautelar na ADI n.º 2.214, ocorrido em 6/6/2002, a União publicou a Lei n.º 10.482/2002, disciplinando o uso de 50% dos depósitos judiciais e extrajudiciais feitos nos processos em que os Estados e do Distrito Federal fossem parte. Em 2006, essa Lei foi revogada pela Lei n.º 11.429/2006, que autorizava o uso apenas dos depósitos judiciais de tributos pelos estados-membros e Distrito Federal, mas no percentual de 70%.</w:t>
      </w:r>
    </w:p>
    <w:p w14:paraId="67C08E7E"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Durante a vigência dessas duas leis nacionais, alguns entes subnacionais publicaram leis prevendo o uso dos depósitos tributários. Por exemplo, o Estado de Pernambuco publicou a Lei n.º 12.305/2002, posteriormente alterada pela Lei n.º 12.337/2003. O Estado do Ceará publicou a Lei n.º 13.480/2004. O Estado do Rio Grande do Sul, a Lei n.º 12.069/2004, modificada dois anos mais tarde pela Lei n.º 12.585/2006, que tratou de criar um fundo de precatórios. O Estado de Sergipe, a Lei n.º 5.886/2006. O Estado de São Paulo, a Lei n.º 12.787/2007. O Estado do Rio de Janeiro, a Lei Complementar n.º 119/2007.</w:t>
      </w:r>
    </w:p>
    <w:p w14:paraId="6127646B"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foi apenas em 2013, com a publicação da Lei Complementar n.º 147/2013 pelo Estado do Rio de Janeiro e da Lei Complementar n.º 59/2013 pelo Estado do Paraná, que a questão voltou à tona com força. Ambas as leis previram a transferências de parte dos depósitos não tributários para os Tesouros Estaduais. A do Rio de Janeiro previu a utilização de 25% dos depósitos exclusivamente para o pagamento de precatórios, e a do Paraná, de 30% para as áreas de saúde, educação, segurança pública, infraestrutura viária, mobilidade urbana e pagamento de requisições de pequeno valor.</w:t>
      </w:r>
    </w:p>
    <w:p w14:paraId="3F44453F" w14:textId="77777777" w:rsidR="008A771B" w:rsidRDefault="008A771B"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no ano de 2015, especificamente em 25/3/2015, o STF julgou questão de ordem nas ADIs n.º 4.357 e 4.425. Nessas ADIs, ele havia declarado a inconstitucionalidade do regime especial de pagamento dos precatórios, previsto no art. 97 do ADCT, que foi incluído no texto constitucional pela EC n.º 62/2009. No julgamento da questão de ordem, ele decidiu modular os efeitos da declaração de inconstitucionalidade para </w:t>
      </w:r>
      <w:r w:rsidRPr="00A92F3F">
        <w:rPr>
          <w:rFonts w:ascii="Times New Roman" w:hAnsi="Times New Roman" w:cs="Times New Roman"/>
          <w:sz w:val="24"/>
          <w:szCs w:val="24"/>
        </w:rPr>
        <w:t>manter a vigência do regime especial por 5 exercícios financeiros a contar de primeiro de janeiro de 2016</w:t>
      </w:r>
      <w:r>
        <w:rPr>
          <w:rFonts w:ascii="Times New Roman" w:hAnsi="Times New Roman" w:cs="Times New Roman"/>
          <w:sz w:val="24"/>
          <w:szCs w:val="24"/>
        </w:rPr>
        <w:t>. Isso porque ele reconheceu que, apesar dos vícios, o regime teve o mérito de permitir a retomada do pagamento dos precatórios. E, em diálogo institucional, provocou o Congresso Nacional a, dentro desse prazo, estabelecer nova disciplina da matéria que garantisse o pagamento dos precatórios e não incorresse nos vícios da EC n.º 62/2009. Demais disso, o STF estabeleceu medidas de transição a serem adotadas enquanto o Congresso não estabelecesse a nova disciplina. O Ministro Barroso sugeriu que uma dessas medidas fosse a delegação ao CNJ da competência para editar norma disciplinando o uso dos depósitos judiciais para o pagamento de precatórios (a sugestão foi mencionada na exposição de motivos da EC n.º 94/2016)</w:t>
      </w:r>
      <w:r w:rsidR="00B5674B">
        <w:rPr>
          <w:rFonts w:ascii="Times New Roman" w:hAnsi="Times New Roman" w:cs="Times New Roman"/>
          <w:sz w:val="24"/>
          <w:szCs w:val="24"/>
        </w:rPr>
        <w:t>.</w:t>
      </w:r>
    </w:p>
    <w:p w14:paraId="39215CB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No mesmo ano, dado o agravamento da crise fiscal, outros estados-membros editaram leis prevendo o uso dos depósitos judiciais. </w:t>
      </w:r>
      <w:r w:rsidR="00BA737D" w:rsidRPr="00FF0535">
        <w:rPr>
          <w:rFonts w:ascii="Times New Roman" w:hAnsi="Times New Roman" w:cs="Times New Roman"/>
          <w:sz w:val="24"/>
          <w:szCs w:val="24"/>
        </w:rPr>
        <w:t>Passaram</w:t>
      </w:r>
      <w:r w:rsidR="00BA737D">
        <w:rPr>
          <w:rFonts w:ascii="Times New Roman" w:hAnsi="Times New Roman" w:cs="Times New Roman"/>
          <w:sz w:val="24"/>
          <w:szCs w:val="24"/>
        </w:rPr>
        <w:t xml:space="preserve"> </w:t>
      </w:r>
      <w:r w:rsidR="00BA737D" w:rsidRPr="00FF0535">
        <w:rPr>
          <w:rFonts w:ascii="Times New Roman" w:hAnsi="Times New Roman" w:cs="Times New Roman"/>
          <w:sz w:val="24"/>
          <w:szCs w:val="24"/>
        </w:rPr>
        <w:t>a viger no país</w:t>
      </w:r>
      <w:r w:rsidR="00BA737D">
        <w:rPr>
          <w:rFonts w:ascii="Times New Roman" w:hAnsi="Times New Roman" w:cs="Times New Roman"/>
          <w:sz w:val="24"/>
          <w:szCs w:val="24"/>
        </w:rPr>
        <w:t xml:space="preserve"> </w:t>
      </w:r>
      <w:r w:rsidR="00BA737D" w:rsidRPr="00FF0535">
        <w:rPr>
          <w:rFonts w:ascii="Times New Roman" w:hAnsi="Times New Roman" w:cs="Times New Roman"/>
          <w:sz w:val="24"/>
          <w:szCs w:val="24"/>
        </w:rPr>
        <w:t>a LC n</w:t>
      </w:r>
      <w:r w:rsidR="00BA737D">
        <w:rPr>
          <w:rFonts w:ascii="Times New Roman" w:hAnsi="Times New Roman" w:cs="Times New Roman"/>
          <w:sz w:val="24"/>
          <w:szCs w:val="24"/>
        </w:rPr>
        <w:t>.</w:t>
      </w:r>
      <w:r w:rsidR="00BA737D" w:rsidRPr="00FF0535">
        <w:rPr>
          <w:rFonts w:ascii="Times New Roman" w:hAnsi="Times New Roman" w:cs="Times New Roman"/>
          <w:sz w:val="24"/>
          <w:szCs w:val="24"/>
        </w:rPr>
        <w:t>º 42 da Bahia,</w:t>
      </w:r>
      <w:r w:rsidR="00BA737D">
        <w:rPr>
          <w:rFonts w:ascii="Times New Roman" w:hAnsi="Times New Roman" w:cs="Times New Roman"/>
          <w:sz w:val="24"/>
          <w:szCs w:val="24"/>
        </w:rPr>
        <w:t xml:space="preserve"> a LC n.º 42 de Alagoas, </w:t>
      </w:r>
      <w:r w:rsidR="00BA737D" w:rsidRPr="00FF0535">
        <w:rPr>
          <w:rFonts w:ascii="Times New Roman" w:hAnsi="Times New Roman" w:cs="Times New Roman"/>
          <w:sz w:val="24"/>
          <w:szCs w:val="24"/>
        </w:rPr>
        <w:t>a Lei n</w:t>
      </w:r>
      <w:r w:rsidR="00BA737D">
        <w:rPr>
          <w:rFonts w:ascii="Times New Roman" w:hAnsi="Times New Roman" w:cs="Times New Roman"/>
          <w:sz w:val="24"/>
          <w:szCs w:val="24"/>
        </w:rPr>
        <w:t>.</w:t>
      </w:r>
      <w:r w:rsidR="00BA737D" w:rsidRPr="00FF0535">
        <w:rPr>
          <w:rFonts w:ascii="Times New Roman" w:hAnsi="Times New Roman" w:cs="Times New Roman"/>
          <w:sz w:val="24"/>
          <w:szCs w:val="24"/>
        </w:rPr>
        <w:t>º 21.720 de Minas Gerais,</w:t>
      </w:r>
      <w:r w:rsidR="00AB4768">
        <w:rPr>
          <w:rFonts w:ascii="Times New Roman" w:hAnsi="Times New Roman" w:cs="Times New Roman"/>
          <w:sz w:val="24"/>
          <w:szCs w:val="24"/>
        </w:rPr>
        <w:t xml:space="preserve"> </w:t>
      </w:r>
      <w:r w:rsidR="00BA737D" w:rsidRPr="00FF0535">
        <w:rPr>
          <w:rFonts w:ascii="Times New Roman" w:hAnsi="Times New Roman" w:cs="Times New Roman"/>
          <w:sz w:val="24"/>
          <w:szCs w:val="24"/>
        </w:rPr>
        <w:t>a LC n</w:t>
      </w:r>
      <w:r w:rsidR="00BA737D">
        <w:rPr>
          <w:rFonts w:ascii="Times New Roman" w:hAnsi="Times New Roman" w:cs="Times New Roman"/>
          <w:sz w:val="24"/>
          <w:szCs w:val="24"/>
        </w:rPr>
        <w:t>.</w:t>
      </w:r>
      <w:r w:rsidR="00BA737D" w:rsidRPr="00FF0535">
        <w:rPr>
          <w:rFonts w:ascii="Times New Roman" w:hAnsi="Times New Roman" w:cs="Times New Roman"/>
          <w:sz w:val="24"/>
          <w:szCs w:val="24"/>
        </w:rPr>
        <w:t>º 131 da Paraíba, a</w:t>
      </w:r>
      <w:r w:rsidR="00BA737D">
        <w:rPr>
          <w:rFonts w:ascii="Times New Roman" w:hAnsi="Times New Roman" w:cs="Times New Roman"/>
          <w:sz w:val="24"/>
          <w:szCs w:val="24"/>
        </w:rPr>
        <w:t xml:space="preserve"> </w:t>
      </w:r>
      <w:r w:rsidR="00BA737D" w:rsidRPr="00FF0535">
        <w:rPr>
          <w:rFonts w:ascii="Times New Roman" w:hAnsi="Times New Roman" w:cs="Times New Roman"/>
          <w:sz w:val="24"/>
          <w:szCs w:val="24"/>
        </w:rPr>
        <w:t>LC n</w:t>
      </w:r>
      <w:r w:rsidR="00BA737D">
        <w:rPr>
          <w:rFonts w:ascii="Times New Roman" w:hAnsi="Times New Roman" w:cs="Times New Roman"/>
          <w:sz w:val="24"/>
          <w:szCs w:val="24"/>
        </w:rPr>
        <w:t>.</w:t>
      </w:r>
      <w:r w:rsidR="00BA737D" w:rsidRPr="00FF0535">
        <w:rPr>
          <w:rFonts w:ascii="Times New Roman" w:hAnsi="Times New Roman" w:cs="Times New Roman"/>
          <w:sz w:val="24"/>
          <w:szCs w:val="24"/>
        </w:rPr>
        <w:t>º 264 de Sergipe, a Lei n</w:t>
      </w:r>
      <w:r w:rsidR="00BA737D">
        <w:rPr>
          <w:rFonts w:ascii="Times New Roman" w:hAnsi="Times New Roman" w:cs="Times New Roman"/>
          <w:sz w:val="24"/>
          <w:szCs w:val="24"/>
        </w:rPr>
        <w:t>.</w:t>
      </w:r>
      <w:r w:rsidR="00BA737D" w:rsidRPr="00FF0535">
        <w:rPr>
          <w:rFonts w:ascii="Times New Roman" w:hAnsi="Times New Roman" w:cs="Times New Roman"/>
          <w:sz w:val="24"/>
          <w:szCs w:val="24"/>
        </w:rPr>
        <w:t>º 6.704 do Piauí</w:t>
      </w:r>
      <w:r w:rsidR="00BA737D">
        <w:rPr>
          <w:rFonts w:ascii="Times New Roman" w:hAnsi="Times New Roman" w:cs="Times New Roman"/>
          <w:sz w:val="24"/>
          <w:szCs w:val="24"/>
        </w:rPr>
        <w:t>, a Lei n.º 14.738 do Rio Grande do Su</w:t>
      </w:r>
      <w:r w:rsidR="00AB4768">
        <w:rPr>
          <w:rFonts w:ascii="Times New Roman" w:hAnsi="Times New Roman" w:cs="Times New Roman"/>
          <w:sz w:val="24"/>
          <w:szCs w:val="24"/>
        </w:rPr>
        <w:t xml:space="preserve">l, as Leis n.º 9.935 e 9.966 </w:t>
      </w:r>
      <w:r w:rsidR="00BA737D">
        <w:rPr>
          <w:rFonts w:ascii="Times New Roman" w:hAnsi="Times New Roman" w:cs="Times New Roman"/>
          <w:sz w:val="24"/>
          <w:szCs w:val="24"/>
        </w:rPr>
        <w:t>do Rio Grande do Norte, a Lei n.º 15.878 do Ceará, a Lei n.º 4.218 do Amazonas, e a Lei Complementar n.º 201 de Mato Grosso do Sul.</w:t>
      </w:r>
      <w:r>
        <w:rPr>
          <w:rFonts w:ascii="Times New Roman" w:hAnsi="Times New Roman" w:cs="Times New Roman"/>
          <w:sz w:val="24"/>
          <w:szCs w:val="24"/>
        </w:rPr>
        <w:t xml:space="preserve"> E, em 2016, foram editadas a Lei Complementar n.º 234 de Roraima e a Lei n.º 3.166 do Acre.</w:t>
      </w:r>
    </w:p>
    <w:p w14:paraId="4FEE1E8F" w14:textId="77777777" w:rsidR="006F380F" w:rsidRDefault="00BA737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5/8/2015, a União editou a Lei Complementar n.º 151, </w:t>
      </w:r>
      <w:r w:rsidRPr="00FF0535">
        <w:rPr>
          <w:rFonts w:ascii="Times New Roman" w:hAnsi="Times New Roman" w:cs="Times New Roman"/>
          <w:sz w:val="24"/>
          <w:szCs w:val="24"/>
        </w:rPr>
        <w:t>estabelece</w:t>
      </w:r>
      <w:r>
        <w:rPr>
          <w:rFonts w:ascii="Times New Roman" w:hAnsi="Times New Roman" w:cs="Times New Roman"/>
          <w:sz w:val="24"/>
          <w:szCs w:val="24"/>
        </w:rPr>
        <w:t>ndo</w:t>
      </w:r>
      <w:r w:rsidRPr="00FF0535">
        <w:rPr>
          <w:rFonts w:ascii="Times New Roman" w:hAnsi="Times New Roman" w:cs="Times New Roman"/>
          <w:sz w:val="24"/>
          <w:szCs w:val="24"/>
        </w:rPr>
        <w:t xml:space="preserve"> parâmetros nacionais </w:t>
      </w:r>
      <w:r>
        <w:rPr>
          <w:rFonts w:ascii="Times New Roman" w:hAnsi="Times New Roman" w:cs="Times New Roman"/>
          <w:sz w:val="24"/>
          <w:szCs w:val="24"/>
        </w:rPr>
        <w:t>para a</w:t>
      </w:r>
      <w:r w:rsidRPr="00FF0535">
        <w:rPr>
          <w:rFonts w:ascii="Times New Roman" w:hAnsi="Times New Roman" w:cs="Times New Roman"/>
          <w:sz w:val="24"/>
          <w:szCs w:val="24"/>
        </w:rPr>
        <w:t xml:space="preserve"> transferência aos Tesouros dos </w:t>
      </w:r>
      <w:r w:rsidR="00AB4768">
        <w:rPr>
          <w:rFonts w:ascii="Times New Roman" w:hAnsi="Times New Roman" w:cs="Times New Roman"/>
          <w:sz w:val="24"/>
          <w:szCs w:val="24"/>
        </w:rPr>
        <w:t>e</w:t>
      </w:r>
      <w:r w:rsidRPr="00FF0535">
        <w:rPr>
          <w:rFonts w:ascii="Times New Roman" w:hAnsi="Times New Roman" w:cs="Times New Roman"/>
          <w:sz w:val="24"/>
          <w:szCs w:val="24"/>
        </w:rPr>
        <w:t>stados, do</w:t>
      </w:r>
      <w:r>
        <w:rPr>
          <w:rFonts w:ascii="Times New Roman" w:hAnsi="Times New Roman" w:cs="Times New Roman"/>
          <w:sz w:val="24"/>
          <w:szCs w:val="24"/>
        </w:rPr>
        <w:t xml:space="preserve"> </w:t>
      </w:r>
      <w:r w:rsidRPr="00FF0535">
        <w:rPr>
          <w:rFonts w:ascii="Times New Roman" w:hAnsi="Times New Roman" w:cs="Times New Roman"/>
          <w:sz w:val="24"/>
          <w:szCs w:val="24"/>
        </w:rPr>
        <w:t>DF e dos município</w:t>
      </w:r>
      <w:r>
        <w:rPr>
          <w:rFonts w:ascii="Times New Roman" w:hAnsi="Times New Roman" w:cs="Times New Roman"/>
          <w:sz w:val="24"/>
          <w:szCs w:val="24"/>
        </w:rPr>
        <w:t>s</w:t>
      </w:r>
      <w:r w:rsidRPr="00FF0535">
        <w:rPr>
          <w:rFonts w:ascii="Times New Roman" w:hAnsi="Times New Roman" w:cs="Times New Roman"/>
          <w:sz w:val="24"/>
          <w:szCs w:val="24"/>
        </w:rPr>
        <w:t xml:space="preserve"> de</w:t>
      </w:r>
      <w:r>
        <w:rPr>
          <w:rFonts w:ascii="Times New Roman" w:hAnsi="Times New Roman" w:cs="Times New Roman"/>
          <w:sz w:val="24"/>
          <w:szCs w:val="24"/>
        </w:rPr>
        <w:t xml:space="preserve"> 70%</w:t>
      </w:r>
      <w:r w:rsidRPr="00FF0535">
        <w:rPr>
          <w:rFonts w:ascii="Times New Roman" w:hAnsi="Times New Roman" w:cs="Times New Roman"/>
          <w:sz w:val="24"/>
          <w:szCs w:val="24"/>
        </w:rPr>
        <w:t xml:space="preserve"> dos depósitos </w:t>
      </w:r>
      <w:r>
        <w:rPr>
          <w:rFonts w:ascii="Times New Roman" w:hAnsi="Times New Roman" w:cs="Times New Roman"/>
          <w:sz w:val="24"/>
          <w:szCs w:val="24"/>
        </w:rPr>
        <w:t xml:space="preserve">feitos nos processos judiciais e administrativos de que o Poder Público fizesse parte, tributários ou não. </w:t>
      </w:r>
    </w:p>
    <w:p w14:paraId="7D17447D" w14:textId="77777777" w:rsidR="008D109B" w:rsidRDefault="00BA737D"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Tanto a lei nacional quanto as leis estaduais tiveram sua constitucionalidade questionada.</w:t>
      </w:r>
      <w:r w:rsidR="00AB4768">
        <w:rPr>
          <w:rFonts w:ascii="Times New Roman" w:hAnsi="Times New Roman" w:cs="Times New Roman"/>
          <w:sz w:val="24"/>
          <w:szCs w:val="24"/>
        </w:rPr>
        <w:t xml:space="preserve"> </w:t>
      </w:r>
      <w:r>
        <w:rPr>
          <w:rFonts w:ascii="Times New Roman" w:hAnsi="Times New Roman" w:cs="Times New Roman"/>
          <w:sz w:val="24"/>
          <w:szCs w:val="24"/>
        </w:rPr>
        <w:t>As ADIs n.º 5.361 9AMB) e n.º 5.463 (PGR) propostas contra a lei nacional ainda não foram julgadas.</w:t>
      </w:r>
      <w:r w:rsidR="00AB4768">
        <w:rPr>
          <w:rFonts w:ascii="Times New Roman" w:hAnsi="Times New Roman" w:cs="Times New Roman"/>
          <w:sz w:val="24"/>
          <w:szCs w:val="24"/>
        </w:rPr>
        <w:t xml:space="preserve"> </w:t>
      </w:r>
      <w:r>
        <w:rPr>
          <w:rFonts w:ascii="Times New Roman" w:hAnsi="Times New Roman" w:cs="Times New Roman"/>
          <w:sz w:val="24"/>
          <w:szCs w:val="24"/>
        </w:rPr>
        <w:t xml:space="preserve">Mas a maioria das </w:t>
      </w:r>
      <w:r w:rsidRPr="00C42054">
        <w:rPr>
          <w:rFonts w:ascii="Times New Roman" w:hAnsi="Times New Roman" w:cs="Times New Roman"/>
          <w:sz w:val="24"/>
          <w:szCs w:val="24"/>
        </w:rPr>
        <w:t xml:space="preserve">ADIs </w:t>
      </w:r>
      <w:r>
        <w:rPr>
          <w:rFonts w:ascii="Times New Roman" w:hAnsi="Times New Roman" w:cs="Times New Roman"/>
          <w:sz w:val="24"/>
          <w:szCs w:val="24"/>
        </w:rPr>
        <w:t xml:space="preserve">propostas </w:t>
      </w:r>
      <w:r w:rsidRPr="00C42054">
        <w:rPr>
          <w:rFonts w:ascii="Times New Roman" w:hAnsi="Times New Roman" w:cs="Times New Roman"/>
          <w:sz w:val="24"/>
          <w:szCs w:val="24"/>
        </w:rPr>
        <w:t>contra as leis estaduais fo</w:t>
      </w:r>
      <w:r>
        <w:rPr>
          <w:rFonts w:ascii="Times New Roman" w:hAnsi="Times New Roman" w:cs="Times New Roman"/>
          <w:sz w:val="24"/>
          <w:szCs w:val="24"/>
        </w:rPr>
        <w:t>i</w:t>
      </w:r>
      <w:r w:rsidRPr="00C42054">
        <w:rPr>
          <w:rFonts w:ascii="Times New Roman" w:hAnsi="Times New Roman" w:cs="Times New Roman"/>
          <w:sz w:val="24"/>
          <w:szCs w:val="24"/>
        </w:rPr>
        <w:t xml:space="preserve"> julgada</w:t>
      </w:r>
      <w:r>
        <w:rPr>
          <w:rFonts w:ascii="Times New Roman" w:hAnsi="Times New Roman" w:cs="Times New Roman"/>
          <w:sz w:val="24"/>
          <w:szCs w:val="24"/>
        </w:rPr>
        <w:t xml:space="preserve"> em seu mérito</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w:t>
      </w:r>
      <w:r w:rsidR="008D109B">
        <w:rPr>
          <w:rFonts w:ascii="Times New Roman" w:hAnsi="Times New Roman" w:cs="Times New Roman"/>
          <w:sz w:val="24"/>
          <w:szCs w:val="24"/>
        </w:rPr>
        <w:t xml:space="preserve"> Isso ocorreu entre</w:t>
      </w:r>
      <w:r w:rsidR="008D109B" w:rsidRPr="00C42054">
        <w:rPr>
          <w:rFonts w:ascii="Times New Roman" w:hAnsi="Times New Roman" w:cs="Times New Roman"/>
          <w:sz w:val="24"/>
          <w:szCs w:val="24"/>
        </w:rPr>
        <w:t xml:space="preserve"> 2019 e 202</w:t>
      </w:r>
      <w:r w:rsidR="008D109B">
        <w:rPr>
          <w:rFonts w:ascii="Times New Roman" w:hAnsi="Times New Roman" w:cs="Times New Roman"/>
          <w:sz w:val="24"/>
          <w:szCs w:val="24"/>
        </w:rPr>
        <w:t>2</w:t>
      </w:r>
      <w:r w:rsidR="008D109B" w:rsidRPr="00C42054">
        <w:rPr>
          <w:rFonts w:ascii="Times New Roman" w:hAnsi="Times New Roman" w:cs="Times New Roman"/>
          <w:sz w:val="24"/>
          <w:szCs w:val="24"/>
        </w:rPr>
        <w:t xml:space="preserve">. </w:t>
      </w:r>
    </w:p>
    <w:p w14:paraId="00AB68E0"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todos esses julgamentos de mérito, o</w:t>
      </w:r>
      <w:r w:rsidRPr="00C42054">
        <w:rPr>
          <w:rFonts w:ascii="Times New Roman" w:hAnsi="Times New Roman" w:cs="Times New Roman"/>
          <w:sz w:val="24"/>
          <w:szCs w:val="24"/>
        </w:rPr>
        <w:t xml:space="preserve"> STF entendeu que as leis incorriam em inconstitucionalidade formal</w:t>
      </w:r>
      <w:r>
        <w:rPr>
          <w:rFonts w:ascii="Times New Roman" w:hAnsi="Times New Roman" w:cs="Times New Roman"/>
          <w:sz w:val="24"/>
          <w:szCs w:val="24"/>
        </w:rPr>
        <w:t xml:space="preserve"> porque elas </w:t>
      </w:r>
      <w:r w:rsidRPr="00C42054">
        <w:rPr>
          <w:rFonts w:ascii="Times New Roman" w:hAnsi="Times New Roman" w:cs="Times New Roman"/>
          <w:sz w:val="24"/>
          <w:szCs w:val="24"/>
        </w:rPr>
        <w:t xml:space="preserve">afrontavam a competência legislativa da União. </w:t>
      </w:r>
      <w:r>
        <w:rPr>
          <w:rFonts w:ascii="Times New Roman" w:hAnsi="Times New Roman" w:cs="Times New Roman"/>
          <w:sz w:val="24"/>
          <w:szCs w:val="24"/>
        </w:rPr>
        <w:t xml:space="preserve">Em parte dos julgamentos, não houve manifestação sobre a constitucionalidade material das normas. Mas, em outra parte, decidiu-se que as leis incorriam também em inconstitucionalidade material. Elas desrespeitariam </w:t>
      </w:r>
      <w:r w:rsidRPr="00C42054">
        <w:rPr>
          <w:rFonts w:ascii="Times New Roman" w:hAnsi="Times New Roman" w:cs="Times New Roman"/>
          <w:sz w:val="24"/>
          <w:szCs w:val="24"/>
        </w:rPr>
        <w:t>o direito de propriedade dos depositantes: neste ponto, houve mudança de jurisprudência.</w:t>
      </w:r>
      <w:r>
        <w:rPr>
          <w:rFonts w:ascii="Times New Roman" w:hAnsi="Times New Roman" w:cs="Times New Roman"/>
          <w:sz w:val="24"/>
          <w:szCs w:val="24"/>
        </w:rPr>
        <w:t xml:space="preserve"> Foi o que aconteceu ao menos nos julgamentos das ADIs n.º </w:t>
      </w:r>
      <w:r w:rsidRPr="00795FC0">
        <w:rPr>
          <w:rFonts w:ascii="Times New Roman" w:hAnsi="Times New Roman" w:cs="Times New Roman"/>
          <w:sz w:val="24"/>
          <w:szCs w:val="24"/>
        </w:rPr>
        <w:t>5</w:t>
      </w:r>
      <w:r>
        <w:rPr>
          <w:rFonts w:ascii="Times New Roman" w:hAnsi="Times New Roman" w:cs="Times New Roman"/>
          <w:sz w:val="24"/>
          <w:szCs w:val="24"/>
        </w:rPr>
        <w:t>.</w:t>
      </w:r>
      <w:r w:rsidRPr="00795FC0">
        <w:rPr>
          <w:rFonts w:ascii="Times New Roman" w:hAnsi="Times New Roman" w:cs="Times New Roman"/>
          <w:sz w:val="24"/>
          <w:szCs w:val="24"/>
        </w:rPr>
        <w:t>4</w:t>
      </w:r>
      <w:r>
        <w:rPr>
          <w:rFonts w:ascii="Times New Roman" w:hAnsi="Times New Roman" w:cs="Times New Roman"/>
          <w:sz w:val="24"/>
          <w:szCs w:val="24"/>
        </w:rPr>
        <w:t>0</w:t>
      </w:r>
      <w:r w:rsidRPr="00795FC0">
        <w:rPr>
          <w:rFonts w:ascii="Times New Roman" w:hAnsi="Times New Roman" w:cs="Times New Roman"/>
          <w:sz w:val="24"/>
          <w:szCs w:val="24"/>
        </w:rPr>
        <w:t>9 e 5</w:t>
      </w:r>
      <w:r>
        <w:rPr>
          <w:rFonts w:ascii="Times New Roman" w:hAnsi="Times New Roman" w:cs="Times New Roman"/>
          <w:sz w:val="24"/>
          <w:szCs w:val="24"/>
        </w:rPr>
        <w:t>.</w:t>
      </w:r>
      <w:r w:rsidRPr="00795FC0">
        <w:rPr>
          <w:rFonts w:ascii="Times New Roman" w:hAnsi="Times New Roman" w:cs="Times New Roman"/>
          <w:sz w:val="24"/>
          <w:szCs w:val="24"/>
        </w:rPr>
        <w:t xml:space="preserve">476 </w:t>
      </w:r>
      <w:r>
        <w:rPr>
          <w:rFonts w:ascii="Times New Roman" w:hAnsi="Times New Roman" w:cs="Times New Roman"/>
          <w:sz w:val="24"/>
          <w:szCs w:val="24"/>
        </w:rPr>
        <w:t>(</w:t>
      </w:r>
      <w:r w:rsidRPr="00795FC0">
        <w:rPr>
          <w:rFonts w:ascii="Times New Roman" w:hAnsi="Times New Roman" w:cs="Times New Roman"/>
          <w:sz w:val="24"/>
          <w:szCs w:val="24"/>
        </w:rPr>
        <w:t>Edson Fachin</w:t>
      </w:r>
      <w:r>
        <w:rPr>
          <w:rFonts w:ascii="Times New Roman" w:hAnsi="Times New Roman" w:cs="Times New Roman"/>
          <w:sz w:val="24"/>
          <w:szCs w:val="24"/>
        </w:rPr>
        <w:t xml:space="preserve">), </w:t>
      </w:r>
      <w:r w:rsidRPr="00795FC0">
        <w:rPr>
          <w:rFonts w:ascii="Times New Roman" w:hAnsi="Times New Roman" w:cs="Times New Roman"/>
          <w:sz w:val="24"/>
          <w:szCs w:val="24"/>
        </w:rPr>
        <w:t>5</w:t>
      </w:r>
      <w:r>
        <w:rPr>
          <w:rFonts w:ascii="Times New Roman" w:hAnsi="Times New Roman" w:cs="Times New Roman"/>
          <w:sz w:val="24"/>
          <w:szCs w:val="24"/>
        </w:rPr>
        <w:t>.</w:t>
      </w:r>
      <w:r w:rsidRPr="00795FC0">
        <w:rPr>
          <w:rFonts w:ascii="Times New Roman" w:hAnsi="Times New Roman" w:cs="Times New Roman"/>
          <w:sz w:val="24"/>
          <w:szCs w:val="24"/>
        </w:rPr>
        <w:t>099</w:t>
      </w:r>
      <w:r>
        <w:rPr>
          <w:rFonts w:ascii="Times New Roman" w:hAnsi="Times New Roman" w:cs="Times New Roman"/>
          <w:sz w:val="24"/>
          <w:szCs w:val="24"/>
        </w:rPr>
        <w:t xml:space="preserve"> (</w:t>
      </w:r>
      <w:r w:rsidRPr="00795FC0">
        <w:rPr>
          <w:rFonts w:ascii="Times New Roman" w:hAnsi="Times New Roman" w:cs="Times New Roman"/>
          <w:sz w:val="24"/>
          <w:szCs w:val="24"/>
        </w:rPr>
        <w:t>Carmen Lúcia</w:t>
      </w:r>
      <w:r>
        <w:rPr>
          <w:rFonts w:ascii="Times New Roman" w:hAnsi="Times New Roman" w:cs="Times New Roman"/>
          <w:sz w:val="24"/>
          <w:szCs w:val="24"/>
        </w:rPr>
        <w:t>),</w:t>
      </w:r>
      <w:r w:rsidRPr="00795FC0">
        <w:rPr>
          <w:rFonts w:ascii="Times New Roman" w:hAnsi="Times New Roman" w:cs="Times New Roman"/>
          <w:sz w:val="24"/>
          <w:szCs w:val="24"/>
        </w:rPr>
        <w:t xml:space="preserve"> 5.072 (Gilmar Mendes</w:t>
      </w:r>
      <w:r>
        <w:rPr>
          <w:rFonts w:ascii="Times New Roman" w:hAnsi="Times New Roman" w:cs="Times New Roman"/>
          <w:sz w:val="24"/>
          <w:szCs w:val="24"/>
        </w:rPr>
        <w:t xml:space="preserve">), e </w:t>
      </w:r>
      <w:r w:rsidRPr="00795FC0">
        <w:rPr>
          <w:rFonts w:ascii="Times New Roman" w:hAnsi="Times New Roman" w:cs="Times New Roman"/>
          <w:sz w:val="24"/>
          <w:szCs w:val="24"/>
        </w:rPr>
        <w:t>5.392, 5.414 e 6.660 (Rosa Weber</w:t>
      </w:r>
      <w:r>
        <w:rPr>
          <w:rFonts w:ascii="Times New Roman" w:hAnsi="Times New Roman" w:cs="Times New Roman"/>
          <w:sz w:val="24"/>
          <w:szCs w:val="24"/>
        </w:rPr>
        <w:t xml:space="preserve">). </w:t>
      </w:r>
    </w:p>
    <w:p w14:paraId="4AE2F76C"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julgamento da ADI n.º 5.072, o Ministro Gilmar Mendes analiticamente separou as hipóteses de uso de depósitos judiciais em três: </w:t>
      </w:r>
    </w:p>
    <w:p w14:paraId="003ABDDC" w14:textId="77777777" w:rsidR="005963D9" w:rsidRDefault="005963D9" w:rsidP="00BA737D">
      <w:pPr>
        <w:spacing w:after="0" w:line="360" w:lineRule="auto"/>
        <w:ind w:firstLine="709"/>
        <w:jc w:val="both"/>
        <w:rPr>
          <w:rFonts w:ascii="Times New Roman" w:hAnsi="Times New Roman" w:cs="Times New Roman"/>
          <w:sz w:val="24"/>
          <w:szCs w:val="24"/>
        </w:rPr>
      </w:pPr>
    </w:p>
    <w:p w14:paraId="689254C5" w14:textId="77777777" w:rsidR="006F380F" w:rsidRPr="001D13DA" w:rsidRDefault="006F380F" w:rsidP="00BA737D">
      <w:pPr>
        <w:spacing w:after="0" w:line="240" w:lineRule="auto"/>
        <w:ind w:left="2268"/>
        <w:jc w:val="both"/>
        <w:rPr>
          <w:rFonts w:ascii="Times New Roman" w:hAnsi="Times New Roman" w:cs="Times New Roman"/>
        </w:rPr>
      </w:pPr>
      <w:r w:rsidRPr="001D13DA">
        <w:rPr>
          <w:rFonts w:ascii="Times New Roman" w:hAnsi="Times New Roman" w:cs="Times New Roman"/>
        </w:rPr>
        <w:t>1º) a utilização, pelo Poder Executivo, de valores correspondentes a depósitos judiciais e extrajudiciais de tributos e seus acessórios;</w:t>
      </w:r>
    </w:p>
    <w:p w14:paraId="50CAFE15" w14:textId="77777777" w:rsidR="006F380F" w:rsidRPr="001D13DA" w:rsidRDefault="006F380F" w:rsidP="00BA737D">
      <w:pPr>
        <w:spacing w:after="0" w:line="240" w:lineRule="auto"/>
        <w:ind w:left="2268"/>
        <w:jc w:val="both"/>
        <w:rPr>
          <w:rFonts w:ascii="Times New Roman" w:hAnsi="Times New Roman" w:cs="Times New Roman"/>
        </w:rPr>
      </w:pPr>
      <w:r w:rsidRPr="001D13DA">
        <w:rPr>
          <w:rFonts w:ascii="Times New Roman" w:hAnsi="Times New Roman" w:cs="Times New Roman"/>
        </w:rPr>
        <w:t xml:space="preserve">2º) a utilização, pelo Poder Executivo, de valores correspondentes a depósitos judiciais e extrajudiciais não tributários, mas em que o ente federado é parte interessada; </w:t>
      </w:r>
    </w:p>
    <w:p w14:paraId="16823ECD" w14:textId="77777777" w:rsidR="006F380F" w:rsidRPr="001D13DA" w:rsidRDefault="006F380F" w:rsidP="00BA737D">
      <w:pPr>
        <w:spacing w:after="0" w:line="240" w:lineRule="auto"/>
        <w:ind w:left="2268"/>
        <w:jc w:val="both"/>
        <w:rPr>
          <w:rFonts w:ascii="Times New Roman" w:hAnsi="Times New Roman" w:cs="Times New Roman"/>
        </w:rPr>
      </w:pPr>
      <w:r w:rsidRPr="001D13DA">
        <w:rPr>
          <w:rFonts w:ascii="Times New Roman" w:hAnsi="Times New Roman" w:cs="Times New Roman"/>
        </w:rPr>
        <w:t>3º) a utilização, pelo Poder Executivo, de valores correspondentes a depósitos judiciais de terceiros, ou seja, em que o ente federado não é parte interessada.</w:t>
      </w:r>
    </w:p>
    <w:p w14:paraId="1DB009C7" w14:textId="77777777" w:rsidR="006F380F" w:rsidRDefault="006F380F" w:rsidP="00BA737D">
      <w:pPr>
        <w:spacing w:after="0" w:line="360" w:lineRule="auto"/>
        <w:ind w:firstLine="1134"/>
        <w:jc w:val="both"/>
        <w:rPr>
          <w:rFonts w:ascii="Times New Roman" w:hAnsi="Times New Roman" w:cs="Times New Roman"/>
          <w:sz w:val="24"/>
          <w:szCs w:val="24"/>
        </w:rPr>
      </w:pPr>
    </w:p>
    <w:p w14:paraId="0573DFD4"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concluiu que a primeira hipótese teria previsão em legislação federal e já teria sido chancelada pela jurisprudência do STF no julgamento da ADI n.º 1.933. A segunda hipótese também encontraria previsão na legislação federal, especificamente nos arts. 2º e 3º da Lei complementar n.º 151/2015. Nada falou, porém, sobre a existência de chancela da corte. Já a terceira hipótese, seria inconstitucional por configurar expropriação indevida de patrimônio de terceiro.</w:t>
      </w:r>
    </w:p>
    <w:p w14:paraId="495E74E6"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julgamento mais recente das ADIs propostas contra as leis estaduais foi o da ADI n.º 5.365, proposta contra a </w:t>
      </w:r>
      <w:r w:rsidRPr="00D25389">
        <w:rPr>
          <w:rFonts w:ascii="Times New Roman" w:hAnsi="Times New Roman" w:cs="Times New Roman"/>
          <w:sz w:val="24"/>
          <w:szCs w:val="24"/>
        </w:rPr>
        <w:t xml:space="preserve">LC </w:t>
      </w:r>
      <w:r w:rsidR="00BA737D" w:rsidRPr="00D25389">
        <w:rPr>
          <w:rFonts w:ascii="Times New Roman" w:hAnsi="Times New Roman" w:cs="Times New Roman"/>
          <w:sz w:val="24"/>
          <w:szCs w:val="24"/>
        </w:rPr>
        <w:t>paraibana</w:t>
      </w:r>
      <w:r w:rsidR="00BA737D">
        <w:rPr>
          <w:rFonts w:ascii="Times New Roman" w:hAnsi="Times New Roman" w:cs="Times New Roman"/>
          <w:sz w:val="24"/>
          <w:szCs w:val="24"/>
        </w:rPr>
        <w:t xml:space="preserve"> </w:t>
      </w:r>
      <w:r w:rsidR="00BA737D" w:rsidRPr="00D25389">
        <w:rPr>
          <w:rFonts w:ascii="Times New Roman" w:hAnsi="Times New Roman" w:cs="Times New Roman"/>
          <w:sz w:val="24"/>
          <w:szCs w:val="24"/>
        </w:rPr>
        <w:t>n</w:t>
      </w:r>
      <w:r>
        <w:rPr>
          <w:rFonts w:ascii="Times New Roman" w:hAnsi="Times New Roman" w:cs="Times New Roman"/>
          <w:sz w:val="24"/>
          <w:szCs w:val="24"/>
        </w:rPr>
        <w:t>.</w:t>
      </w:r>
      <w:r w:rsidRPr="00D25389">
        <w:rPr>
          <w:rFonts w:ascii="Times New Roman" w:hAnsi="Times New Roman" w:cs="Times New Roman"/>
          <w:sz w:val="24"/>
          <w:szCs w:val="24"/>
        </w:rPr>
        <w:t>º 131/15</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Ele ocorreu apenas em 22/2/2023 e seu relator foi o Ministro Luís Roberto Barroso. Nesse julgamento, foi confirmado o entendimento de que a lei estadual incorria em inconstitucionalidade formal por desrespeitar a competência legislativa da União. Foi, inclusive, firmada tese nesse sentido: “</w:t>
      </w:r>
      <w:r w:rsidRPr="002C57DC">
        <w:rPr>
          <w:rFonts w:ascii="Times New Roman" w:hAnsi="Times New Roman" w:cs="Times New Roman"/>
          <w:sz w:val="24"/>
          <w:szCs w:val="24"/>
        </w:rPr>
        <w:t>É inconstitucional, por vício de competência, lei estadual que discipline a transferência de depósitos judiciais e extrajudiciais para o Poder Executivo</w:t>
      </w:r>
      <w:r>
        <w:rPr>
          <w:rFonts w:ascii="Times New Roman" w:hAnsi="Times New Roman" w:cs="Times New Roman"/>
          <w:sz w:val="24"/>
          <w:szCs w:val="24"/>
        </w:rPr>
        <w:t>”</w:t>
      </w:r>
      <w:r w:rsidRPr="002C57DC">
        <w:rPr>
          <w:rFonts w:ascii="Times New Roman" w:hAnsi="Times New Roman" w:cs="Times New Roman"/>
          <w:sz w:val="24"/>
          <w:szCs w:val="24"/>
        </w:rPr>
        <w:t>.</w:t>
      </w:r>
      <w:r>
        <w:rPr>
          <w:rFonts w:ascii="Times New Roman" w:hAnsi="Times New Roman" w:cs="Times New Roman"/>
          <w:sz w:val="24"/>
          <w:szCs w:val="24"/>
        </w:rPr>
        <w:t xml:space="preserve"> Mas o relator, embora tenha feito referência à distinção analítica apresentada pelo Ministro Gilmar Mendes no julgamento da ADI n.º 5.072, afirmou que deixaria para examinar a constitucionalidade material do uso dos depósitos pelo poder público no julgamento das ADIs n.º 5.361 e 5.463, propostas contra a LC n.º 151/2015, e da ADI n.º 5.679, proposta contra 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w:t>
      </w:r>
      <w:r>
        <w:rPr>
          <w:rFonts w:ascii="Times New Roman" w:hAnsi="Times New Roman" w:cs="Times New Roman"/>
          <w:sz w:val="24"/>
          <w:szCs w:val="24"/>
        </w:rPr>
        <w:t xml:space="preserve"> do ADCT. Apesar disso, o Ministro adiantou que a constitucionalidade do uso dos depósitos reclamaria ao menos duas providências a serem adotadas de maneira uniforme no país: a definição da entidade que deve atuar como depositária dos valores (poder público ou bancos) e a estruturação de fundos de reserva com vistas a garantir </w:t>
      </w:r>
      <w:r w:rsidRPr="005E0E44">
        <w:rPr>
          <w:rFonts w:ascii="Times New Roman" w:hAnsi="Times New Roman" w:cs="Times New Roman"/>
          <w:sz w:val="24"/>
          <w:szCs w:val="24"/>
        </w:rPr>
        <w:t>a existência de recursos disponíveis para cumprimento das ordens de restituição dos depósitos.</w:t>
      </w:r>
    </w:p>
    <w:p w14:paraId="47B76DD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ADI n.º 5.679, proposta contra 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CRFB</w:t>
      </w:r>
      <w:r>
        <w:rPr>
          <w:rFonts w:ascii="Times New Roman" w:hAnsi="Times New Roman" w:cs="Times New Roman"/>
          <w:sz w:val="24"/>
          <w:szCs w:val="24"/>
        </w:rPr>
        <w:t xml:space="preserve">, ainda não foi julgada em seu mérito. </w:t>
      </w:r>
      <w:r w:rsidR="00BA737D">
        <w:rPr>
          <w:rFonts w:ascii="Times New Roman" w:hAnsi="Times New Roman" w:cs="Times New Roman"/>
          <w:sz w:val="24"/>
          <w:szCs w:val="24"/>
        </w:rPr>
        <w:t xml:space="preserve">Mas, já em 7/6/2017, foi deferida tutela cautelar parcial apenas para </w:t>
      </w:r>
      <w:r w:rsidR="00BA737D" w:rsidRPr="00771247">
        <w:rPr>
          <w:rFonts w:ascii="Times New Roman" w:hAnsi="Times New Roman" w:cs="Times New Roman"/>
          <w:sz w:val="24"/>
          <w:szCs w:val="24"/>
        </w:rPr>
        <w:t>explicitar</w:t>
      </w:r>
      <w:r w:rsidR="00BA737D">
        <w:rPr>
          <w:rFonts w:ascii="Times New Roman" w:hAnsi="Times New Roman" w:cs="Times New Roman"/>
          <w:sz w:val="24"/>
          <w:szCs w:val="24"/>
        </w:rPr>
        <w:t xml:space="preserve"> </w:t>
      </w:r>
      <w:r w:rsidR="00BA737D" w:rsidRPr="00771247">
        <w:rPr>
          <w:rFonts w:ascii="Times New Roman" w:hAnsi="Times New Roman" w:cs="Times New Roman"/>
          <w:sz w:val="24"/>
          <w:szCs w:val="24"/>
        </w:rPr>
        <w:t xml:space="preserve">que a utilização dos recursos pelos Estados deve observar as seguintes condições: (i) prévia constituição do fundo garantidor, (ii) destinação exclusiva para quitação de precatórios em atraso até 25.3.2015, e (iii) exigência de que os pertinentes valores sejam transpostos das contas de </w:t>
      </w:r>
      <w:r w:rsidR="00BA737D" w:rsidRPr="00771247">
        <w:rPr>
          <w:rFonts w:ascii="Times New Roman" w:hAnsi="Times New Roman" w:cs="Times New Roman"/>
          <w:sz w:val="24"/>
          <w:szCs w:val="24"/>
        </w:rPr>
        <w:lastRenderedPageBreak/>
        <w:t>depósito diretamente para contas vinculadas ao pagamento de precatórios, sob a administração do Tribunal competente, afastando-se o trânsito de tais recursos pelas contas dos Tesouros estaduais e municipais</w:t>
      </w:r>
      <w:r w:rsidR="00BA737D">
        <w:rPr>
          <w:rFonts w:ascii="Times New Roman" w:hAnsi="Times New Roman" w:cs="Times New Roman"/>
          <w:sz w:val="24"/>
          <w:szCs w:val="24"/>
        </w:rPr>
        <w:t xml:space="preserve">. </w:t>
      </w:r>
    </w:p>
    <w:p w14:paraId="62FD226C"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houve, portanto, a suspensão dos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w:t>
      </w:r>
      <w:r>
        <w:rPr>
          <w:rFonts w:ascii="Times New Roman" w:hAnsi="Times New Roman" w:cs="Times New Roman"/>
          <w:sz w:val="24"/>
          <w:szCs w:val="24"/>
        </w:rPr>
        <w:t>do ADCT. O Ministro Relator, Luís Roberto Barroso, afirmou que o requerente não havia conseguido demonstrar que o fundo garantidor, tal como idealizado, seria incapaz de assegurar a solvabilidade do sistema e que haveria risco real de que os particulares não conseguiriam levantar seus depósitos no momento cabível. Desse modo, a seu ver, o simples fato de a norma prever o uso dos depósitos pelo poder público não é suficiente para configurar a inconstitucionalidade.</w:t>
      </w:r>
    </w:p>
    <w:p w14:paraId="241E8338" w14:textId="77777777" w:rsidR="005963D9" w:rsidRDefault="005963D9" w:rsidP="00BA737D">
      <w:pPr>
        <w:spacing w:after="0" w:line="360" w:lineRule="auto"/>
        <w:ind w:firstLine="709"/>
        <w:jc w:val="both"/>
        <w:rPr>
          <w:rFonts w:ascii="Times New Roman" w:hAnsi="Times New Roman" w:cs="Times New Roman"/>
          <w:sz w:val="24"/>
          <w:szCs w:val="24"/>
        </w:rPr>
      </w:pPr>
    </w:p>
    <w:p w14:paraId="419CCA18" w14:textId="77777777" w:rsidR="006F380F" w:rsidRPr="006C3B02" w:rsidRDefault="00663CF9" w:rsidP="00BA737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6F380F" w:rsidRPr="006C3B02">
        <w:rPr>
          <w:rFonts w:ascii="Times New Roman" w:hAnsi="Times New Roman" w:cs="Times New Roman"/>
          <w:sz w:val="24"/>
          <w:szCs w:val="24"/>
          <w:u w:val="single"/>
        </w:rPr>
        <w:t>.</w:t>
      </w:r>
      <w:r w:rsidR="006F380F">
        <w:rPr>
          <w:rFonts w:ascii="Times New Roman" w:hAnsi="Times New Roman" w:cs="Times New Roman"/>
          <w:sz w:val="24"/>
          <w:szCs w:val="24"/>
          <w:u w:val="single"/>
        </w:rPr>
        <w:t>1</w:t>
      </w:r>
      <w:r w:rsidR="006F380F" w:rsidRPr="006C3B02">
        <w:rPr>
          <w:rFonts w:ascii="Times New Roman" w:hAnsi="Times New Roman" w:cs="Times New Roman"/>
          <w:sz w:val="24"/>
          <w:szCs w:val="24"/>
          <w:u w:val="single"/>
        </w:rPr>
        <w:t>.</w:t>
      </w:r>
      <w:r w:rsidR="006F380F">
        <w:rPr>
          <w:rFonts w:ascii="Times New Roman" w:hAnsi="Times New Roman" w:cs="Times New Roman"/>
          <w:sz w:val="24"/>
          <w:szCs w:val="24"/>
          <w:u w:val="single"/>
        </w:rPr>
        <w:t>4</w:t>
      </w:r>
      <w:r w:rsidR="006F380F" w:rsidRPr="006C3B02">
        <w:rPr>
          <w:rFonts w:ascii="Times New Roman" w:hAnsi="Times New Roman" w:cs="Times New Roman"/>
          <w:sz w:val="24"/>
          <w:szCs w:val="24"/>
          <w:u w:val="single"/>
        </w:rPr>
        <w:t xml:space="preserve"> – </w:t>
      </w:r>
      <w:r w:rsidR="005B5854">
        <w:rPr>
          <w:rFonts w:ascii="Times New Roman" w:hAnsi="Times New Roman" w:cs="Times New Roman"/>
          <w:sz w:val="24"/>
          <w:szCs w:val="24"/>
          <w:u w:val="single"/>
        </w:rPr>
        <w:t>O</w:t>
      </w:r>
      <w:r w:rsidR="004C40CD">
        <w:rPr>
          <w:rFonts w:ascii="Times New Roman" w:hAnsi="Times New Roman" w:cs="Times New Roman"/>
          <w:sz w:val="24"/>
          <w:szCs w:val="24"/>
          <w:u w:val="single"/>
        </w:rPr>
        <w:t xml:space="preserve"> direito pessoal </w:t>
      </w:r>
      <w:r w:rsidR="005B5854">
        <w:rPr>
          <w:rFonts w:ascii="Times New Roman" w:hAnsi="Times New Roman" w:cs="Times New Roman"/>
          <w:sz w:val="24"/>
          <w:szCs w:val="24"/>
          <w:u w:val="single"/>
        </w:rPr>
        <w:t xml:space="preserve">de crédito </w:t>
      </w:r>
      <w:r w:rsidR="004C40CD">
        <w:rPr>
          <w:rFonts w:ascii="Times New Roman" w:hAnsi="Times New Roman" w:cs="Times New Roman"/>
          <w:sz w:val="24"/>
          <w:szCs w:val="24"/>
          <w:u w:val="single"/>
        </w:rPr>
        <w:t>dos depositantes</w:t>
      </w:r>
      <w:r w:rsidR="005B5854">
        <w:rPr>
          <w:rFonts w:ascii="Times New Roman" w:hAnsi="Times New Roman" w:cs="Times New Roman"/>
          <w:sz w:val="24"/>
          <w:szCs w:val="24"/>
          <w:u w:val="single"/>
        </w:rPr>
        <w:t xml:space="preserve"> é assegurado por medidas robustas</w:t>
      </w:r>
    </w:p>
    <w:p w14:paraId="3701D0E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tudo o que foi exposto, está claro que, no ordenamento jurídico brasileiro, os depósitos judiciais e administrativos de dinheiro transferem ao depositário o direito real de propriedade dos valores depositados; eles são espécies de depósito de coisas fungíveis. Sendo assim, a previsão normativa de determinados usos desses valores pelo ente depositário não é por si só inconstitucional. </w:t>
      </w:r>
    </w:p>
    <w:p w14:paraId="5BB769F5" w14:textId="77777777" w:rsidR="0000659A" w:rsidRPr="0000659A" w:rsidRDefault="0000659A" w:rsidP="00BA737D">
      <w:pPr>
        <w:spacing w:after="0" w:line="360" w:lineRule="auto"/>
        <w:ind w:firstLine="709"/>
        <w:jc w:val="both"/>
        <w:rPr>
          <w:rFonts w:ascii="Times New Roman" w:hAnsi="Times New Roman" w:cs="Times New Roman"/>
          <w:sz w:val="24"/>
          <w:szCs w:val="24"/>
        </w:rPr>
      </w:pPr>
      <w:r w:rsidRPr="0000659A">
        <w:rPr>
          <w:rFonts w:ascii="Times New Roman" w:hAnsi="Times New Roman" w:cs="Times New Roman"/>
          <w:sz w:val="24"/>
          <w:szCs w:val="24"/>
        </w:rPr>
        <w:t>É verdade que existem decisões judiciais em sentido contrário, mas essas decisões não merecem prevalecer: elas não são coerentes com o ordenamento jurídico. Se não fosse possível nenhum uso, os depósitos não transfeririam a propriedade; é contraditória em si uma propriedade que não permite nenhum uso em qualquer caso, mesmo quando não há outro direito incidente sobre o bem. Ademais, se não houvesse a transferência da propriedade, todo o sistema de reserva fracionária dos bancos seria inconstitucional.</w:t>
      </w:r>
    </w:p>
    <w:p w14:paraId="2668BF8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outro lado, os depósitos fazem nascer para os depositantes o direito pessoal de receber, no momento devido, valores da mesma qualidade e em igual quantidade dos depositados. E esse direito pessoal deve ser respeitado tanto quanto o direito real de propriedade. Portanto, a autorização normativa de uso dos valores pelos depositários deve vir acompanhada de medidas que assegurem a satisfação adequada desses direitos pessoais dos depositantes. Só assim tal autorização será constitucional.</w:t>
      </w:r>
    </w:p>
    <w:p w14:paraId="1B87C076" w14:textId="77777777" w:rsidR="006F380F" w:rsidRPr="007D7ADB" w:rsidRDefault="006F380F" w:rsidP="00BA737D">
      <w:pPr>
        <w:spacing w:after="0" w:line="360" w:lineRule="auto"/>
        <w:ind w:firstLine="709"/>
        <w:jc w:val="both"/>
        <w:rPr>
          <w:rFonts w:ascii="Times New Roman" w:hAnsi="Times New Roman" w:cs="Times New Roman"/>
          <w:sz w:val="24"/>
          <w:szCs w:val="24"/>
        </w:rPr>
      </w:pPr>
      <w:r w:rsidRPr="007D7ADB">
        <w:rPr>
          <w:rFonts w:ascii="Times New Roman" w:hAnsi="Times New Roman" w:cs="Times New Roman"/>
          <w:sz w:val="24"/>
          <w:szCs w:val="24"/>
        </w:rPr>
        <w:t>Assim se manifestou o Ministro Luís Roberto Barroso ao julgar questão de ordem nas ADIs n.º 4.357 e 4.425:</w:t>
      </w:r>
      <w:r w:rsidR="00BC0729" w:rsidRPr="007D7ADB">
        <w:rPr>
          <w:rFonts w:ascii="Times New Roman" w:hAnsi="Times New Roman" w:cs="Times New Roman"/>
          <w:sz w:val="24"/>
          <w:szCs w:val="24"/>
        </w:rPr>
        <w:t xml:space="preserve"> “</w:t>
      </w:r>
      <w:r w:rsidRPr="007D7ADB">
        <w:rPr>
          <w:rFonts w:ascii="Times New Roman" w:hAnsi="Times New Roman" w:cs="Times New Roman"/>
          <w:sz w:val="24"/>
          <w:szCs w:val="24"/>
        </w:rPr>
        <w:t>Eu acho que a única preocupação que se pode ter, mas isso não está em discussão, é pensar uma fórmula de o Estado, depois de sanar a inconstitucionalidade de não pagar os precatórios, repor a conta dos depósitos no mesmo nível em que estava.</w:t>
      </w:r>
      <w:r w:rsidR="007D7ADB" w:rsidRPr="007D7ADB">
        <w:rPr>
          <w:rFonts w:ascii="Times New Roman" w:hAnsi="Times New Roman" w:cs="Times New Roman"/>
          <w:sz w:val="24"/>
          <w:szCs w:val="24"/>
        </w:rPr>
        <w:t>”.</w:t>
      </w:r>
    </w:p>
    <w:p w14:paraId="41EF275D"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previsão do uso dos depósitos judiciais e administrativos feita pelos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w:t>
      </w:r>
      <w:r>
        <w:rPr>
          <w:rFonts w:ascii="Times New Roman" w:hAnsi="Times New Roman" w:cs="Times New Roman"/>
          <w:sz w:val="24"/>
          <w:szCs w:val="24"/>
        </w:rPr>
        <w:t xml:space="preserve">do ADCT está acompanhada de tais medidas. </w:t>
      </w:r>
    </w:p>
    <w:p w14:paraId="0EC5F2FB" w14:textId="77777777" w:rsidR="00BC0F89"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inciso I, estabeleceu-se que o Poder Público apenas pode utilizar 75% dos depósitos feitos nos processos judiciais e administrativos em que ele figura como parte. Esse limite é fruto de um processo histórico. A Lei n.º 10.482/2002 previa o uso de 50% dos depósitos judiciais e extrajudiciais feitos nos processos em que os Estados e do Distrito Federal fossem parte. Já em 2006, essa Lei foi revogada pela Lei n.º 11.429, que autorizava o uso apenas dos depósitos judiciais de tributos pelos estados-membros e Distrito Federal, mas no percentual de 70%, muito próximo dos 75%</w:t>
      </w:r>
      <w:r w:rsidR="00AB4768">
        <w:rPr>
          <w:rFonts w:ascii="Times New Roman" w:hAnsi="Times New Roman" w:cs="Times New Roman"/>
          <w:sz w:val="24"/>
          <w:szCs w:val="24"/>
        </w:rPr>
        <w:t xml:space="preserve"> </w:t>
      </w:r>
      <w:r>
        <w:rPr>
          <w:rFonts w:ascii="Times New Roman" w:hAnsi="Times New Roman" w:cs="Times New Roman"/>
          <w:sz w:val="24"/>
          <w:szCs w:val="24"/>
        </w:rPr>
        <w:t xml:space="preserve">previstos na recente norma constitucional. O mesmo percentual de 70% foi previsto pela Lei Complementar n.º 101/2015, mas a previsão foi elastecida, de modo a abranger os depósitos feitos em todos os processos judiciais e administrativos de que o Poder Público faça parte, tributários ou não. </w:t>
      </w:r>
    </w:p>
    <w:p w14:paraId="5B0732A4"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inciso II, estabeleceu-se que, no caso dos demais depósitos, o Poder Público apenas poderia utilizar 30%. </w:t>
      </w:r>
    </w:p>
    <w:p w14:paraId="3E2EA4E8" w14:textId="77777777" w:rsidR="006F380F" w:rsidRPr="00DE1613" w:rsidRDefault="006F380F" w:rsidP="00BA737D">
      <w:pPr>
        <w:spacing w:after="0" w:line="360" w:lineRule="auto"/>
        <w:ind w:firstLine="709"/>
        <w:jc w:val="both"/>
        <w:rPr>
          <w:rFonts w:ascii="Times New Roman" w:hAnsi="Times New Roman" w:cs="Times New Roman"/>
        </w:rPr>
      </w:pPr>
      <w:r>
        <w:rPr>
          <w:rFonts w:ascii="Times New Roman" w:hAnsi="Times New Roman" w:cs="Times New Roman"/>
          <w:sz w:val="24"/>
          <w:szCs w:val="24"/>
        </w:rPr>
        <w:t>Ambos os limites têm uma finalidade comum: garantir o fluxo de pagamento aos depositantes que o solicitem. Afora isso, ambos consideraram um elemento comum: o percentual dos depósitos que não são resgatados pelos depositantes mesmo quando eles saem vencedores e podem resgatá-los</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w:t>
      </w:r>
    </w:p>
    <w:p w14:paraId="1E791E44"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entanto, o limite do inciso I considera um elemento que não pode ser considerado pelo do inciso II: o percentual dos depósitos feitos nos processos em que o Poder Público figura como parte que normalmente fica com o Poder Público ao final dos processos.  Quando o processo é apenas entre particulares, não há essa possibilidade. É por isso que o limite do inciso I é significativamente maior. </w:t>
      </w:r>
    </w:p>
    <w:p w14:paraId="278AE335"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sinal, tais limites, de 75% e 25%, são apenas 5% maiores do que os previstos pela Lei Complementar n.º 119/2007 e pela redação original da Lei Complementar n.º 147/2013 do Estado do Rio de Janeiro para o uso, respectivamente, dos depósitos tributários e não tributários. E, de acordo com manifestações dos Ministros Luís Roberto Barroso e Luís Fux no julgamento de questões de ordem nas ADIs n.º 4.357 e 4.425, a experiência fluminense foi exitosa:</w:t>
      </w:r>
    </w:p>
    <w:p w14:paraId="163B2D31" w14:textId="77777777" w:rsidR="005963D9" w:rsidRDefault="005963D9" w:rsidP="00BA737D">
      <w:pPr>
        <w:spacing w:after="0" w:line="360" w:lineRule="auto"/>
        <w:ind w:firstLine="709"/>
        <w:jc w:val="both"/>
        <w:rPr>
          <w:rFonts w:ascii="Times New Roman" w:hAnsi="Times New Roman" w:cs="Times New Roman"/>
          <w:sz w:val="24"/>
          <w:szCs w:val="24"/>
        </w:rPr>
      </w:pPr>
    </w:p>
    <w:p w14:paraId="77416878" w14:textId="77777777" w:rsidR="006F380F" w:rsidRPr="0075587D" w:rsidRDefault="006F380F" w:rsidP="00BA737D">
      <w:pPr>
        <w:spacing w:after="0" w:line="240" w:lineRule="auto"/>
        <w:ind w:left="2268"/>
        <w:jc w:val="both"/>
        <w:rPr>
          <w:rFonts w:ascii="Times New Roman" w:hAnsi="Times New Roman" w:cs="Times New Roman"/>
        </w:rPr>
      </w:pPr>
      <w:r w:rsidRPr="0075587D">
        <w:rPr>
          <w:rFonts w:ascii="Times New Roman" w:hAnsi="Times New Roman" w:cs="Times New Roman"/>
        </w:rPr>
        <w:t>Ministro Barroso</w:t>
      </w:r>
    </w:p>
    <w:p w14:paraId="2351C23A" w14:textId="77777777" w:rsidR="006F380F" w:rsidRPr="0075587D" w:rsidRDefault="006F380F" w:rsidP="00BA737D">
      <w:pPr>
        <w:spacing w:after="0" w:line="240" w:lineRule="auto"/>
        <w:ind w:left="2268"/>
        <w:jc w:val="both"/>
        <w:rPr>
          <w:rFonts w:ascii="Times New Roman" w:hAnsi="Times New Roman" w:cs="Times New Roman"/>
        </w:rPr>
      </w:pPr>
      <w:r w:rsidRPr="0075587D">
        <w:rPr>
          <w:rFonts w:ascii="Times New Roman" w:hAnsi="Times New Roman" w:cs="Times New Roman"/>
        </w:rPr>
        <w:t xml:space="preserve">Eu, portanto, pedi ao Estado do Rio de Janeiro que me mandasse as planilhas de entrada e saída dos depósitos judiciais e encaminhei essas planilhas à Secretaria do </w:t>
      </w:r>
      <w:r w:rsidRPr="0075587D">
        <w:rPr>
          <w:rFonts w:ascii="Times New Roman" w:hAnsi="Times New Roman" w:cs="Times New Roman"/>
        </w:rPr>
        <w:lastRenderedPageBreak/>
        <w:t xml:space="preserve">Tesouro Nacional. E a resposta veio tranquilizadora: num período de três anos, somente em um único mês houve menos ingressos do que saída. Vale dizer, em todos os meses - ao longo de três anos - entrou mais dinheiro, para o sistema de depósitos judiciais, do que saiu; salvo um único mês em que houve uma variação para menos de 0,22%, o que leva à conclusão de que inexiste risco para o sistema na utilização desse recurso. </w:t>
      </w:r>
    </w:p>
    <w:p w14:paraId="1294DDA6" w14:textId="77777777" w:rsidR="006F380F" w:rsidRPr="0075587D" w:rsidRDefault="006F380F" w:rsidP="00BA737D">
      <w:pPr>
        <w:spacing w:after="0" w:line="240" w:lineRule="auto"/>
        <w:ind w:left="2268"/>
        <w:jc w:val="both"/>
        <w:rPr>
          <w:rFonts w:ascii="Times New Roman" w:hAnsi="Times New Roman" w:cs="Times New Roman"/>
        </w:rPr>
      </w:pPr>
      <w:r w:rsidRPr="0075587D">
        <w:rPr>
          <w:rFonts w:ascii="Times New Roman" w:hAnsi="Times New Roman" w:cs="Times New Roman"/>
        </w:rPr>
        <w:t>(...) esta lei permitiu a superação de um estado continuado de inconstitucionalidade e que inexiste risco para o sistema, segundo se deduziu dos cálculos feitos pela Secretaria do Tesouro Nacional. (...)</w:t>
      </w:r>
    </w:p>
    <w:p w14:paraId="7407F415" w14:textId="77777777" w:rsidR="006F380F" w:rsidRPr="006647D7" w:rsidRDefault="006F380F" w:rsidP="00BA737D">
      <w:pPr>
        <w:spacing w:after="0" w:line="240" w:lineRule="auto"/>
        <w:ind w:left="2268"/>
        <w:jc w:val="both"/>
        <w:rPr>
          <w:rFonts w:ascii="Times New Roman" w:hAnsi="Times New Roman" w:cs="Times New Roman"/>
        </w:rPr>
      </w:pPr>
      <w:r w:rsidRPr="0075587D">
        <w:rPr>
          <w:rFonts w:ascii="Times New Roman" w:hAnsi="Times New Roman" w:cs="Times New Roman"/>
        </w:rPr>
        <w:t xml:space="preserve">O Estado do Rio de Janeiro resolveu esse problema. É verdade que usando uma </w:t>
      </w:r>
      <w:r w:rsidRPr="006647D7">
        <w:rPr>
          <w:rFonts w:ascii="Times New Roman" w:hAnsi="Times New Roman" w:cs="Times New Roman"/>
        </w:rPr>
        <w:t>parcela dos depósitos judiciais não tributários. Mas eu acho que essa é uma possibilidade real que deu certo. O Rio de Janeiro está zerado de precatórios, há um Estado da Federação que conseguiu cumprir a Constituição. Isso não é desimportante, nem irrelevante. Agora, apenas para ficar claro, e terminar, Presidente: existem depósitos judiciais não tributários; estes não têm destinação legal prevista. O Rio de Janeiro editou uma lei estadual e previu que até 25% desse dinheiro podia pagar precatório. Sem nenhum comprometimento da solvabilidade do sistema, porque o sistema é superavitário, entra mais dinheiro do que sai. Mas essa é uma opção política que é recomendável para os Estados que já não tenham gasto indevidamente. Agora, os depósitos tributários, a lei estabelece que 70% desses valores têm que ser</w:t>
      </w:r>
      <w:r>
        <w:rPr>
          <w:rFonts w:ascii="Times New Roman" w:hAnsi="Times New Roman" w:cs="Times New Roman"/>
        </w:rPr>
        <w:t>.</w:t>
      </w:r>
      <w:r w:rsidRPr="006647D7">
        <w:rPr>
          <w:rFonts w:ascii="Times New Roman" w:hAnsi="Times New Roman" w:cs="Times New Roman"/>
        </w:rPr>
        <w:t>..</w:t>
      </w:r>
    </w:p>
    <w:p w14:paraId="702BAE1B" w14:textId="77777777" w:rsidR="006F380F" w:rsidRPr="006647D7" w:rsidRDefault="006F380F" w:rsidP="00BA737D">
      <w:pPr>
        <w:spacing w:after="0" w:line="240" w:lineRule="auto"/>
        <w:ind w:left="2268"/>
        <w:jc w:val="both"/>
        <w:rPr>
          <w:rFonts w:ascii="Times New Roman" w:hAnsi="Times New Roman" w:cs="Times New Roman"/>
        </w:rPr>
      </w:pPr>
      <w:r w:rsidRPr="006647D7">
        <w:rPr>
          <w:rFonts w:ascii="Times New Roman" w:hAnsi="Times New Roman" w:cs="Times New Roman"/>
        </w:rPr>
        <w:t>Ministro Fux</w:t>
      </w:r>
    </w:p>
    <w:p w14:paraId="56C331FA" w14:textId="77777777" w:rsidR="006F380F" w:rsidRPr="006647D7" w:rsidRDefault="006F380F" w:rsidP="00BA737D">
      <w:pPr>
        <w:spacing w:after="0" w:line="240" w:lineRule="auto"/>
        <w:ind w:left="2268"/>
        <w:jc w:val="both"/>
        <w:rPr>
          <w:rFonts w:ascii="Times New Roman" w:hAnsi="Times New Roman" w:cs="Times New Roman"/>
        </w:rPr>
      </w:pPr>
      <w:r w:rsidRPr="006647D7">
        <w:rPr>
          <w:rFonts w:ascii="Times New Roman" w:hAnsi="Times New Roman" w:cs="Times New Roman"/>
        </w:rPr>
        <w:t>Só uma intervenção rápida. É porque eu tive o cuidado de me informar sobre se esses depositantes - esses beneficiários dos depósitos - corriam algum risco de não receberem no momento oportuno. E fui informado, pela Presidência dos Tribunais que utilizam essa metodologia, que isso jamais poderá acontecer. Então, tem um efeito prático.</w:t>
      </w:r>
    </w:p>
    <w:p w14:paraId="19611A84" w14:textId="77777777" w:rsidR="006F380F" w:rsidRDefault="006F380F" w:rsidP="00BA737D">
      <w:pPr>
        <w:spacing w:after="0" w:line="360" w:lineRule="auto"/>
        <w:ind w:left="2268"/>
        <w:jc w:val="both"/>
        <w:rPr>
          <w:rFonts w:ascii="Times New Roman" w:hAnsi="Times New Roman" w:cs="Times New Roman"/>
          <w:sz w:val="24"/>
          <w:szCs w:val="24"/>
        </w:rPr>
      </w:pPr>
    </w:p>
    <w:p w14:paraId="3D42F380"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Ofício n.º GABPRES n.º 197, expedido </w:t>
      </w:r>
      <w:r w:rsidR="00970D37">
        <w:rPr>
          <w:rFonts w:ascii="Times New Roman" w:hAnsi="Times New Roman" w:cs="Times New Roman"/>
          <w:sz w:val="24"/>
          <w:szCs w:val="24"/>
        </w:rPr>
        <w:t xml:space="preserve">pelo </w:t>
      </w:r>
      <w:r>
        <w:rPr>
          <w:rFonts w:ascii="Times New Roman" w:hAnsi="Times New Roman" w:cs="Times New Roman"/>
          <w:sz w:val="24"/>
          <w:szCs w:val="24"/>
        </w:rPr>
        <w:t>TJRJ</w:t>
      </w:r>
      <w:r w:rsidR="00E10510">
        <w:rPr>
          <w:rFonts w:ascii="Times New Roman" w:hAnsi="Times New Roman" w:cs="Times New Roman"/>
          <w:sz w:val="24"/>
          <w:szCs w:val="24"/>
        </w:rPr>
        <w:t>, constante dos autos</w:t>
      </w:r>
      <w:r>
        <w:rPr>
          <w:rFonts w:ascii="Times New Roman" w:hAnsi="Times New Roman" w:cs="Times New Roman"/>
          <w:sz w:val="24"/>
          <w:szCs w:val="24"/>
        </w:rPr>
        <w:t xml:space="preserve"> do Pedido de Providências n.º 0007120-70.2013.2.00.0000, </w:t>
      </w:r>
      <w:r w:rsidR="00970D37">
        <w:rPr>
          <w:rFonts w:ascii="Times New Roman" w:hAnsi="Times New Roman" w:cs="Times New Roman"/>
          <w:sz w:val="24"/>
          <w:szCs w:val="24"/>
        </w:rPr>
        <w:t xml:space="preserve">em </w:t>
      </w:r>
      <w:r w:rsidR="006274AA">
        <w:rPr>
          <w:rFonts w:ascii="Times New Roman" w:hAnsi="Times New Roman" w:cs="Times New Roman"/>
          <w:sz w:val="24"/>
          <w:szCs w:val="24"/>
        </w:rPr>
        <w:t>trâmite</w:t>
      </w:r>
      <w:r w:rsidR="00970D37">
        <w:rPr>
          <w:rFonts w:ascii="Times New Roman" w:hAnsi="Times New Roman" w:cs="Times New Roman"/>
          <w:sz w:val="24"/>
          <w:szCs w:val="24"/>
        </w:rPr>
        <w:t xml:space="preserve"> no CNJ, </w:t>
      </w:r>
      <w:r>
        <w:rPr>
          <w:rFonts w:ascii="Times New Roman" w:hAnsi="Times New Roman" w:cs="Times New Roman"/>
          <w:sz w:val="24"/>
          <w:szCs w:val="24"/>
        </w:rPr>
        <w:t>confirma o ponto</w:t>
      </w:r>
      <w:r w:rsidR="00BF5D86">
        <w:rPr>
          <w:rStyle w:val="Refdenotaderodap"/>
          <w:rFonts w:ascii="Times New Roman" w:hAnsi="Times New Roman" w:cs="Times New Roman"/>
          <w:sz w:val="24"/>
          <w:szCs w:val="24"/>
        </w:rPr>
        <w:footnoteReference w:id="17"/>
      </w:r>
      <w:r w:rsidR="00BF5D86">
        <w:rPr>
          <w:rFonts w:ascii="Times New Roman" w:hAnsi="Times New Roman" w:cs="Times New Roman"/>
          <w:sz w:val="24"/>
          <w:szCs w:val="24"/>
        </w:rPr>
        <w:t>.</w:t>
      </w:r>
    </w:p>
    <w:p w14:paraId="4C843C28" w14:textId="77777777" w:rsidR="006F380F" w:rsidRPr="00F73AF0"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 estabelecer tais limites, a norma constitucional previu a constituição de fundo garantidor como medida de reforço para a garantia do fluxo de pagamento. Para a hipótese do inciso I, o fundo deve ser composto pela parcela restante dos depósitos judiciais. Para a hipótese do inciso II, o fundo deve ser composto pela parcela restante dos depósitos judiciais em montante equivalente aos recursos levantados. Embora as ECs não o digam expressamente, as parcelas restantes dos depósitos judiciais e administrativos devem permanecer sob a gestão dos bancos, e o </w:t>
      </w:r>
      <w:r w:rsidRPr="00C35C54">
        <w:rPr>
          <w:rFonts w:ascii="Times New Roman" w:hAnsi="Times New Roman" w:cs="Times New Roman"/>
          <w:i/>
          <w:iCs/>
          <w:sz w:val="24"/>
          <w:szCs w:val="24"/>
        </w:rPr>
        <w:t>spread</w:t>
      </w:r>
      <w:r>
        <w:rPr>
          <w:rFonts w:ascii="Times New Roman" w:hAnsi="Times New Roman" w:cs="Times New Roman"/>
          <w:sz w:val="24"/>
          <w:szCs w:val="24"/>
        </w:rPr>
        <w:t xml:space="preserve"> da parcela restante dos depósitos judiciais </w:t>
      </w:r>
      <w:r w:rsidR="003B0C27">
        <w:rPr>
          <w:rFonts w:ascii="Times New Roman" w:hAnsi="Times New Roman" w:cs="Times New Roman"/>
          <w:sz w:val="24"/>
          <w:szCs w:val="24"/>
        </w:rPr>
        <w:t>deverá ser</w:t>
      </w:r>
      <w:r>
        <w:rPr>
          <w:rFonts w:ascii="Times New Roman" w:hAnsi="Times New Roman" w:cs="Times New Roman"/>
          <w:sz w:val="24"/>
          <w:szCs w:val="24"/>
        </w:rPr>
        <w:t xml:space="preserve"> rateada com o Poder Judiciário.</w:t>
      </w:r>
    </w:p>
    <w:p w14:paraId="0804AF63"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Afora isso, de maneira a assegurar a continuidade no tempo da suficiência dos fundos garantidores, previu-se que a remuneração dos fundos deve ser normalmente a da Taxa Selic para títulos federais e que ela nunca pode ser inferior </w:t>
      </w:r>
      <w:r w:rsidRPr="00AD7BF5">
        <w:rPr>
          <w:rFonts w:ascii="Times New Roman" w:hAnsi="Times New Roman" w:cs="Times New Roman"/>
          <w:sz w:val="24"/>
          <w:szCs w:val="24"/>
        </w:rPr>
        <w:t>aos índices e critérios aplicados aos depósitos levantados</w:t>
      </w:r>
      <w:r>
        <w:rPr>
          <w:rFonts w:ascii="Times New Roman" w:hAnsi="Times New Roman" w:cs="Times New Roman"/>
          <w:sz w:val="24"/>
          <w:szCs w:val="24"/>
        </w:rPr>
        <w:t xml:space="preserve">. Em regra, os depósitos judiciais recebem a mesma remuneração da poupança (p. ex.: Lei n.º 9.289/1996, art. 11, § 1º). Esta, por sua vez, se divide em remuneração básica, equivalente à </w:t>
      </w:r>
      <w:r w:rsidRPr="006756A2">
        <w:rPr>
          <w:rFonts w:ascii="Times New Roman" w:hAnsi="Times New Roman" w:cs="Times New Roman"/>
          <w:sz w:val="24"/>
          <w:szCs w:val="24"/>
        </w:rPr>
        <w:t>Taxa Referencial</w:t>
      </w:r>
      <w:r>
        <w:rPr>
          <w:rFonts w:ascii="Times New Roman" w:hAnsi="Times New Roman" w:cs="Times New Roman"/>
          <w:sz w:val="24"/>
          <w:szCs w:val="24"/>
        </w:rPr>
        <w:t xml:space="preserve"> (TR), e em</w:t>
      </w:r>
      <w:r w:rsidRPr="006756A2">
        <w:rPr>
          <w:rFonts w:ascii="Times New Roman" w:hAnsi="Times New Roman" w:cs="Times New Roman"/>
          <w:sz w:val="24"/>
          <w:szCs w:val="24"/>
        </w:rPr>
        <w:t xml:space="preserve"> remuneração adicional, equivalente a 0,5% ao mês, caso a taxa Selic seja superior a 8,5% ao ano, ou </w:t>
      </w:r>
      <w:r>
        <w:rPr>
          <w:rFonts w:ascii="Times New Roman" w:hAnsi="Times New Roman" w:cs="Times New Roman"/>
          <w:sz w:val="24"/>
          <w:szCs w:val="24"/>
        </w:rPr>
        <w:t>a</w:t>
      </w:r>
      <w:r w:rsidRPr="006756A2">
        <w:rPr>
          <w:rFonts w:ascii="Times New Roman" w:hAnsi="Times New Roman" w:cs="Times New Roman"/>
          <w:sz w:val="24"/>
          <w:szCs w:val="24"/>
        </w:rPr>
        <w:t xml:space="preserve"> 70% da taxa Selic, nos demais casos.</w:t>
      </w:r>
      <w:r w:rsidR="00AB4768">
        <w:rPr>
          <w:rFonts w:ascii="Times New Roman" w:hAnsi="Times New Roman" w:cs="Times New Roman"/>
          <w:sz w:val="24"/>
          <w:szCs w:val="24"/>
        </w:rPr>
        <w:t xml:space="preserve"> </w:t>
      </w:r>
      <w:r w:rsidR="007717F8">
        <w:rPr>
          <w:rFonts w:ascii="Times New Roman" w:hAnsi="Times New Roman" w:cs="Times New Roman"/>
          <w:sz w:val="24"/>
          <w:szCs w:val="24"/>
        </w:rPr>
        <w:t>Assim</w:t>
      </w:r>
      <w:r>
        <w:rPr>
          <w:rFonts w:ascii="Times New Roman" w:hAnsi="Times New Roman" w:cs="Times New Roman"/>
          <w:sz w:val="24"/>
          <w:szCs w:val="24"/>
        </w:rPr>
        <w:t>, além de nunca poder ser inferior, a remuneração dos fundos garantidores, equivalente à integralidade da Taxa Selic, é normalmente maior do que a remuneração dos depósitos judiciais. Isso dá ainda mais garantia de que eles serão suficientes para garantir o levantamento dos valores pelos depositantes</w:t>
      </w:r>
      <w:r w:rsidR="009A043E">
        <w:rPr>
          <w:rFonts w:ascii="Times New Roman" w:hAnsi="Times New Roman" w:cs="Times New Roman"/>
          <w:sz w:val="24"/>
          <w:szCs w:val="24"/>
        </w:rPr>
        <w:t>.</w:t>
      </w:r>
    </w:p>
    <w:p w14:paraId="36C92F2C"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propósito, a relativamente baixa remuneração de tais depósitos levou a FGV a defender, em estudo de 2021</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o uso deles pelo Poder Público como uma medida adequada para a resolução do problema dos precatórios. Isso porque as dívidas constantes dos precatórios são remuneradas por taxas maiores. O Poder Público estaria trocando dívidas com taxas maiores por dívidas com taxas menores. De acordo com os cálculos da FGV, essa alternativa poderia reduzir de 15% a 49% o valor desembolsado pelos entes públicos. Evidentemente, isso melhoraria a situação econômica dos entes públicos, dando segurança aos depositantes; se o uso dos depósitos piorasse a situação econômica dos entes, o risco para os depositantes seria maior.</w:t>
      </w:r>
    </w:p>
    <w:p w14:paraId="5F238C64"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Adicionalmente, o § 3º do art. 101 do ADCT, inserido pela EC n.º 99/2017, prevê que os depósitos a serem utilizados para o pagamento de precatórios devem ser transferidos diretamente da instituição financeira para a conta especial destinada a tal pagamento; segundo o </w:t>
      </w:r>
      <w:r>
        <w:rPr>
          <w:rFonts w:ascii="Times New Roman" w:hAnsi="Times New Roman" w:cs="Times New Roman"/>
          <w:i/>
          <w:iCs/>
          <w:sz w:val="24"/>
          <w:szCs w:val="24"/>
        </w:rPr>
        <w:t xml:space="preserve">caput </w:t>
      </w:r>
      <w:r>
        <w:rPr>
          <w:rFonts w:ascii="Times New Roman" w:hAnsi="Times New Roman" w:cs="Times New Roman"/>
          <w:sz w:val="24"/>
          <w:szCs w:val="24"/>
        </w:rPr>
        <w:t>do art. 100 do ADCT, essa conta é administrada pelo Tribunal de Justiça. Com tal previsão, garantiu-se que os depósitos serão utilizados exclusivamente para o pagamento de precatórios.</w:t>
      </w:r>
    </w:p>
    <w:p w14:paraId="71CDB742" w14:textId="77777777" w:rsidR="006F380F" w:rsidRPr="001F6455"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Ademais, a possibilidade de utilização dos depósitos para pagamentos dos precatórios tem prazo para acabar: 31 de dezembro de 2029. É o que prevê o </w:t>
      </w:r>
      <w:r>
        <w:rPr>
          <w:rFonts w:ascii="Times New Roman" w:hAnsi="Times New Roman" w:cs="Times New Roman"/>
          <w:i/>
          <w:iCs/>
          <w:sz w:val="24"/>
          <w:szCs w:val="24"/>
        </w:rPr>
        <w:t xml:space="preserve">caput </w:t>
      </w:r>
      <w:r w:rsidRPr="00C4027C">
        <w:rPr>
          <w:rFonts w:ascii="Times New Roman" w:hAnsi="Times New Roman" w:cs="Times New Roman"/>
          <w:sz w:val="24"/>
          <w:szCs w:val="24"/>
        </w:rPr>
        <w:t>do art</w:t>
      </w:r>
      <w:r>
        <w:rPr>
          <w:rFonts w:ascii="Times New Roman" w:hAnsi="Times New Roman" w:cs="Times New Roman"/>
          <w:sz w:val="24"/>
          <w:szCs w:val="24"/>
        </w:rPr>
        <w:t xml:space="preserve">. 101 do ADCT.  </w:t>
      </w:r>
      <w:r w:rsidRPr="00BC0F89">
        <w:rPr>
          <w:rFonts w:ascii="Times New Roman" w:hAnsi="Times New Roman" w:cs="Times New Roman"/>
          <w:sz w:val="24"/>
          <w:szCs w:val="24"/>
        </w:rPr>
        <w:t>É b</w:t>
      </w:r>
      <w:r w:rsidR="001F1967">
        <w:rPr>
          <w:rFonts w:ascii="Times New Roman" w:hAnsi="Times New Roman" w:cs="Times New Roman"/>
          <w:sz w:val="24"/>
          <w:szCs w:val="24"/>
        </w:rPr>
        <w:t>em</w:t>
      </w:r>
      <w:r w:rsidRPr="00BC0F89">
        <w:rPr>
          <w:rFonts w:ascii="Times New Roman" w:hAnsi="Times New Roman" w:cs="Times New Roman"/>
          <w:sz w:val="24"/>
          <w:szCs w:val="24"/>
        </w:rPr>
        <w:t xml:space="preserve"> possível que até lá o problema dos precatórios esteja </w:t>
      </w:r>
      <w:r w:rsidR="00EE48C1" w:rsidRPr="00BC0F89">
        <w:rPr>
          <w:rFonts w:ascii="Times New Roman" w:hAnsi="Times New Roman" w:cs="Times New Roman"/>
          <w:sz w:val="24"/>
          <w:szCs w:val="24"/>
        </w:rPr>
        <w:t xml:space="preserve">com </w:t>
      </w:r>
      <w:r w:rsidRPr="00BC0F89">
        <w:rPr>
          <w:rFonts w:ascii="Times New Roman" w:hAnsi="Times New Roman" w:cs="Times New Roman"/>
          <w:sz w:val="24"/>
          <w:szCs w:val="24"/>
        </w:rPr>
        <w:t xml:space="preserve">a resolução </w:t>
      </w:r>
      <w:r w:rsidR="001F1967">
        <w:rPr>
          <w:rFonts w:ascii="Times New Roman" w:hAnsi="Times New Roman" w:cs="Times New Roman"/>
          <w:sz w:val="24"/>
          <w:szCs w:val="24"/>
        </w:rPr>
        <w:t xml:space="preserve">bastante </w:t>
      </w:r>
      <w:r w:rsidRPr="00BC0F89">
        <w:rPr>
          <w:rFonts w:ascii="Times New Roman" w:hAnsi="Times New Roman" w:cs="Times New Roman"/>
          <w:sz w:val="24"/>
          <w:szCs w:val="24"/>
        </w:rPr>
        <w:t xml:space="preserve">avançada. </w:t>
      </w:r>
      <w:r>
        <w:rPr>
          <w:rFonts w:ascii="Times New Roman" w:hAnsi="Times New Roman" w:cs="Times New Roman"/>
          <w:sz w:val="24"/>
          <w:szCs w:val="24"/>
        </w:rPr>
        <w:t xml:space="preserve">Em notícia veiculada no ano de 2019, o jornal Valor Econômico informou que haveria mais de 500 bilhões de reais em depósitos judiciais: esse montante inclui também os depósitos feitos nas justiças federais, mas não há dúvidas de que os demais depósitos representam parcela significativa dele. </w:t>
      </w:r>
      <w:r w:rsidRPr="001F6455">
        <w:rPr>
          <w:rFonts w:ascii="Times New Roman" w:hAnsi="Times New Roman" w:cs="Times New Roman"/>
          <w:sz w:val="24"/>
          <w:szCs w:val="24"/>
        </w:rPr>
        <w:t>E o referido estudo da FGV, de 2021, informou que estados e municípios devem cerca de 104 bilhões de reais em precatórios.</w:t>
      </w:r>
    </w:p>
    <w:p w14:paraId="7BFC647F"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Por fim, a transferência ao Poder Público da responsabilidade final pelo pagamento aos depositantes dos valores equivalentes aos depósitos utilizados lhes dá maior garantia de solvabilidade. Afinal, os entes federados não se sujeitam aos mesmos riscos de insolvabilidade dos agentes do mercado: suas receitas são derivadas das atividades econômicas de todos os agentes privados</w:t>
      </w:r>
      <w:r w:rsidR="0045248A">
        <w:rPr>
          <w:rFonts w:ascii="Times New Roman" w:hAnsi="Times New Roman" w:cs="Times New Roman"/>
          <w:sz w:val="24"/>
          <w:szCs w:val="24"/>
        </w:rPr>
        <w:t xml:space="preserve"> (</w:t>
      </w:r>
      <w:r w:rsidR="004D72D8">
        <w:rPr>
          <w:rFonts w:ascii="Times New Roman" w:hAnsi="Times New Roman" w:cs="Times New Roman"/>
          <w:sz w:val="24"/>
          <w:szCs w:val="24"/>
        </w:rPr>
        <w:t>BATISTA JÚNIOR e col., 2016</w:t>
      </w:r>
      <w:r w:rsidR="0045248A">
        <w:rPr>
          <w:rFonts w:ascii="Times New Roman" w:hAnsi="Times New Roman" w:cs="Times New Roman"/>
          <w:sz w:val="24"/>
          <w:szCs w:val="24"/>
        </w:rPr>
        <w:t>)</w:t>
      </w:r>
      <w:r>
        <w:rPr>
          <w:rFonts w:ascii="Times New Roman" w:hAnsi="Times New Roman" w:cs="Times New Roman"/>
          <w:sz w:val="24"/>
          <w:szCs w:val="24"/>
        </w:rPr>
        <w:t>.</w:t>
      </w:r>
      <w:r w:rsidR="00AB4768">
        <w:rPr>
          <w:rFonts w:ascii="Times New Roman" w:hAnsi="Times New Roman" w:cs="Times New Roman"/>
          <w:sz w:val="24"/>
          <w:szCs w:val="24"/>
        </w:rPr>
        <w:t xml:space="preserve"> </w:t>
      </w:r>
      <w:r>
        <w:rPr>
          <w:rFonts w:ascii="Times New Roman" w:hAnsi="Times New Roman" w:cs="Times New Roman"/>
          <w:sz w:val="24"/>
          <w:szCs w:val="24"/>
        </w:rPr>
        <w:t xml:space="preserve">Eles não podem falir. Aliás, por estarem atentos a isso, os próprios bancos estão montando carteiras de precatórios: eles </w:t>
      </w:r>
      <w:r w:rsidRPr="007B5D12">
        <w:rPr>
          <w:rFonts w:ascii="Times New Roman" w:hAnsi="Times New Roman" w:cs="Times New Roman"/>
          <w:sz w:val="24"/>
          <w:szCs w:val="24"/>
        </w:rPr>
        <w:t>têm ciência de que receberão os valores</w:t>
      </w:r>
      <w:r w:rsidR="003A2C43" w:rsidRPr="007B5D12">
        <w:rPr>
          <w:rFonts w:ascii="Times New Roman" w:hAnsi="Times New Roman" w:cs="Times New Roman"/>
          <w:sz w:val="24"/>
          <w:szCs w:val="24"/>
        </w:rPr>
        <w:t xml:space="preserve"> (</w:t>
      </w:r>
      <w:r w:rsidR="003A2C43" w:rsidRPr="007B5D12">
        <w:rPr>
          <w:rStyle w:val="yiv4152746728contentpasted0"/>
          <w:rFonts w:ascii="Times New Roman" w:hAnsi="Times New Roman" w:cs="Times New Roman"/>
          <w:color w:val="000000"/>
          <w:sz w:val="24"/>
          <w:szCs w:val="24"/>
        </w:rPr>
        <w:t>SCAFF, 2019)</w:t>
      </w:r>
      <w:r w:rsidRPr="007B5D12">
        <w:rPr>
          <w:rFonts w:ascii="Times New Roman" w:hAnsi="Times New Roman" w:cs="Times New Roman"/>
          <w:sz w:val="24"/>
          <w:szCs w:val="24"/>
        </w:rPr>
        <w:t>.</w:t>
      </w:r>
      <w:r w:rsidR="00AB4768">
        <w:rPr>
          <w:rFonts w:ascii="Times New Roman" w:hAnsi="Times New Roman" w:cs="Times New Roman"/>
          <w:sz w:val="24"/>
          <w:szCs w:val="24"/>
        </w:rPr>
        <w:t xml:space="preserve"> </w:t>
      </w:r>
      <w:r>
        <w:rPr>
          <w:rFonts w:ascii="Times New Roman" w:hAnsi="Times New Roman" w:cs="Times New Roman"/>
          <w:sz w:val="24"/>
          <w:szCs w:val="24"/>
        </w:rPr>
        <w:t>Por outro lado, os bancos podem falir. E, quando isso ocorre, os depositantes não têm maiores garantias de que receberão os valores depositados. Tais valores passam a incorporar a massa falida e concorrem com os demais créditos quirografários; eles não podem ser objeto de pedido de restituição</w:t>
      </w:r>
      <w:r w:rsidR="00A007AF">
        <w:rPr>
          <w:rFonts w:ascii="Times New Roman" w:hAnsi="Times New Roman" w:cs="Times New Roman"/>
          <w:sz w:val="24"/>
          <w:szCs w:val="24"/>
        </w:rPr>
        <w:t>:</w:t>
      </w:r>
    </w:p>
    <w:p w14:paraId="1CA8505A" w14:textId="77777777" w:rsidR="00A007AF" w:rsidRDefault="00A007AF" w:rsidP="00BA737D">
      <w:pPr>
        <w:spacing w:after="0" w:line="360" w:lineRule="auto"/>
        <w:ind w:firstLine="709"/>
        <w:jc w:val="both"/>
        <w:rPr>
          <w:rFonts w:ascii="Times New Roman" w:hAnsi="Times New Roman" w:cs="Times New Roman"/>
          <w:sz w:val="24"/>
          <w:szCs w:val="24"/>
        </w:rPr>
      </w:pPr>
    </w:p>
    <w:p w14:paraId="001F5C0C" w14:textId="77777777" w:rsidR="00A007AF" w:rsidRDefault="00A007AF" w:rsidP="00BA737D">
      <w:pPr>
        <w:spacing w:after="0" w:line="240" w:lineRule="auto"/>
        <w:ind w:left="2268"/>
        <w:jc w:val="both"/>
        <w:rPr>
          <w:rFonts w:ascii="Times New Roman" w:hAnsi="Times New Roman" w:cs="Times New Roman"/>
        </w:rPr>
      </w:pPr>
      <w:r w:rsidRPr="001F6455">
        <w:rPr>
          <w:rFonts w:ascii="Times New Roman" w:hAnsi="Times New Roman" w:cs="Times New Roman"/>
        </w:rPr>
        <w:t xml:space="preserve">EMENTA: (...) 3. O depósito bancário não se equipara às hipóteses em que o devedor ostenta a condição de mero detentor ou custodiante do bem, hipóteses fáticas que atraem a incidência do art. 85 da LFRE. 4. Nos contratos de depósito bancário, ocorre a transferência da propriedade do bem para a instituição financeira, ocupando o depositante a posição de credor dos valores correspondentes. Doutrina e precedentes. 5. A natureza creditícia da relação existente entre a recorrente e a instituição financeira exige que o montante impugnado se sujeite aos efeitos da execução concursal, em respeito ao </w:t>
      </w:r>
      <w:r w:rsidRPr="00BA737D">
        <w:rPr>
          <w:rFonts w:ascii="Times New Roman" w:hAnsi="Times New Roman" w:cs="Times New Roman"/>
          <w:i/>
        </w:rPr>
        <w:t>par conditio</w:t>
      </w:r>
      <w:r w:rsidR="00BA737D">
        <w:rPr>
          <w:rFonts w:ascii="Times New Roman" w:hAnsi="Times New Roman" w:cs="Times New Roman"/>
          <w:i/>
        </w:rPr>
        <w:t xml:space="preserve"> </w:t>
      </w:r>
      <w:r w:rsidRPr="00BA737D">
        <w:rPr>
          <w:rFonts w:ascii="Times New Roman" w:hAnsi="Times New Roman" w:cs="Times New Roman"/>
          <w:i/>
        </w:rPr>
        <w:t>creditorum</w:t>
      </w:r>
      <w:r w:rsidRPr="001F6455">
        <w:rPr>
          <w:rFonts w:ascii="Times New Roman" w:hAnsi="Times New Roman" w:cs="Times New Roman"/>
        </w:rPr>
        <w:t xml:space="preserve">. 6. A solicitação de resgate dos certificados de depósito objeto da presente irresignação não tem como efeito a alteração da natureza jurídica da relação existente entre as partes. Se a instituição bancária não procedeu à disponibilização do montante no prazo que assinalara, a consequência jurídica decorrente é a caracterização da mora, e não a extinção automática dos contratos. </w:t>
      </w:r>
      <w:r>
        <w:rPr>
          <w:rFonts w:ascii="Times New Roman" w:hAnsi="Times New Roman" w:cs="Times New Roman"/>
        </w:rPr>
        <w:t>(...)</w:t>
      </w:r>
      <w:r w:rsidRPr="001F6455">
        <w:rPr>
          <w:rFonts w:ascii="Times New Roman" w:hAnsi="Times New Roman" w:cs="Times New Roman"/>
        </w:rPr>
        <w:t xml:space="preserve"> (</w:t>
      </w:r>
      <w:r w:rsidR="00284B85">
        <w:rPr>
          <w:rFonts w:ascii="Times New Roman" w:hAnsi="Times New Roman" w:cs="Times New Roman"/>
        </w:rPr>
        <w:t xml:space="preserve">STJ, </w:t>
      </w:r>
      <w:r w:rsidRPr="001F6455">
        <w:rPr>
          <w:rFonts w:ascii="Times New Roman" w:hAnsi="Times New Roman" w:cs="Times New Roman"/>
        </w:rPr>
        <w:t>REsp n. 1.801.031/SP, rel</w:t>
      </w:r>
      <w:r>
        <w:rPr>
          <w:rFonts w:ascii="Times New Roman" w:hAnsi="Times New Roman" w:cs="Times New Roman"/>
        </w:rPr>
        <w:t>.</w:t>
      </w:r>
      <w:r w:rsidRPr="001F6455">
        <w:rPr>
          <w:rFonts w:ascii="Times New Roman" w:hAnsi="Times New Roman" w:cs="Times New Roman"/>
        </w:rPr>
        <w:t xml:space="preserve"> Min</w:t>
      </w:r>
      <w:r>
        <w:rPr>
          <w:rFonts w:ascii="Times New Roman" w:hAnsi="Times New Roman" w:cs="Times New Roman"/>
        </w:rPr>
        <w:t>.</w:t>
      </w:r>
      <w:r w:rsidRPr="001F6455">
        <w:rPr>
          <w:rFonts w:ascii="Times New Roman" w:hAnsi="Times New Roman" w:cs="Times New Roman"/>
        </w:rPr>
        <w:t xml:space="preserve"> Nancy Andrighi, Terceira Turma, julgado em 4/6/2019, DJe de 7/6/2019)</w:t>
      </w:r>
    </w:p>
    <w:p w14:paraId="4E1AF98C" w14:textId="77777777" w:rsidR="00A007AF" w:rsidRDefault="00A007AF" w:rsidP="00BA737D">
      <w:pPr>
        <w:spacing w:after="0" w:line="360" w:lineRule="auto"/>
        <w:ind w:left="2268"/>
        <w:jc w:val="both"/>
        <w:rPr>
          <w:rFonts w:ascii="Times New Roman" w:hAnsi="Times New Roman" w:cs="Times New Roman"/>
          <w:sz w:val="24"/>
          <w:szCs w:val="24"/>
        </w:rPr>
      </w:pPr>
    </w:p>
    <w:p w14:paraId="7BE44ABF" w14:textId="77777777" w:rsidR="00932891" w:rsidRPr="006C3B02" w:rsidRDefault="00932891" w:rsidP="00BA737D">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Pr="006C3B02">
        <w:rPr>
          <w:rFonts w:ascii="Times New Roman" w:hAnsi="Times New Roman" w:cs="Times New Roman"/>
          <w:sz w:val="24"/>
          <w:szCs w:val="24"/>
          <w:u w:val="single"/>
        </w:rPr>
        <w:t>.</w:t>
      </w:r>
      <w:r>
        <w:rPr>
          <w:rFonts w:ascii="Times New Roman" w:hAnsi="Times New Roman" w:cs="Times New Roman"/>
          <w:sz w:val="24"/>
          <w:szCs w:val="24"/>
          <w:u w:val="single"/>
        </w:rPr>
        <w:t>1</w:t>
      </w:r>
      <w:r w:rsidRPr="006C3B02">
        <w:rPr>
          <w:rFonts w:ascii="Times New Roman" w:hAnsi="Times New Roman" w:cs="Times New Roman"/>
          <w:sz w:val="24"/>
          <w:szCs w:val="24"/>
          <w:u w:val="single"/>
        </w:rPr>
        <w:t>.</w:t>
      </w:r>
      <w:r>
        <w:rPr>
          <w:rFonts w:ascii="Times New Roman" w:hAnsi="Times New Roman" w:cs="Times New Roman"/>
          <w:sz w:val="24"/>
          <w:szCs w:val="24"/>
          <w:u w:val="single"/>
        </w:rPr>
        <w:t>5</w:t>
      </w:r>
      <w:r w:rsidRPr="006C3B02">
        <w:rPr>
          <w:rFonts w:ascii="Times New Roman" w:hAnsi="Times New Roman" w:cs="Times New Roman"/>
          <w:sz w:val="24"/>
          <w:szCs w:val="24"/>
          <w:u w:val="single"/>
        </w:rPr>
        <w:t xml:space="preserve"> – </w:t>
      </w:r>
      <w:r w:rsidR="005B5854">
        <w:rPr>
          <w:rFonts w:ascii="Times New Roman" w:hAnsi="Times New Roman" w:cs="Times New Roman"/>
          <w:sz w:val="24"/>
          <w:szCs w:val="24"/>
          <w:u w:val="single"/>
        </w:rPr>
        <w:t>O uso dos depósitos não tende a abolir o</w:t>
      </w:r>
      <w:r>
        <w:rPr>
          <w:rFonts w:ascii="Times New Roman" w:hAnsi="Times New Roman" w:cs="Times New Roman"/>
          <w:sz w:val="24"/>
          <w:szCs w:val="24"/>
          <w:u w:val="single"/>
        </w:rPr>
        <w:t xml:space="preserve"> direito fundamental de propriedade</w:t>
      </w:r>
    </w:p>
    <w:p w14:paraId="00147647" w14:textId="77777777" w:rsidR="004857EE" w:rsidRDefault="001A67D7"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w:t>
      </w:r>
      <w:r>
        <w:rPr>
          <w:rFonts w:ascii="Times New Roman" w:hAnsi="Times New Roman" w:cs="Times New Roman"/>
          <w:sz w:val="24"/>
          <w:szCs w:val="24"/>
        </w:rPr>
        <w:t>do ADCT decorrem de emenda</w:t>
      </w:r>
      <w:r w:rsidR="00BA737D">
        <w:rPr>
          <w:rFonts w:ascii="Times New Roman" w:hAnsi="Times New Roman" w:cs="Times New Roman"/>
          <w:sz w:val="24"/>
          <w:szCs w:val="24"/>
        </w:rPr>
        <w:t xml:space="preserve"> </w:t>
      </w:r>
      <w:r>
        <w:rPr>
          <w:rFonts w:ascii="Times New Roman" w:hAnsi="Times New Roman" w:cs="Times New Roman"/>
          <w:sz w:val="24"/>
          <w:szCs w:val="24"/>
        </w:rPr>
        <w:t>constituciona</w:t>
      </w:r>
      <w:r w:rsidR="0078454B">
        <w:rPr>
          <w:rFonts w:ascii="Times New Roman" w:hAnsi="Times New Roman" w:cs="Times New Roman"/>
          <w:sz w:val="24"/>
          <w:szCs w:val="24"/>
        </w:rPr>
        <w:t>l</w:t>
      </w:r>
      <w:r>
        <w:rPr>
          <w:rFonts w:ascii="Times New Roman" w:hAnsi="Times New Roman" w:cs="Times New Roman"/>
          <w:sz w:val="24"/>
          <w:szCs w:val="24"/>
        </w:rPr>
        <w:t xml:space="preserve">. </w:t>
      </w:r>
      <w:r w:rsidR="00A7762C">
        <w:rPr>
          <w:rFonts w:ascii="Times New Roman" w:hAnsi="Times New Roman" w:cs="Times New Roman"/>
          <w:sz w:val="24"/>
          <w:szCs w:val="24"/>
        </w:rPr>
        <w:t>Desse modo,</w:t>
      </w:r>
      <w:r>
        <w:rPr>
          <w:rFonts w:ascii="Times New Roman" w:hAnsi="Times New Roman" w:cs="Times New Roman"/>
          <w:sz w:val="24"/>
          <w:szCs w:val="24"/>
        </w:rPr>
        <w:t xml:space="preserve"> eles apenas poderiam ser declarad</w:t>
      </w:r>
      <w:r w:rsidR="0078454B">
        <w:rPr>
          <w:rFonts w:ascii="Times New Roman" w:hAnsi="Times New Roman" w:cs="Times New Roman"/>
          <w:sz w:val="24"/>
          <w:szCs w:val="24"/>
        </w:rPr>
        <w:t xml:space="preserve">os </w:t>
      </w:r>
      <w:r>
        <w:rPr>
          <w:rFonts w:ascii="Times New Roman" w:hAnsi="Times New Roman" w:cs="Times New Roman"/>
          <w:sz w:val="24"/>
          <w:szCs w:val="24"/>
        </w:rPr>
        <w:t xml:space="preserve">materialmente inconstitucionais se perturbassem o direito </w:t>
      </w:r>
      <w:r w:rsidR="003861E0">
        <w:rPr>
          <w:rFonts w:ascii="Times New Roman" w:hAnsi="Times New Roman" w:cs="Times New Roman"/>
          <w:sz w:val="24"/>
          <w:szCs w:val="24"/>
        </w:rPr>
        <w:t xml:space="preserve">fundamental </w:t>
      </w:r>
      <w:r>
        <w:rPr>
          <w:rFonts w:ascii="Times New Roman" w:hAnsi="Times New Roman" w:cs="Times New Roman"/>
          <w:sz w:val="24"/>
          <w:szCs w:val="24"/>
        </w:rPr>
        <w:t xml:space="preserve">dos depositantes </w:t>
      </w:r>
      <w:r w:rsidR="003861E0">
        <w:rPr>
          <w:rFonts w:ascii="Times New Roman" w:hAnsi="Times New Roman" w:cs="Times New Roman"/>
          <w:sz w:val="24"/>
          <w:szCs w:val="24"/>
        </w:rPr>
        <w:t xml:space="preserve">à propriedade </w:t>
      </w:r>
      <w:r w:rsidR="0078454B">
        <w:rPr>
          <w:rFonts w:ascii="Times New Roman" w:hAnsi="Times New Roman" w:cs="Times New Roman"/>
          <w:sz w:val="24"/>
          <w:szCs w:val="24"/>
        </w:rPr>
        <w:t xml:space="preserve">de tal forma </w:t>
      </w:r>
      <w:r>
        <w:rPr>
          <w:rFonts w:ascii="Times New Roman" w:hAnsi="Times New Roman" w:cs="Times New Roman"/>
          <w:sz w:val="24"/>
          <w:szCs w:val="24"/>
        </w:rPr>
        <w:t>que tendessem a aboli-lo (CRFB, art. 60, § 4º)</w:t>
      </w:r>
      <w:r w:rsidR="00772977">
        <w:rPr>
          <w:rFonts w:ascii="Times New Roman" w:hAnsi="Times New Roman" w:cs="Times New Roman"/>
          <w:sz w:val="24"/>
          <w:szCs w:val="24"/>
        </w:rPr>
        <w:t xml:space="preserve">. Mas, como apontado, </w:t>
      </w:r>
      <w:r w:rsidR="00A7762C">
        <w:rPr>
          <w:rFonts w:ascii="Times New Roman" w:hAnsi="Times New Roman" w:cs="Times New Roman"/>
          <w:sz w:val="24"/>
          <w:szCs w:val="24"/>
        </w:rPr>
        <w:t>os incisos</w:t>
      </w:r>
      <w:r w:rsidR="00BA737D">
        <w:rPr>
          <w:rFonts w:ascii="Times New Roman" w:hAnsi="Times New Roman" w:cs="Times New Roman"/>
          <w:sz w:val="24"/>
          <w:szCs w:val="24"/>
        </w:rPr>
        <w:t xml:space="preserve"> </w:t>
      </w:r>
      <w:r w:rsidR="00396EB3">
        <w:rPr>
          <w:rFonts w:ascii="Times New Roman" w:hAnsi="Times New Roman" w:cs="Times New Roman"/>
          <w:sz w:val="24"/>
          <w:szCs w:val="24"/>
        </w:rPr>
        <w:t>sequer prejudicam o direito pessoal dos depositantes ao recebimento</w:t>
      </w:r>
      <w:r w:rsidR="000639A6">
        <w:rPr>
          <w:rFonts w:ascii="Times New Roman" w:hAnsi="Times New Roman" w:cs="Times New Roman"/>
          <w:sz w:val="24"/>
          <w:szCs w:val="24"/>
        </w:rPr>
        <w:t>, no momento devido,</w:t>
      </w:r>
      <w:r w:rsidR="00396EB3">
        <w:rPr>
          <w:rFonts w:ascii="Times New Roman" w:hAnsi="Times New Roman" w:cs="Times New Roman"/>
          <w:sz w:val="24"/>
          <w:szCs w:val="24"/>
        </w:rPr>
        <w:t xml:space="preserve"> d</w:t>
      </w:r>
      <w:r w:rsidR="000639A6">
        <w:rPr>
          <w:rFonts w:ascii="Times New Roman" w:hAnsi="Times New Roman" w:cs="Times New Roman"/>
          <w:sz w:val="24"/>
          <w:szCs w:val="24"/>
        </w:rPr>
        <w:t>e</w:t>
      </w:r>
      <w:r w:rsidR="00396EB3">
        <w:rPr>
          <w:rFonts w:ascii="Times New Roman" w:hAnsi="Times New Roman" w:cs="Times New Roman"/>
          <w:sz w:val="24"/>
          <w:szCs w:val="24"/>
        </w:rPr>
        <w:t xml:space="preserve"> valores</w:t>
      </w:r>
      <w:r w:rsidR="000639A6">
        <w:rPr>
          <w:rFonts w:ascii="Times New Roman" w:hAnsi="Times New Roman" w:cs="Times New Roman"/>
          <w:sz w:val="24"/>
          <w:szCs w:val="24"/>
        </w:rPr>
        <w:t xml:space="preserve"> equivalentes</w:t>
      </w:r>
      <w:r w:rsidR="00BA737D">
        <w:rPr>
          <w:rFonts w:ascii="Times New Roman" w:hAnsi="Times New Roman" w:cs="Times New Roman"/>
          <w:sz w:val="24"/>
          <w:szCs w:val="24"/>
        </w:rPr>
        <w:t xml:space="preserve"> </w:t>
      </w:r>
      <w:r w:rsidR="000639A6">
        <w:rPr>
          <w:rFonts w:ascii="Times New Roman" w:hAnsi="Times New Roman" w:cs="Times New Roman"/>
          <w:sz w:val="24"/>
          <w:szCs w:val="24"/>
        </w:rPr>
        <w:t xml:space="preserve">aos </w:t>
      </w:r>
      <w:r w:rsidR="00396EB3">
        <w:rPr>
          <w:rFonts w:ascii="Times New Roman" w:hAnsi="Times New Roman" w:cs="Times New Roman"/>
          <w:sz w:val="24"/>
          <w:szCs w:val="24"/>
        </w:rPr>
        <w:t>depositados</w:t>
      </w:r>
      <w:r w:rsidR="00772977">
        <w:rPr>
          <w:rFonts w:ascii="Times New Roman" w:hAnsi="Times New Roman" w:cs="Times New Roman"/>
          <w:sz w:val="24"/>
          <w:szCs w:val="24"/>
        </w:rPr>
        <w:t>.</w:t>
      </w:r>
      <w:r w:rsidR="004857EE">
        <w:rPr>
          <w:rFonts w:ascii="Times New Roman" w:hAnsi="Times New Roman" w:cs="Times New Roman"/>
          <w:sz w:val="24"/>
          <w:szCs w:val="24"/>
        </w:rPr>
        <w:t xml:space="preserve"> Se assim o é, eles não podem </w:t>
      </w:r>
      <w:r w:rsidR="006F380F">
        <w:rPr>
          <w:rFonts w:ascii="Times New Roman" w:hAnsi="Times New Roman" w:cs="Times New Roman"/>
          <w:sz w:val="24"/>
          <w:szCs w:val="24"/>
        </w:rPr>
        <w:t>tende</w:t>
      </w:r>
      <w:r w:rsidR="004857EE">
        <w:rPr>
          <w:rFonts w:ascii="Times New Roman" w:hAnsi="Times New Roman" w:cs="Times New Roman"/>
          <w:sz w:val="24"/>
          <w:szCs w:val="24"/>
        </w:rPr>
        <w:t>r</w:t>
      </w:r>
      <w:r w:rsidR="006F380F">
        <w:rPr>
          <w:rFonts w:ascii="Times New Roman" w:hAnsi="Times New Roman" w:cs="Times New Roman"/>
          <w:sz w:val="24"/>
          <w:szCs w:val="24"/>
        </w:rPr>
        <w:t xml:space="preserve"> a abolir o direito à propriedade. </w:t>
      </w:r>
      <w:r w:rsidR="0009642E">
        <w:rPr>
          <w:rFonts w:ascii="Times New Roman" w:hAnsi="Times New Roman" w:cs="Times New Roman"/>
          <w:sz w:val="24"/>
          <w:szCs w:val="24"/>
        </w:rPr>
        <w:t xml:space="preserve">Quem não faz o menos não faz o mais. </w:t>
      </w:r>
    </w:p>
    <w:p w14:paraId="2C0A430F" w14:textId="77777777" w:rsidR="005963D9" w:rsidRDefault="005963D9" w:rsidP="00BA737D">
      <w:pPr>
        <w:spacing w:after="0" w:line="360" w:lineRule="auto"/>
        <w:ind w:firstLine="709"/>
        <w:jc w:val="both"/>
        <w:rPr>
          <w:rFonts w:ascii="Times New Roman" w:hAnsi="Times New Roman" w:cs="Times New Roman"/>
          <w:sz w:val="24"/>
          <w:szCs w:val="24"/>
        </w:rPr>
      </w:pPr>
    </w:p>
    <w:p w14:paraId="20BB51F2" w14:textId="77777777" w:rsidR="006F380F" w:rsidRDefault="00663CF9" w:rsidP="00BA737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6F380F" w:rsidRPr="00302339">
        <w:rPr>
          <w:rFonts w:ascii="Times New Roman" w:hAnsi="Times New Roman" w:cs="Times New Roman"/>
          <w:b/>
          <w:bCs/>
          <w:sz w:val="24"/>
          <w:szCs w:val="24"/>
        </w:rPr>
        <w:t>.</w:t>
      </w:r>
      <w:r w:rsidR="006F380F">
        <w:rPr>
          <w:rFonts w:ascii="Times New Roman" w:hAnsi="Times New Roman" w:cs="Times New Roman"/>
          <w:b/>
          <w:bCs/>
          <w:sz w:val="24"/>
          <w:szCs w:val="24"/>
        </w:rPr>
        <w:t>2</w:t>
      </w:r>
      <w:r w:rsidR="006F380F" w:rsidRPr="00302339">
        <w:rPr>
          <w:rFonts w:ascii="Times New Roman" w:hAnsi="Times New Roman" w:cs="Times New Roman"/>
          <w:b/>
          <w:bCs/>
          <w:sz w:val="24"/>
          <w:szCs w:val="24"/>
        </w:rPr>
        <w:t xml:space="preserve"> – </w:t>
      </w:r>
      <w:r w:rsidR="00A53FBC" w:rsidRPr="00A53FBC">
        <w:rPr>
          <w:rFonts w:ascii="Times New Roman" w:hAnsi="Times New Roman" w:cs="Times New Roman"/>
          <w:b/>
          <w:bCs/>
          <w:sz w:val="24"/>
          <w:szCs w:val="24"/>
        </w:rPr>
        <w:t>Os incisos não tendem a abolir o direito fundamental ao acesso à justiça, o princípio do devido processo legal, o direito fundamental à razoável duração do processo e o princípio da separação dos poderes</w:t>
      </w:r>
    </w:p>
    <w:p w14:paraId="4D437A91"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Uma vez que está suficientemente garantido o direito pessoal dos depositantes a receber, no momento devido, valores equivalentes dos depositados, 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w:t>
      </w:r>
      <w:r>
        <w:rPr>
          <w:rFonts w:ascii="Times New Roman" w:hAnsi="Times New Roman" w:cs="Times New Roman"/>
          <w:sz w:val="24"/>
          <w:szCs w:val="24"/>
        </w:rPr>
        <w:t xml:space="preserve">do ADCT também não tendem a abolir o </w:t>
      </w:r>
      <w:r w:rsidRPr="00116BE1">
        <w:rPr>
          <w:rFonts w:ascii="Times New Roman" w:hAnsi="Times New Roman" w:cs="Times New Roman"/>
          <w:sz w:val="24"/>
          <w:szCs w:val="24"/>
        </w:rPr>
        <w:t>direito fundamental ao acesso à justiça (CRFB, art. 5º, XXXV)</w:t>
      </w:r>
      <w:r w:rsidR="008F02EA">
        <w:rPr>
          <w:rFonts w:ascii="Times New Roman" w:hAnsi="Times New Roman" w:cs="Times New Roman"/>
          <w:sz w:val="24"/>
          <w:szCs w:val="24"/>
        </w:rPr>
        <w:t>,</w:t>
      </w:r>
      <w:r w:rsidRPr="00116BE1">
        <w:rPr>
          <w:rFonts w:ascii="Times New Roman" w:hAnsi="Times New Roman" w:cs="Times New Roman"/>
          <w:sz w:val="24"/>
          <w:szCs w:val="24"/>
        </w:rPr>
        <w:t xml:space="preserve"> o princípio do devido processo legal (CRFB, art. LIV)</w:t>
      </w:r>
      <w:r>
        <w:rPr>
          <w:rFonts w:ascii="Times New Roman" w:hAnsi="Times New Roman" w:cs="Times New Roman"/>
          <w:sz w:val="24"/>
          <w:szCs w:val="24"/>
        </w:rPr>
        <w:t xml:space="preserve"> e</w:t>
      </w:r>
      <w:r w:rsidRPr="00116BE1">
        <w:rPr>
          <w:rFonts w:ascii="Times New Roman" w:hAnsi="Times New Roman" w:cs="Times New Roman"/>
          <w:sz w:val="24"/>
          <w:szCs w:val="24"/>
        </w:rPr>
        <w:t xml:space="preserve"> o direito fundamental à razoável duração do processo (CRFB, art. 5º, LXXVII)</w:t>
      </w:r>
      <w:r>
        <w:rPr>
          <w:rFonts w:ascii="Times New Roman" w:hAnsi="Times New Roman" w:cs="Times New Roman"/>
          <w:sz w:val="24"/>
          <w:szCs w:val="24"/>
        </w:rPr>
        <w:t xml:space="preserve">. Afinal, neste caso, não haverá qualquer perturbação ao trâmite adequado do processo judicial. </w:t>
      </w:r>
    </w:p>
    <w:p w14:paraId="30C1FBB9" w14:textId="77777777" w:rsidR="00003079" w:rsidRDefault="0000307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Ademais, eles igualmente não tendem a abolir o </w:t>
      </w:r>
      <w:r w:rsidRPr="00116BE1">
        <w:rPr>
          <w:rFonts w:ascii="Times New Roman" w:hAnsi="Times New Roman" w:cs="Times New Roman"/>
          <w:sz w:val="24"/>
          <w:szCs w:val="24"/>
        </w:rPr>
        <w:t>princípio da separação dos poderes (CRFB, art. 2º).</w:t>
      </w:r>
    </w:p>
    <w:p w14:paraId="1CE2A307" w14:textId="77777777" w:rsidR="00003079" w:rsidRPr="00003079" w:rsidRDefault="00003079" w:rsidP="00BA737D">
      <w:pPr>
        <w:spacing w:after="0" w:line="360" w:lineRule="auto"/>
        <w:ind w:firstLine="709"/>
        <w:jc w:val="both"/>
        <w:rPr>
          <w:rFonts w:ascii="Times New Roman" w:hAnsi="Times New Roman" w:cs="Times New Roman"/>
          <w:sz w:val="24"/>
          <w:szCs w:val="24"/>
        </w:rPr>
      </w:pPr>
      <w:r w:rsidRPr="00003079">
        <w:rPr>
          <w:rFonts w:ascii="Times New Roman" w:hAnsi="Times New Roman" w:cs="Times New Roman"/>
          <w:sz w:val="24"/>
          <w:szCs w:val="24"/>
        </w:rPr>
        <w:t xml:space="preserve">Em primeiro lugar, a EC n.º 99/2017 inseriu o § 3º </w:t>
      </w:r>
      <w:r w:rsidR="004E5D42">
        <w:rPr>
          <w:rFonts w:ascii="Times New Roman" w:hAnsi="Times New Roman" w:cs="Times New Roman"/>
          <w:sz w:val="24"/>
          <w:szCs w:val="24"/>
        </w:rPr>
        <w:t>no</w:t>
      </w:r>
      <w:r w:rsidRPr="00003079">
        <w:rPr>
          <w:rFonts w:ascii="Times New Roman" w:hAnsi="Times New Roman" w:cs="Times New Roman"/>
          <w:sz w:val="24"/>
          <w:szCs w:val="24"/>
        </w:rPr>
        <w:t xml:space="preserve"> art. 101 do ADCT prevendo que os recursos previstos nos incisos I e II do § 2º do mesmo art. serão transferidos diretamente pela instituição financeira depositária para a conta especial referida no </w:t>
      </w:r>
      <w:r w:rsidRPr="00D965EC">
        <w:rPr>
          <w:rFonts w:ascii="Times New Roman" w:hAnsi="Times New Roman" w:cs="Times New Roman"/>
          <w:i/>
          <w:iCs/>
          <w:sz w:val="24"/>
          <w:szCs w:val="24"/>
        </w:rPr>
        <w:t xml:space="preserve">caput </w:t>
      </w:r>
      <w:r w:rsidRPr="00003079">
        <w:rPr>
          <w:rFonts w:ascii="Times New Roman" w:hAnsi="Times New Roman" w:cs="Times New Roman"/>
          <w:sz w:val="24"/>
          <w:szCs w:val="24"/>
        </w:rPr>
        <w:t xml:space="preserve">deste artigo, sob única e exclusiva administração do Tribunal de Justiça local. Logo, os valores depositados não serão administrados pelo Executivo, mas pelo Judiciário. </w:t>
      </w:r>
    </w:p>
    <w:p w14:paraId="3D950D93" w14:textId="77777777" w:rsidR="006F380F" w:rsidRPr="00003079" w:rsidRDefault="00003079" w:rsidP="00BA737D">
      <w:pPr>
        <w:spacing w:after="0" w:line="360" w:lineRule="auto"/>
        <w:ind w:firstLine="709"/>
        <w:jc w:val="both"/>
        <w:rPr>
          <w:rFonts w:ascii="Times New Roman" w:hAnsi="Times New Roman" w:cs="Times New Roman"/>
          <w:sz w:val="24"/>
          <w:szCs w:val="24"/>
        </w:rPr>
      </w:pPr>
      <w:r w:rsidRPr="00003079">
        <w:rPr>
          <w:rFonts w:ascii="Times New Roman" w:hAnsi="Times New Roman" w:cs="Times New Roman"/>
          <w:sz w:val="24"/>
          <w:szCs w:val="24"/>
        </w:rPr>
        <w:t xml:space="preserve">Em segundo lugar, mesmo sem esse § 3º não haveria ofensa ao princípio da separação dos poderes. O princípio não impõe que os depósitos judiciais sejam administrados exclusivamente pelo Poder Judiciário; logo, ele não impede que os depósitos sejam administrados pelo Executivo. A administração dos depósitos tem natureza administrativa, e não jurisdicional. </w:t>
      </w:r>
      <w:r w:rsidR="006F380F" w:rsidRPr="00003079">
        <w:rPr>
          <w:rFonts w:ascii="Times New Roman" w:hAnsi="Times New Roman" w:cs="Times New Roman"/>
          <w:sz w:val="24"/>
          <w:szCs w:val="24"/>
        </w:rPr>
        <w:t>O Supremo já afirmou isso algumas vezes</w:t>
      </w:r>
      <w:r w:rsidR="001F6455" w:rsidRPr="00003079">
        <w:rPr>
          <w:rStyle w:val="Refdenotaderodap"/>
          <w:rFonts w:ascii="Times New Roman" w:hAnsi="Times New Roman" w:cs="Times New Roman"/>
          <w:sz w:val="24"/>
          <w:szCs w:val="24"/>
        </w:rPr>
        <w:footnoteReference w:id="19"/>
      </w:r>
      <w:r w:rsidR="001F6455" w:rsidRPr="00003079">
        <w:rPr>
          <w:rFonts w:ascii="Times New Roman" w:hAnsi="Times New Roman" w:cs="Times New Roman"/>
          <w:sz w:val="24"/>
          <w:szCs w:val="24"/>
        </w:rPr>
        <w:t>.</w:t>
      </w:r>
    </w:p>
    <w:p w14:paraId="1A368590" w14:textId="77777777" w:rsidR="005963D9" w:rsidRPr="0000659A" w:rsidRDefault="005963D9" w:rsidP="00BA737D">
      <w:pPr>
        <w:spacing w:after="0" w:line="360" w:lineRule="auto"/>
        <w:ind w:firstLine="709"/>
        <w:jc w:val="both"/>
        <w:rPr>
          <w:rFonts w:ascii="Times New Roman" w:hAnsi="Times New Roman" w:cs="Times New Roman"/>
        </w:rPr>
      </w:pPr>
    </w:p>
    <w:p w14:paraId="38AEB1E4" w14:textId="77777777" w:rsidR="007F14F3" w:rsidRPr="00003079" w:rsidRDefault="007F14F3" w:rsidP="00BA737D">
      <w:pPr>
        <w:spacing w:after="0" w:line="360" w:lineRule="auto"/>
        <w:jc w:val="both"/>
        <w:rPr>
          <w:rFonts w:ascii="Times New Roman" w:hAnsi="Times New Roman" w:cs="Times New Roman"/>
          <w:b/>
          <w:bCs/>
          <w:sz w:val="24"/>
          <w:szCs w:val="24"/>
        </w:rPr>
      </w:pPr>
      <w:r w:rsidRPr="00003079">
        <w:rPr>
          <w:rFonts w:ascii="Times New Roman" w:hAnsi="Times New Roman" w:cs="Times New Roman"/>
          <w:b/>
          <w:bCs/>
          <w:sz w:val="24"/>
          <w:szCs w:val="24"/>
        </w:rPr>
        <w:t>2.</w:t>
      </w:r>
      <w:r w:rsidR="00A34099">
        <w:rPr>
          <w:rFonts w:ascii="Times New Roman" w:hAnsi="Times New Roman" w:cs="Times New Roman"/>
          <w:b/>
          <w:bCs/>
          <w:sz w:val="24"/>
          <w:szCs w:val="24"/>
        </w:rPr>
        <w:t>3</w:t>
      </w:r>
      <w:r w:rsidR="00BA60E8" w:rsidRPr="00003079">
        <w:rPr>
          <w:rFonts w:ascii="Times New Roman" w:hAnsi="Times New Roman" w:cs="Times New Roman"/>
          <w:b/>
          <w:bCs/>
          <w:sz w:val="24"/>
          <w:szCs w:val="24"/>
        </w:rPr>
        <w:t xml:space="preserve">- </w:t>
      </w:r>
      <w:r w:rsidR="005B5854">
        <w:rPr>
          <w:rFonts w:ascii="Times New Roman" w:hAnsi="Times New Roman" w:cs="Times New Roman"/>
          <w:b/>
          <w:bCs/>
          <w:sz w:val="24"/>
          <w:szCs w:val="24"/>
        </w:rPr>
        <w:t>A</w:t>
      </w:r>
      <w:r w:rsidRPr="00003079">
        <w:rPr>
          <w:rFonts w:ascii="Times New Roman" w:hAnsi="Times New Roman" w:cs="Times New Roman"/>
          <w:b/>
          <w:bCs/>
          <w:sz w:val="24"/>
          <w:szCs w:val="24"/>
        </w:rPr>
        <w:t xml:space="preserve"> declaração de inconstitucionalidade</w:t>
      </w:r>
      <w:bookmarkStart w:id="5" w:name="_Hlk140245801"/>
      <w:r w:rsidR="005B5854">
        <w:rPr>
          <w:rFonts w:ascii="Times New Roman" w:hAnsi="Times New Roman" w:cs="Times New Roman"/>
          <w:b/>
          <w:bCs/>
          <w:sz w:val="24"/>
          <w:szCs w:val="24"/>
        </w:rPr>
        <w:t xml:space="preserve"> produzirá consequências danosas para a economia</w:t>
      </w:r>
    </w:p>
    <w:p w14:paraId="20EB43BC" w14:textId="77777777" w:rsidR="006F380F" w:rsidRDefault="006F380F" w:rsidP="00BA737D">
      <w:pPr>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Os incisos I e II do § 2º do art. 101 do ADCT </w:t>
      </w:r>
      <w:r w:rsidR="005F2FCB">
        <w:rPr>
          <w:rFonts w:ascii="Times New Roman" w:hAnsi="Times New Roman" w:cs="Times New Roman"/>
          <w:bCs/>
          <w:sz w:val="24"/>
          <w:szCs w:val="24"/>
        </w:rPr>
        <w:t>instituíram uma medida viável para a resolução gradativa do gravíssimo problema dos precatórios no país: o uso de parcela dos depósitos judiciais e extrajudiciais para o pagamento dos precatórios. Como esse prob</w:t>
      </w:r>
      <w:r w:rsidR="00314E71">
        <w:rPr>
          <w:rFonts w:ascii="Times New Roman" w:hAnsi="Times New Roman" w:cs="Times New Roman"/>
          <w:bCs/>
          <w:sz w:val="24"/>
          <w:szCs w:val="24"/>
        </w:rPr>
        <w:t>lema é impassível de solução imediata, é necessária a adoção de medidas que permitam a resolução gradativa.</w:t>
      </w:r>
      <w:r>
        <w:rPr>
          <w:rFonts w:ascii="Times New Roman" w:hAnsi="Times New Roman" w:cs="Times New Roman"/>
          <w:bCs/>
          <w:sz w:val="24"/>
          <w:szCs w:val="24"/>
        </w:rPr>
        <w:t xml:space="preserve"> Uma medida dessa </w:t>
      </w:r>
      <w:r w:rsidRPr="00680507">
        <w:rPr>
          <w:rFonts w:ascii="Times New Roman" w:hAnsi="Times New Roman" w:cs="Times New Roman"/>
          <w:bCs/>
          <w:sz w:val="24"/>
          <w:szCs w:val="24"/>
        </w:rPr>
        <w:t xml:space="preserve">já havia sido recomendada pelo STF desde o julgamento, </w:t>
      </w:r>
      <w:r w:rsidRPr="00680507">
        <w:rPr>
          <w:rFonts w:ascii="Times New Roman" w:hAnsi="Times New Roman" w:cs="Times New Roman"/>
          <w:sz w:val="24"/>
          <w:szCs w:val="24"/>
        </w:rPr>
        <w:t xml:space="preserve">em 25/3/2015, de questão de ordem nas ADIs n.º 4.357 e 4.425. Essa mesma medida foi </w:t>
      </w:r>
      <w:r w:rsidR="00003079" w:rsidRPr="00680507">
        <w:rPr>
          <w:rFonts w:ascii="Times New Roman" w:hAnsi="Times New Roman" w:cs="Times New Roman"/>
          <w:sz w:val="24"/>
          <w:szCs w:val="24"/>
        </w:rPr>
        <w:t>aconselhada</w:t>
      </w:r>
      <w:r w:rsidRPr="00680507">
        <w:rPr>
          <w:rFonts w:ascii="Times New Roman" w:hAnsi="Times New Roman" w:cs="Times New Roman"/>
          <w:sz w:val="24"/>
          <w:szCs w:val="24"/>
        </w:rPr>
        <w:t xml:space="preserve"> pela FGV em estudo realizado em 2021</w:t>
      </w:r>
      <w:r w:rsidR="00CB6B5A" w:rsidRPr="00680507">
        <w:rPr>
          <w:rFonts w:ascii="Times New Roman" w:hAnsi="Times New Roman" w:cs="Times New Roman"/>
          <w:sz w:val="24"/>
          <w:szCs w:val="24"/>
        </w:rPr>
        <w:t xml:space="preserve"> (</w:t>
      </w:r>
      <w:r w:rsidR="00CB6B5A" w:rsidRPr="00680507">
        <w:rPr>
          <w:rStyle w:val="yiv4152746728contentpasted0"/>
          <w:rFonts w:ascii="Times New Roman" w:hAnsi="Times New Roman" w:cs="Times New Roman"/>
          <w:color w:val="000000"/>
          <w:sz w:val="24"/>
          <w:szCs w:val="24"/>
        </w:rPr>
        <w:t>PIERI, 2021</w:t>
      </w:r>
      <w:r w:rsidR="00CB6B5A" w:rsidRPr="00680507">
        <w:rPr>
          <w:rFonts w:ascii="Times New Roman" w:hAnsi="Times New Roman" w:cs="Times New Roman"/>
          <w:sz w:val="24"/>
          <w:szCs w:val="24"/>
        </w:rPr>
        <w:t>)</w:t>
      </w:r>
      <w:r w:rsidRPr="00680507">
        <w:rPr>
          <w:rFonts w:ascii="Times New Roman" w:hAnsi="Times New Roman" w:cs="Times New Roman"/>
          <w:sz w:val="24"/>
          <w:szCs w:val="24"/>
        </w:rPr>
        <w:t>.</w:t>
      </w:r>
    </w:p>
    <w:bookmarkEnd w:id="5"/>
    <w:p w14:paraId="7C9236D8"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declarada a inconstitucionalidade dos incisos, é provável que o Estado brasileiro não consiga resolver o problema. E, assim, se veja obrigado a adiar o problema, editando outras Emendas Constitucionais prevendo novas moratórias. Desse modo, o risco moral (</w:t>
      </w:r>
      <w:r>
        <w:rPr>
          <w:rFonts w:ascii="Times New Roman" w:hAnsi="Times New Roman" w:cs="Times New Roman"/>
          <w:i/>
          <w:iCs/>
          <w:sz w:val="24"/>
          <w:szCs w:val="24"/>
        </w:rPr>
        <w:t>moral</w:t>
      </w:r>
      <w:r w:rsidRPr="00F1737D">
        <w:rPr>
          <w:rFonts w:ascii="Times New Roman" w:hAnsi="Times New Roman" w:cs="Times New Roman"/>
          <w:i/>
          <w:iCs/>
          <w:sz w:val="24"/>
          <w:szCs w:val="24"/>
        </w:rPr>
        <w:t xml:space="preserve"> hazard</w:t>
      </w:r>
      <w:r>
        <w:rPr>
          <w:rFonts w:ascii="Times New Roman" w:hAnsi="Times New Roman" w:cs="Times New Roman"/>
          <w:sz w:val="24"/>
          <w:szCs w:val="24"/>
        </w:rPr>
        <w:t>) seria incrementado, prejudicando a credibilidade do país e, consequentemente, sua economia.</w:t>
      </w:r>
    </w:p>
    <w:p w14:paraId="104EFB7A" w14:textId="77777777" w:rsidR="006F380F" w:rsidRDefault="007922F4"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Além do mais</w:t>
      </w:r>
      <w:r w:rsidR="006F380F">
        <w:rPr>
          <w:rFonts w:ascii="Times New Roman" w:hAnsi="Times New Roman" w:cs="Times New Roman"/>
          <w:sz w:val="24"/>
          <w:szCs w:val="24"/>
        </w:rPr>
        <w:t xml:space="preserve">, novas moratórias aumentariam o problema do precatório. </w:t>
      </w:r>
      <w:r w:rsidR="0000692E">
        <w:rPr>
          <w:rFonts w:ascii="Times New Roman" w:hAnsi="Times New Roman" w:cs="Times New Roman"/>
          <w:sz w:val="24"/>
          <w:szCs w:val="24"/>
        </w:rPr>
        <w:t>O</w:t>
      </w:r>
      <w:r w:rsidR="0000692E" w:rsidRPr="00383410">
        <w:rPr>
          <w:rFonts w:ascii="Times New Roman" w:hAnsi="Times New Roman" w:cs="Times New Roman"/>
          <w:sz w:val="24"/>
          <w:szCs w:val="24"/>
        </w:rPr>
        <w:t xml:space="preserve"> precatório é uma dívida cara</w:t>
      </w:r>
      <w:r w:rsidR="0000692E">
        <w:rPr>
          <w:rFonts w:ascii="Times New Roman" w:hAnsi="Times New Roman" w:cs="Times New Roman"/>
          <w:sz w:val="24"/>
          <w:szCs w:val="24"/>
        </w:rPr>
        <w:t xml:space="preserve">; desde dezembro de 2021, ele sofre a incidência da integralidade da taxa SELIC.  </w:t>
      </w:r>
      <w:r w:rsidR="00BA737D">
        <w:rPr>
          <w:rFonts w:ascii="Times New Roman" w:hAnsi="Times New Roman" w:cs="Times New Roman"/>
          <w:sz w:val="24"/>
          <w:szCs w:val="24"/>
        </w:rPr>
        <w:t xml:space="preserve">Quanto maior o adiamento do pagamento, maior será o montante total e maior será </w:t>
      </w:r>
      <w:r w:rsidR="00BA737D" w:rsidRPr="00383410">
        <w:rPr>
          <w:rFonts w:ascii="Times New Roman" w:hAnsi="Times New Roman" w:cs="Times New Roman"/>
          <w:sz w:val="24"/>
          <w:szCs w:val="24"/>
        </w:rPr>
        <w:t>a participação dos juros n</w:t>
      </w:r>
      <w:r w:rsidR="00BA737D">
        <w:rPr>
          <w:rFonts w:ascii="Times New Roman" w:hAnsi="Times New Roman" w:cs="Times New Roman"/>
          <w:sz w:val="24"/>
          <w:szCs w:val="24"/>
        </w:rPr>
        <w:t xml:space="preserve">esse montante </w:t>
      </w:r>
      <w:r w:rsidR="00BA737D" w:rsidRPr="00573ABA">
        <w:rPr>
          <w:rFonts w:ascii="Times New Roman" w:hAnsi="Times New Roman" w:cs="Times New Roman"/>
          <w:sz w:val="24"/>
          <w:szCs w:val="24"/>
        </w:rPr>
        <w:t>(</w:t>
      </w:r>
      <w:r w:rsidR="00BA737D" w:rsidRPr="00CB6B5A">
        <w:rPr>
          <w:rStyle w:val="yiv4152746728contentpasted0"/>
          <w:rFonts w:ascii="Times New Roman" w:hAnsi="Times New Roman" w:cs="Times New Roman"/>
          <w:i/>
          <w:iCs/>
          <w:color w:val="000000"/>
        </w:rPr>
        <w:t>Ibid</w:t>
      </w:r>
      <w:r w:rsidR="00BA737D" w:rsidRPr="00573ABA">
        <w:rPr>
          <w:rFonts w:ascii="Times New Roman" w:hAnsi="Times New Roman" w:cs="Times New Roman"/>
          <w:sz w:val="24"/>
          <w:szCs w:val="24"/>
        </w:rPr>
        <w:t>).</w:t>
      </w:r>
    </w:p>
    <w:p w14:paraId="4112264D" w14:textId="77777777" w:rsidR="006F380F" w:rsidRDefault="006F380F"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Ademais, os precatórios vencidos representam uma parte significativa da </w:t>
      </w:r>
      <w:r w:rsidRPr="00A8442F">
        <w:rPr>
          <w:rFonts w:ascii="Times New Roman" w:hAnsi="Times New Roman" w:cs="Times New Roman"/>
          <w:sz w:val="24"/>
          <w:szCs w:val="24"/>
        </w:rPr>
        <w:t xml:space="preserve">dívida </w:t>
      </w:r>
      <w:r>
        <w:rPr>
          <w:rFonts w:ascii="Times New Roman" w:hAnsi="Times New Roman" w:cs="Times New Roman"/>
          <w:sz w:val="24"/>
          <w:szCs w:val="24"/>
        </w:rPr>
        <w:t xml:space="preserve">pública </w:t>
      </w:r>
      <w:r w:rsidRPr="00A8442F">
        <w:rPr>
          <w:rFonts w:ascii="Times New Roman" w:hAnsi="Times New Roman" w:cs="Times New Roman"/>
          <w:sz w:val="24"/>
          <w:szCs w:val="24"/>
        </w:rPr>
        <w:t xml:space="preserve">consolidada. </w:t>
      </w:r>
      <w:r>
        <w:rPr>
          <w:rFonts w:ascii="Times New Roman" w:hAnsi="Times New Roman" w:cs="Times New Roman"/>
          <w:sz w:val="24"/>
          <w:szCs w:val="24"/>
        </w:rPr>
        <w:t>Suspender o pagamento deles aumentaria essa proporção</w:t>
      </w:r>
      <w:r w:rsidR="00F43D46">
        <w:rPr>
          <w:rFonts w:ascii="Times New Roman" w:hAnsi="Times New Roman" w:cs="Times New Roman"/>
          <w:sz w:val="24"/>
          <w:szCs w:val="24"/>
        </w:rPr>
        <w:t xml:space="preserve">: </w:t>
      </w:r>
      <w:r w:rsidR="00DD1464">
        <w:rPr>
          <w:rFonts w:ascii="Times New Roman" w:hAnsi="Times New Roman" w:cs="Times New Roman"/>
          <w:sz w:val="24"/>
          <w:szCs w:val="24"/>
        </w:rPr>
        <w:t>q</w:t>
      </w:r>
      <w:r>
        <w:rPr>
          <w:rFonts w:ascii="Times New Roman" w:hAnsi="Times New Roman" w:cs="Times New Roman"/>
          <w:sz w:val="24"/>
          <w:szCs w:val="24"/>
        </w:rPr>
        <w:t>uanto maior a proporção, maiores as dificuldades para os credores receberem os valore devidos</w:t>
      </w:r>
      <w:r w:rsidR="00AB4768">
        <w:rPr>
          <w:rFonts w:ascii="Times New Roman" w:hAnsi="Times New Roman" w:cs="Times New Roman"/>
          <w:sz w:val="24"/>
          <w:szCs w:val="24"/>
        </w:rPr>
        <w:t xml:space="preserve"> </w:t>
      </w:r>
      <w:r w:rsidR="00537402">
        <w:rPr>
          <w:rFonts w:ascii="Times New Roman" w:hAnsi="Times New Roman" w:cs="Times New Roman"/>
          <w:sz w:val="24"/>
          <w:szCs w:val="24"/>
        </w:rPr>
        <w:t>(</w:t>
      </w:r>
      <w:r w:rsidR="00C97E56">
        <w:rPr>
          <w:rFonts w:ascii="Times New Roman" w:hAnsi="Times New Roman" w:cs="Times New Roman"/>
          <w:i/>
          <w:iCs/>
          <w:sz w:val="24"/>
          <w:szCs w:val="24"/>
        </w:rPr>
        <w:t>Ibid</w:t>
      </w:r>
      <w:r w:rsidR="00537402">
        <w:rPr>
          <w:rFonts w:ascii="Times New Roman" w:hAnsi="Times New Roman" w:cs="Times New Roman"/>
          <w:sz w:val="24"/>
          <w:szCs w:val="24"/>
        </w:rPr>
        <w:t>)</w:t>
      </w:r>
      <w:r w:rsidR="000F0AB5">
        <w:rPr>
          <w:rFonts w:ascii="Times New Roman" w:hAnsi="Times New Roman" w:cs="Times New Roman"/>
          <w:sz w:val="24"/>
          <w:szCs w:val="24"/>
        </w:rPr>
        <w:t>.</w:t>
      </w:r>
    </w:p>
    <w:p w14:paraId="70542D8A" w14:textId="77777777" w:rsidR="006F380F" w:rsidRPr="00A8442F" w:rsidRDefault="007922F4"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Afora isso</w:t>
      </w:r>
      <w:r w:rsidR="0000692E">
        <w:rPr>
          <w:rFonts w:ascii="Times New Roman" w:hAnsi="Times New Roman" w:cs="Times New Roman"/>
          <w:sz w:val="24"/>
          <w:szCs w:val="24"/>
        </w:rPr>
        <w:t xml:space="preserve">, </w:t>
      </w:r>
      <w:r w:rsidR="006F380F">
        <w:rPr>
          <w:rFonts w:ascii="Times New Roman" w:hAnsi="Times New Roman" w:cs="Times New Roman"/>
          <w:sz w:val="24"/>
          <w:szCs w:val="24"/>
        </w:rPr>
        <w:t xml:space="preserve">a </w:t>
      </w:r>
      <w:r w:rsidR="006F380F" w:rsidRPr="00A8442F">
        <w:rPr>
          <w:rFonts w:ascii="Times New Roman" w:hAnsi="Times New Roman" w:cs="Times New Roman"/>
          <w:sz w:val="24"/>
          <w:szCs w:val="24"/>
        </w:rPr>
        <w:t xml:space="preserve">dívida alta </w:t>
      </w:r>
      <w:r w:rsidR="006F380F">
        <w:rPr>
          <w:rFonts w:ascii="Times New Roman" w:hAnsi="Times New Roman" w:cs="Times New Roman"/>
          <w:sz w:val="24"/>
          <w:szCs w:val="24"/>
        </w:rPr>
        <w:t xml:space="preserve">diminui </w:t>
      </w:r>
      <w:r w:rsidR="006F380F" w:rsidRPr="00A8442F">
        <w:rPr>
          <w:rFonts w:ascii="Times New Roman" w:hAnsi="Times New Roman" w:cs="Times New Roman"/>
          <w:sz w:val="24"/>
          <w:szCs w:val="24"/>
        </w:rPr>
        <w:t xml:space="preserve">o crescimento econômico em países de renda média e baixa, como </w:t>
      </w:r>
      <w:r w:rsidR="006F380F">
        <w:rPr>
          <w:rFonts w:ascii="Times New Roman" w:hAnsi="Times New Roman" w:cs="Times New Roman"/>
          <w:sz w:val="24"/>
          <w:szCs w:val="24"/>
        </w:rPr>
        <w:t>o</w:t>
      </w:r>
      <w:r w:rsidR="006F380F" w:rsidRPr="00A8442F">
        <w:rPr>
          <w:rFonts w:ascii="Times New Roman" w:hAnsi="Times New Roman" w:cs="Times New Roman"/>
          <w:sz w:val="24"/>
          <w:szCs w:val="24"/>
        </w:rPr>
        <w:t xml:space="preserve"> Brasil. O alto endividamento gera insegurança institucional</w:t>
      </w:r>
      <w:r w:rsidR="006F380F">
        <w:rPr>
          <w:rFonts w:ascii="Times New Roman" w:hAnsi="Times New Roman" w:cs="Times New Roman"/>
          <w:sz w:val="24"/>
          <w:szCs w:val="24"/>
        </w:rPr>
        <w:t>: o</w:t>
      </w:r>
      <w:r w:rsidR="006F380F" w:rsidRPr="00A8442F">
        <w:rPr>
          <w:rFonts w:ascii="Times New Roman" w:hAnsi="Times New Roman" w:cs="Times New Roman"/>
          <w:sz w:val="24"/>
          <w:szCs w:val="24"/>
        </w:rPr>
        <w:t>s investidores começam a questionar a capacidade do governo de honrar seus compromissos. Isso afasta o capital estrangeiro e aumenta o prêmio de risco exigido para a prestação de serviços públicos e investimentos no país. Em outras palavras, menos investimentos, menos consumo e taxas de juros mais altas</w:t>
      </w:r>
      <w:r w:rsidR="00090521">
        <w:rPr>
          <w:rFonts w:ascii="Times New Roman" w:hAnsi="Times New Roman" w:cs="Times New Roman"/>
          <w:sz w:val="24"/>
          <w:szCs w:val="24"/>
        </w:rPr>
        <w:t xml:space="preserve"> (FAUSTO, 2021)</w:t>
      </w:r>
      <w:r w:rsidR="00D622FF">
        <w:rPr>
          <w:rFonts w:ascii="Times New Roman" w:hAnsi="Times New Roman" w:cs="Times New Roman"/>
          <w:sz w:val="24"/>
          <w:szCs w:val="24"/>
        </w:rPr>
        <w:t>.</w:t>
      </w:r>
    </w:p>
    <w:p w14:paraId="6863F19B" w14:textId="77777777" w:rsidR="006F380F" w:rsidRDefault="006F380F" w:rsidP="00BA737D">
      <w:pPr>
        <w:spacing w:after="0" w:line="360" w:lineRule="auto"/>
        <w:ind w:firstLine="709"/>
        <w:jc w:val="both"/>
        <w:rPr>
          <w:rFonts w:ascii="Times New Roman" w:hAnsi="Times New Roman" w:cs="Times New Roman"/>
          <w:sz w:val="24"/>
          <w:szCs w:val="24"/>
        </w:rPr>
      </w:pPr>
      <w:r w:rsidRPr="00A8442F">
        <w:rPr>
          <w:rFonts w:ascii="Times New Roman" w:hAnsi="Times New Roman" w:cs="Times New Roman"/>
          <w:sz w:val="24"/>
          <w:szCs w:val="24"/>
        </w:rPr>
        <w:t>O não pagamento dos precatórios também tem impacto social</w:t>
      </w:r>
      <w:r>
        <w:rPr>
          <w:rFonts w:ascii="Times New Roman" w:hAnsi="Times New Roman" w:cs="Times New Roman"/>
          <w:sz w:val="24"/>
          <w:szCs w:val="24"/>
        </w:rPr>
        <w:t>. Isso porque parte relevante deles possui nat</w:t>
      </w:r>
      <w:r w:rsidRPr="00A8442F">
        <w:rPr>
          <w:rFonts w:ascii="Times New Roman" w:hAnsi="Times New Roman" w:cs="Times New Roman"/>
          <w:sz w:val="24"/>
          <w:szCs w:val="24"/>
        </w:rPr>
        <w:t>ureza alimentar</w:t>
      </w:r>
      <w:r>
        <w:rPr>
          <w:rFonts w:ascii="Times New Roman" w:hAnsi="Times New Roman" w:cs="Times New Roman"/>
          <w:sz w:val="24"/>
          <w:szCs w:val="24"/>
        </w:rPr>
        <w:t xml:space="preserve">. </w:t>
      </w:r>
      <w:r w:rsidRPr="00A8442F">
        <w:rPr>
          <w:rFonts w:ascii="Times New Roman" w:hAnsi="Times New Roman" w:cs="Times New Roman"/>
          <w:sz w:val="24"/>
          <w:szCs w:val="24"/>
        </w:rPr>
        <w:t xml:space="preserve">Para </w:t>
      </w:r>
      <w:r>
        <w:rPr>
          <w:rFonts w:ascii="Times New Roman" w:hAnsi="Times New Roman" w:cs="Times New Roman"/>
          <w:sz w:val="24"/>
          <w:szCs w:val="24"/>
        </w:rPr>
        <w:t xml:space="preserve">os credores desses precatórios, o </w:t>
      </w:r>
      <w:r w:rsidRPr="00A8442F">
        <w:rPr>
          <w:rFonts w:ascii="Times New Roman" w:hAnsi="Times New Roman" w:cs="Times New Roman"/>
          <w:sz w:val="24"/>
          <w:szCs w:val="24"/>
        </w:rPr>
        <w:t>pagamento tem impacto na renda e, consequentemente, no consumo</w:t>
      </w:r>
      <w:r w:rsidR="00B95897">
        <w:rPr>
          <w:rFonts w:ascii="Times New Roman" w:hAnsi="Times New Roman" w:cs="Times New Roman"/>
          <w:sz w:val="24"/>
          <w:szCs w:val="24"/>
        </w:rPr>
        <w:t xml:space="preserve"> (</w:t>
      </w:r>
      <w:r w:rsidR="002C5910">
        <w:rPr>
          <w:rFonts w:ascii="Times New Roman" w:hAnsi="Times New Roman" w:cs="Times New Roman"/>
          <w:sz w:val="24"/>
          <w:szCs w:val="24"/>
        </w:rPr>
        <w:t>PIERI, op. cit</w:t>
      </w:r>
      <w:r w:rsidR="00BA737D">
        <w:rPr>
          <w:rFonts w:ascii="Times New Roman" w:hAnsi="Times New Roman" w:cs="Times New Roman"/>
          <w:sz w:val="24"/>
          <w:szCs w:val="24"/>
        </w:rPr>
        <w:t>.</w:t>
      </w:r>
      <w:r w:rsidR="00B95897">
        <w:rPr>
          <w:rFonts w:ascii="Times New Roman" w:hAnsi="Times New Roman" w:cs="Times New Roman"/>
          <w:sz w:val="24"/>
          <w:szCs w:val="24"/>
        </w:rPr>
        <w:t>)</w:t>
      </w:r>
      <w:r w:rsidRPr="00A8442F">
        <w:rPr>
          <w:rFonts w:ascii="Times New Roman" w:hAnsi="Times New Roman" w:cs="Times New Roman"/>
          <w:sz w:val="24"/>
          <w:szCs w:val="24"/>
        </w:rPr>
        <w:t>.</w:t>
      </w:r>
    </w:p>
    <w:p w14:paraId="5D38A57E" w14:textId="77777777" w:rsidR="006F380F" w:rsidRDefault="0000692E"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novas moratórias contribuiriam </w:t>
      </w:r>
      <w:r w:rsidRPr="00A8442F">
        <w:rPr>
          <w:rFonts w:ascii="Times New Roman" w:hAnsi="Times New Roman" w:cs="Times New Roman"/>
          <w:sz w:val="24"/>
          <w:szCs w:val="24"/>
        </w:rPr>
        <w:t>para aumentar a dívida pública e, ao mesmo tempo</w:t>
      </w:r>
      <w:r>
        <w:rPr>
          <w:rFonts w:ascii="Times New Roman" w:hAnsi="Times New Roman" w:cs="Times New Roman"/>
          <w:sz w:val="24"/>
          <w:szCs w:val="24"/>
        </w:rPr>
        <w:t xml:space="preserve">, reduzir o consumo. Isso poderia estimular a </w:t>
      </w:r>
      <w:r w:rsidRPr="00A8442F">
        <w:rPr>
          <w:rFonts w:ascii="Times New Roman" w:hAnsi="Times New Roman" w:cs="Times New Roman"/>
          <w:sz w:val="24"/>
          <w:szCs w:val="24"/>
        </w:rPr>
        <w:t xml:space="preserve">redução do crescimento econômico e </w:t>
      </w:r>
      <w:r>
        <w:rPr>
          <w:rFonts w:ascii="Times New Roman" w:hAnsi="Times New Roman" w:cs="Times New Roman"/>
          <w:sz w:val="24"/>
          <w:szCs w:val="24"/>
        </w:rPr>
        <w:t>o</w:t>
      </w:r>
      <w:r w:rsidRPr="00A8442F">
        <w:rPr>
          <w:rFonts w:ascii="Times New Roman" w:hAnsi="Times New Roman" w:cs="Times New Roman"/>
          <w:sz w:val="24"/>
          <w:szCs w:val="24"/>
        </w:rPr>
        <w:t xml:space="preserve"> aumento </w:t>
      </w:r>
      <w:r>
        <w:rPr>
          <w:rFonts w:ascii="Times New Roman" w:hAnsi="Times New Roman" w:cs="Times New Roman"/>
          <w:sz w:val="24"/>
          <w:szCs w:val="24"/>
        </w:rPr>
        <w:t>d</w:t>
      </w:r>
      <w:r w:rsidRPr="00A8442F">
        <w:rPr>
          <w:rFonts w:ascii="Times New Roman" w:hAnsi="Times New Roman" w:cs="Times New Roman"/>
          <w:sz w:val="24"/>
          <w:szCs w:val="24"/>
        </w:rPr>
        <w:t>o desemprego</w:t>
      </w:r>
      <w:r w:rsidR="00AB4768">
        <w:rPr>
          <w:rFonts w:ascii="Times New Roman" w:hAnsi="Times New Roman" w:cs="Times New Roman"/>
          <w:sz w:val="24"/>
          <w:szCs w:val="24"/>
        </w:rPr>
        <w:t xml:space="preserve"> </w:t>
      </w:r>
      <w:r w:rsidR="00FD0AF3">
        <w:rPr>
          <w:rFonts w:ascii="Times New Roman" w:hAnsi="Times New Roman" w:cs="Times New Roman"/>
          <w:sz w:val="24"/>
          <w:szCs w:val="24"/>
        </w:rPr>
        <w:t>(</w:t>
      </w:r>
      <w:r w:rsidR="00FD0AF3" w:rsidRPr="00FD0AF3">
        <w:rPr>
          <w:rFonts w:ascii="Times New Roman" w:hAnsi="Times New Roman" w:cs="Times New Roman"/>
          <w:i/>
          <w:iCs/>
          <w:sz w:val="24"/>
          <w:szCs w:val="24"/>
        </w:rPr>
        <w:t>Ibid</w:t>
      </w:r>
      <w:r w:rsidR="00FD0AF3">
        <w:rPr>
          <w:rFonts w:ascii="Times New Roman" w:hAnsi="Times New Roman" w:cs="Times New Roman"/>
          <w:sz w:val="24"/>
          <w:szCs w:val="24"/>
        </w:rPr>
        <w:t>)</w:t>
      </w:r>
      <w:r>
        <w:rPr>
          <w:rFonts w:ascii="Times New Roman" w:hAnsi="Times New Roman" w:cs="Times New Roman"/>
          <w:sz w:val="24"/>
          <w:szCs w:val="24"/>
        </w:rPr>
        <w:t>, impactando a sustentabilidade do país.</w:t>
      </w:r>
    </w:p>
    <w:p w14:paraId="6131B8F9" w14:textId="77777777" w:rsidR="00BB46CA" w:rsidRDefault="00767FA3"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atenção ao art. 20 da LINDB</w:t>
      </w:r>
      <w:r w:rsidRPr="0000692E">
        <w:rPr>
          <w:rStyle w:val="Refdenotaderodap"/>
          <w:rFonts w:ascii="Times New Roman" w:hAnsi="Times New Roman" w:cs="Times New Roman"/>
          <w:sz w:val="24"/>
          <w:szCs w:val="24"/>
        </w:rPr>
        <w:footnoteReference w:id="20"/>
      </w:r>
      <w:r>
        <w:rPr>
          <w:rFonts w:ascii="Times New Roman" w:hAnsi="Times New Roman" w:cs="Times New Roman"/>
          <w:sz w:val="24"/>
          <w:szCs w:val="24"/>
        </w:rPr>
        <w:t>, a</w:t>
      </w:r>
      <w:r w:rsidR="00576478">
        <w:rPr>
          <w:rFonts w:ascii="Times New Roman" w:hAnsi="Times New Roman" w:cs="Times New Roman"/>
          <w:sz w:val="24"/>
          <w:szCs w:val="24"/>
        </w:rPr>
        <w:t xml:space="preserve"> advocacia pública estadual deve atuar para </w:t>
      </w:r>
      <w:r w:rsidR="004B7516">
        <w:rPr>
          <w:rFonts w:ascii="Times New Roman" w:hAnsi="Times New Roman" w:cs="Times New Roman"/>
          <w:sz w:val="24"/>
          <w:szCs w:val="24"/>
        </w:rPr>
        <w:t xml:space="preserve">fazer com </w:t>
      </w:r>
      <w:r>
        <w:rPr>
          <w:rFonts w:ascii="Times New Roman" w:hAnsi="Times New Roman" w:cs="Times New Roman"/>
          <w:sz w:val="24"/>
          <w:szCs w:val="24"/>
        </w:rPr>
        <w:t xml:space="preserve">que </w:t>
      </w:r>
      <w:r w:rsidR="004B7516">
        <w:rPr>
          <w:rFonts w:ascii="Times New Roman" w:hAnsi="Times New Roman" w:cs="Times New Roman"/>
          <w:sz w:val="24"/>
          <w:szCs w:val="24"/>
        </w:rPr>
        <w:t xml:space="preserve">o </w:t>
      </w:r>
      <w:r w:rsidR="000356F5">
        <w:rPr>
          <w:rFonts w:ascii="Times New Roman" w:hAnsi="Times New Roman" w:cs="Times New Roman"/>
          <w:sz w:val="24"/>
          <w:szCs w:val="24"/>
        </w:rPr>
        <w:t xml:space="preserve">STF </w:t>
      </w:r>
      <w:r w:rsidR="004B7516">
        <w:rPr>
          <w:rFonts w:ascii="Times New Roman" w:hAnsi="Times New Roman" w:cs="Times New Roman"/>
          <w:sz w:val="24"/>
          <w:szCs w:val="24"/>
        </w:rPr>
        <w:t xml:space="preserve">considere </w:t>
      </w:r>
      <w:r w:rsidR="000356F5">
        <w:rPr>
          <w:rFonts w:ascii="Times New Roman" w:hAnsi="Times New Roman" w:cs="Times New Roman"/>
          <w:sz w:val="24"/>
          <w:szCs w:val="24"/>
        </w:rPr>
        <w:t xml:space="preserve">tais potenciais consequências práticas no julgamento </w:t>
      </w:r>
      <w:r w:rsidR="009F2560">
        <w:rPr>
          <w:rFonts w:ascii="Times New Roman" w:hAnsi="Times New Roman" w:cs="Times New Roman"/>
          <w:sz w:val="24"/>
          <w:szCs w:val="24"/>
        </w:rPr>
        <w:t xml:space="preserve">da ADI n.º 5.679. </w:t>
      </w:r>
    </w:p>
    <w:p w14:paraId="4B921F5E" w14:textId="77777777" w:rsidR="00A34099" w:rsidRDefault="00A34099" w:rsidP="00BA737D">
      <w:pPr>
        <w:spacing w:after="0" w:line="360" w:lineRule="auto"/>
        <w:ind w:firstLine="709"/>
        <w:jc w:val="both"/>
        <w:rPr>
          <w:rFonts w:ascii="Times New Roman" w:hAnsi="Times New Roman" w:cs="Times New Roman"/>
          <w:sz w:val="24"/>
          <w:szCs w:val="24"/>
        </w:rPr>
      </w:pPr>
    </w:p>
    <w:p w14:paraId="3FCA3D1A" w14:textId="77777777" w:rsidR="00A34099" w:rsidRDefault="00A34099" w:rsidP="00BA737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Pr="00302339">
        <w:rPr>
          <w:rFonts w:ascii="Times New Roman" w:hAnsi="Times New Roman" w:cs="Times New Roman"/>
          <w:b/>
          <w:bCs/>
          <w:sz w:val="24"/>
          <w:szCs w:val="24"/>
        </w:rPr>
        <w:t>.</w:t>
      </w:r>
      <w:r>
        <w:rPr>
          <w:rFonts w:ascii="Times New Roman" w:hAnsi="Times New Roman" w:cs="Times New Roman"/>
          <w:b/>
          <w:bCs/>
          <w:sz w:val="24"/>
          <w:szCs w:val="24"/>
        </w:rPr>
        <w:t>4</w:t>
      </w:r>
      <w:r w:rsidRPr="00302339">
        <w:rPr>
          <w:rFonts w:ascii="Times New Roman" w:hAnsi="Times New Roman" w:cs="Times New Roman"/>
          <w:b/>
          <w:bCs/>
          <w:sz w:val="24"/>
          <w:szCs w:val="24"/>
        </w:rPr>
        <w:t xml:space="preserve"> –</w:t>
      </w:r>
      <w:r>
        <w:rPr>
          <w:rFonts w:ascii="Times New Roman" w:hAnsi="Times New Roman" w:cs="Times New Roman"/>
          <w:b/>
          <w:bCs/>
          <w:sz w:val="24"/>
          <w:szCs w:val="24"/>
        </w:rPr>
        <w:t>Os parâmetros do controle de constitucionalidade e o dever de autocontenção judicial</w:t>
      </w:r>
    </w:p>
    <w:p w14:paraId="4C96F41F" w14:textId="77777777" w:rsidR="00A34099" w:rsidRPr="00235F23" w:rsidRDefault="00A34099" w:rsidP="00BA737D">
      <w:pPr>
        <w:spacing w:after="0" w:line="360" w:lineRule="auto"/>
        <w:ind w:firstLine="709"/>
        <w:jc w:val="both"/>
        <w:rPr>
          <w:rFonts w:ascii="Times New Roman" w:hAnsi="Times New Roman" w:cs="Times New Roman"/>
        </w:rPr>
      </w:pPr>
      <w:r>
        <w:rPr>
          <w:rFonts w:ascii="Times New Roman" w:hAnsi="Times New Roman" w:cs="Times New Roman"/>
          <w:sz w:val="24"/>
          <w:szCs w:val="24"/>
        </w:rPr>
        <w:t>De acordo com o princípio da presunção de constitucionalidade, a dúvida milita em favor da constitucionalidade dos atos normativos. Sem embargo, a literatura constitucional contemporânea tem entendido que a presunção possui diferentes graus, a depender de determinados aspectos dos atos. E esses aspectos, à medida que graduam tal presunção, calibram a postura que o Poder Judiciário deve adotar ao realizar o controle de constitucionalidade dos atos. Quanto mais eles reforcem a presunção de constitucionalidade, tanto mais eles imporão ao Poder Judiciário a adoção de postura autocontida. Por outro lado, quanto mais eles mitiguem a presunção, tanto mais eles exigirão o ativismo judicial. Desse modo, tais aspectos funcionam como parâmetros (</w:t>
      </w:r>
      <w:r>
        <w:rPr>
          <w:rFonts w:ascii="Times New Roman" w:hAnsi="Times New Roman" w:cs="Times New Roman"/>
          <w:i/>
          <w:iCs/>
          <w:sz w:val="24"/>
          <w:szCs w:val="24"/>
        </w:rPr>
        <w:t>stantards</w:t>
      </w:r>
      <w:r>
        <w:rPr>
          <w:rFonts w:ascii="Times New Roman" w:hAnsi="Times New Roman" w:cs="Times New Roman"/>
          <w:sz w:val="24"/>
          <w:szCs w:val="24"/>
        </w:rPr>
        <w:t xml:space="preserve">) do controle de constitucionalidade </w:t>
      </w:r>
      <w:r w:rsidRPr="00006D3B">
        <w:rPr>
          <w:rFonts w:ascii="Times New Roman" w:hAnsi="Times New Roman" w:cs="Times New Roman"/>
          <w:sz w:val="24"/>
          <w:szCs w:val="24"/>
        </w:rPr>
        <w:t>(SARMENTO e SOUZA NETO, 2017, p. 462).</w:t>
      </w:r>
    </w:p>
    <w:p w14:paraId="562035C2" w14:textId="77777777" w:rsidR="00A34099" w:rsidRPr="001578FA" w:rsidRDefault="00A34099" w:rsidP="00BA737D">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Um importante parâmetro é o grau de legitimidade democrática do processo formal de elaboração do ato normativo. Por exemplo, o procedimento das Emendas Constitucionais exige a aprovação, em dois turnos, de 3/5 de cada uma das casas do Congresso Nacional; logo, o grau de legitimidade democrática dele é alto. Por isso, as Emendas são dotadas de presunção qualificada de constitucionalidade. O Poder Judiciário, ao controlar a constitucionalidade delas, deve adotar postura de autocontenção. A declaração de constitucionalidade de uma emenda lhe impõe </w:t>
      </w:r>
      <w:r w:rsidRPr="00003079">
        <w:rPr>
          <w:rFonts w:ascii="Times New Roman" w:hAnsi="Times New Roman" w:cs="Times New Roman"/>
          <w:sz w:val="24"/>
          <w:szCs w:val="24"/>
        </w:rPr>
        <w:t xml:space="preserve">ônus argumentativo robusto: ele deve ter a certeza muito bem fundamentada de que a norma tende a abolir cláusula pétrea </w:t>
      </w:r>
      <w:r w:rsidRPr="00006D3B">
        <w:rPr>
          <w:rFonts w:ascii="Times New Roman" w:hAnsi="Times New Roman" w:cs="Times New Roman"/>
          <w:sz w:val="24"/>
          <w:szCs w:val="24"/>
        </w:rPr>
        <w:t>(</w:t>
      </w:r>
      <w:r w:rsidRPr="00B56653">
        <w:rPr>
          <w:rFonts w:ascii="Times New Roman" w:hAnsi="Times New Roman" w:cs="Times New Roman"/>
          <w:i/>
          <w:iCs/>
          <w:sz w:val="24"/>
          <w:szCs w:val="24"/>
        </w:rPr>
        <w:t>Ibid</w:t>
      </w:r>
      <w:r w:rsidRPr="00006D3B">
        <w:rPr>
          <w:rFonts w:ascii="Times New Roman" w:hAnsi="Times New Roman" w:cs="Times New Roman"/>
          <w:sz w:val="24"/>
          <w:szCs w:val="24"/>
        </w:rPr>
        <w:t>, p. 462)</w:t>
      </w:r>
      <w:r w:rsidRPr="00006D3B">
        <w:rPr>
          <w:rStyle w:val="Refdecomentrio"/>
          <w:sz w:val="24"/>
          <w:szCs w:val="24"/>
        </w:rPr>
        <w:t>.</w:t>
      </w:r>
    </w:p>
    <w:p w14:paraId="2CBB2DEB" w14:textId="77777777" w:rsidR="00A34099" w:rsidRPr="001578FA" w:rsidRDefault="00A34099" w:rsidP="00BA737D">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Outro importante parâmetro é o grau de legitimidade democrática da maneira concreta com que o ato sob controle foi produzido. O ato produzido com elevado grau de consenso - com o apoio não só da maioria legislativa, mas também das minorias - e o ato cujo processo de aprovação contou com a participação de atores sociais importantes e plurais têm sua presunção de constitucionalidade reforçada (</w:t>
      </w:r>
      <w:r w:rsidRPr="00B56653">
        <w:rPr>
          <w:rFonts w:ascii="Times New Roman" w:hAnsi="Times New Roman" w:cs="Times New Roman"/>
          <w:i/>
          <w:iCs/>
          <w:sz w:val="24"/>
          <w:szCs w:val="24"/>
        </w:rPr>
        <w:t>Ibid</w:t>
      </w:r>
      <w:r w:rsidRPr="00006D3B">
        <w:rPr>
          <w:rFonts w:ascii="Times New Roman" w:hAnsi="Times New Roman" w:cs="Times New Roman"/>
          <w:sz w:val="24"/>
          <w:szCs w:val="24"/>
        </w:rPr>
        <w:t>, p. 462/463).</w:t>
      </w:r>
    </w:p>
    <w:p w14:paraId="23DD4D11" w14:textId="77777777" w:rsidR="00A34099" w:rsidRDefault="00A3409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w:t>
      </w:r>
      <w:r>
        <w:rPr>
          <w:rFonts w:ascii="Times New Roman" w:hAnsi="Times New Roman" w:cs="Times New Roman"/>
          <w:sz w:val="24"/>
          <w:szCs w:val="24"/>
        </w:rPr>
        <w:t xml:space="preserve"> da</w:t>
      </w:r>
      <w:r w:rsidRPr="00B856D7">
        <w:rPr>
          <w:rFonts w:ascii="Times New Roman" w:hAnsi="Times New Roman" w:cs="Times New Roman"/>
          <w:sz w:val="24"/>
          <w:szCs w:val="24"/>
        </w:rPr>
        <w:t xml:space="preserve"> CRFB</w:t>
      </w:r>
      <w:r>
        <w:rPr>
          <w:rFonts w:ascii="Times New Roman" w:hAnsi="Times New Roman" w:cs="Times New Roman"/>
          <w:sz w:val="24"/>
          <w:szCs w:val="24"/>
        </w:rPr>
        <w:t xml:space="preserve"> são fruto das ECs n.º 94/2016 e 99/2017.</w:t>
      </w:r>
    </w:p>
    <w:p w14:paraId="7BE23D98" w14:textId="77777777" w:rsidR="00A34099" w:rsidRDefault="00A3409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Emenda n.º 94/2016 foi aprovada em primeiro turno na Câmara dos Deputados por 355 votantes; nenhum Deputado votou contra. Em segundo turno, ela foi aprovada pelos 359 votantes; novamente nenhum Deputado votou contra. No Senado, ela foi aprovada em primeiro turno por 51 dos 65 votantes, o que representa 78,46%. E, em segundo turno, por 57 dos 66 votantes, o que representa 86,36%.</w:t>
      </w:r>
    </w:p>
    <w:p w14:paraId="3161E7CE" w14:textId="77777777" w:rsidR="00A34099" w:rsidRDefault="00A3409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a Emenda n.º 99/2017, foi aprovada em primeiro turno na Câmara dos Deputados por 364 Deputados; apenas 2 votaram contra. Em segundo turno, ela foi aprovada pelos 390 votantes; nenhum Deputado votou contra. No Senado, ela foi aprovada em primeiro turno pelos 61 votantes e, em segundo turno, pelos 57 votantes; nenhum Senador votou contra.</w:t>
      </w:r>
    </w:p>
    <w:p w14:paraId="14069FC8" w14:textId="77777777" w:rsidR="00A34099" w:rsidRPr="00772394" w:rsidRDefault="00A3409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votação na Câmara da </w:t>
      </w:r>
      <w:r w:rsidRPr="00605184">
        <w:rPr>
          <w:rFonts w:ascii="Times New Roman" w:hAnsi="Times New Roman" w:cs="Times New Roman"/>
          <w:sz w:val="24"/>
          <w:szCs w:val="24"/>
        </w:rPr>
        <w:t>PEC que deu origem à EC n.º 94/2016 foi precedida de audiência pública com a presença</w:t>
      </w:r>
      <w:r>
        <w:rPr>
          <w:rFonts w:ascii="Times New Roman" w:hAnsi="Times New Roman" w:cs="Times New Roman"/>
          <w:sz w:val="24"/>
          <w:szCs w:val="24"/>
        </w:rPr>
        <w:t xml:space="preserve"> de</w:t>
      </w:r>
      <w:r w:rsidRPr="00605184">
        <w:rPr>
          <w:rFonts w:ascii="Times New Roman" w:hAnsi="Times New Roman" w:cs="Times New Roman"/>
          <w:sz w:val="24"/>
          <w:szCs w:val="24"/>
        </w:rPr>
        <w:t xml:space="preserve"> importantes atores </w:t>
      </w:r>
      <w:r w:rsidRPr="00003079">
        <w:rPr>
          <w:rFonts w:ascii="Times New Roman" w:hAnsi="Times New Roman" w:cs="Times New Roman"/>
          <w:sz w:val="24"/>
          <w:szCs w:val="24"/>
        </w:rPr>
        <w:t xml:space="preserve">sociais, como o Presidente da Comissão de Precatórios do Conselho Federal da OAB e o Presidente do Movimento dos Advogados Credores em Defesa dos Precatórios Alimentares </w:t>
      </w:r>
      <w:r>
        <w:rPr>
          <w:rFonts w:ascii="Times New Roman" w:hAnsi="Times New Roman" w:cs="Times New Roman"/>
          <w:sz w:val="24"/>
          <w:szCs w:val="24"/>
        </w:rPr>
        <w:t>(</w:t>
      </w:r>
      <w:r w:rsidRPr="00003079">
        <w:rPr>
          <w:rFonts w:ascii="Times New Roman" w:hAnsi="Times New Roman" w:cs="Times New Roman"/>
          <w:sz w:val="24"/>
          <w:szCs w:val="24"/>
        </w:rPr>
        <w:t>MADECA</w:t>
      </w:r>
      <w:r>
        <w:rPr>
          <w:rFonts w:ascii="Times New Roman" w:hAnsi="Times New Roman" w:cs="Times New Roman"/>
          <w:sz w:val="24"/>
          <w:szCs w:val="24"/>
        </w:rPr>
        <w:t>)</w:t>
      </w:r>
      <w:r w:rsidRPr="00003079">
        <w:rPr>
          <w:rFonts w:ascii="Times New Roman" w:hAnsi="Times New Roman" w:cs="Times New Roman"/>
          <w:sz w:val="24"/>
          <w:szCs w:val="24"/>
        </w:rPr>
        <w:t xml:space="preserve">, </w:t>
      </w:r>
      <w:r w:rsidRPr="00605184">
        <w:rPr>
          <w:rFonts w:ascii="Times New Roman" w:hAnsi="Times New Roman" w:cs="Times New Roman"/>
          <w:sz w:val="24"/>
          <w:szCs w:val="24"/>
        </w:rPr>
        <w:t>e eles foram unânimes no sentido da importância da aprovação da PEC. Foi o que esclareceu o relatório do Deputado</w:t>
      </w:r>
      <w:r>
        <w:rPr>
          <w:rFonts w:ascii="Times New Roman" w:hAnsi="Times New Roman" w:cs="Times New Roman"/>
          <w:sz w:val="24"/>
          <w:szCs w:val="24"/>
        </w:rPr>
        <w:t xml:space="preserve"> Paulo Teixeira. Não foi diferente com a votação na Câmara do substitutivo da </w:t>
      </w:r>
      <w:r w:rsidRPr="00003079">
        <w:rPr>
          <w:rFonts w:ascii="Times New Roman" w:hAnsi="Times New Roman" w:cs="Times New Roman"/>
          <w:sz w:val="24"/>
          <w:szCs w:val="24"/>
        </w:rPr>
        <w:t xml:space="preserve">PEC que </w:t>
      </w:r>
      <w:r w:rsidRPr="00772394">
        <w:rPr>
          <w:rFonts w:ascii="Times New Roman" w:hAnsi="Times New Roman" w:cs="Times New Roman"/>
          <w:sz w:val="24"/>
          <w:szCs w:val="24"/>
        </w:rPr>
        <w:t>deu origem à EC n.º 99/2017. Ela também foi precedida pela manifestação de importantes atores sociais, como o Diretor Jurídico da Confederação Nacional dos Servidores Públicos – CNSP, conforme relatório do deputado Arnaldo Faria de Sá.</w:t>
      </w:r>
    </w:p>
    <w:p w14:paraId="5D2C7C3E" w14:textId="77777777" w:rsidR="00A34099" w:rsidRDefault="00A3409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Sendo assim, os incisos I e II d</w:t>
      </w:r>
      <w:r w:rsidRPr="00B856D7">
        <w:rPr>
          <w:rFonts w:ascii="Times New Roman" w:hAnsi="Times New Roman" w:cs="Times New Roman"/>
          <w:sz w:val="24"/>
          <w:szCs w:val="24"/>
        </w:rPr>
        <w:t>o</w:t>
      </w:r>
      <w:r>
        <w:rPr>
          <w:rFonts w:ascii="Times New Roman" w:hAnsi="Times New Roman" w:cs="Times New Roman"/>
          <w:sz w:val="24"/>
          <w:szCs w:val="24"/>
        </w:rPr>
        <w:t xml:space="preserve"> § 2º do</w:t>
      </w:r>
      <w:r w:rsidRPr="00B856D7">
        <w:rPr>
          <w:rFonts w:ascii="Times New Roman" w:hAnsi="Times New Roman" w:cs="Times New Roman"/>
          <w:sz w:val="24"/>
          <w:szCs w:val="24"/>
        </w:rPr>
        <w:t xml:space="preserve"> art. 101 </w:t>
      </w:r>
      <w:r>
        <w:rPr>
          <w:rFonts w:ascii="Times New Roman" w:hAnsi="Times New Roman" w:cs="Times New Roman"/>
          <w:sz w:val="24"/>
          <w:szCs w:val="24"/>
        </w:rPr>
        <w:t>do ADCT têm p</w:t>
      </w:r>
      <w:r w:rsidR="00BA737D">
        <w:rPr>
          <w:rFonts w:ascii="Times New Roman" w:hAnsi="Times New Roman" w:cs="Times New Roman"/>
          <w:sz w:val="24"/>
          <w:szCs w:val="24"/>
        </w:rPr>
        <w:t xml:space="preserve">resunção de constitucionalidade </w:t>
      </w:r>
      <w:r>
        <w:rPr>
          <w:rFonts w:ascii="Times New Roman" w:hAnsi="Times New Roman" w:cs="Times New Roman"/>
          <w:sz w:val="24"/>
          <w:szCs w:val="24"/>
        </w:rPr>
        <w:t xml:space="preserve">reforçadíssima: havendo a mínima dúvida, eles devem ser declarados constitucionais. Ao controlar a constitucionalidade deles, o STF deve adotar postura de autocontenção. Ele apenas poderia declarar a inconstitucionalidade dos incisos se tivesse plena certeza de que tendem a abolir o direito fundamental à propriedade, o direito fundamental ao acesso à justiça, o princípio do devido processo legal, o direito fundamental à razoável duração do processo ou o princípio da separação dos poderes. </w:t>
      </w:r>
    </w:p>
    <w:p w14:paraId="0EA74665" w14:textId="77777777" w:rsidR="00A34099" w:rsidRPr="00003079" w:rsidRDefault="00A34099" w:rsidP="00BA737D">
      <w:pPr>
        <w:spacing w:after="0" w:line="360" w:lineRule="auto"/>
        <w:ind w:firstLine="709"/>
        <w:jc w:val="both"/>
        <w:rPr>
          <w:rFonts w:ascii="Times New Roman" w:hAnsi="Times New Roman" w:cs="Times New Roman"/>
          <w:sz w:val="24"/>
          <w:szCs w:val="24"/>
        </w:rPr>
      </w:pPr>
      <w:r w:rsidRPr="00003079">
        <w:rPr>
          <w:rFonts w:ascii="Times New Roman" w:hAnsi="Times New Roman" w:cs="Times New Roman"/>
          <w:sz w:val="24"/>
          <w:szCs w:val="24"/>
        </w:rPr>
        <w:t>Como se demonstrou acima, há argumentos bastante plausíveis de que não é esse o caso. Portanto, ainda que não se concorde com eles, deve-se reconhecer que há no mínimo uma dúvida razoável sobre a constitucionalidade dos incisos. Consequentemente, os incisos devem ser declarados constitucionais.</w:t>
      </w:r>
    </w:p>
    <w:p w14:paraId="42444B6F" w14:textId="77777777" w:rsidR="006145C3" w:rsidRDefault="006145C3" w:rsidP="00BA737D">
      <w:pPr>
        <w:spacing w:after="0" w:line="240" w:lineRule="auto"/>
        <w:jc w:val="both"/>
        <w:rPr>
          <w:rFonts w:ascii="Times New Roman" w:hAnsi="Times New Roman" w:cs="Times New Roman"/>
          <w:b/>
          <w:caps/>
          <w:sz w:val="24"/>
          <w:szCs w:val="24"/>
        </w:rPr>
      </w:pPr>
      <w:bookmarkStart w:id="6" w:name="_Hlk140245765"/>
    </w:p>
    <w:p w14:paraId="510ECABF" w14:textId="77777777" w:rsidR="00192D35" w:rsidRDefault="00192D35" w:rsidP="00AB4768">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Conclusão</w:t>
      </w:r>
    </w:p>
    <w:p w14:paraId="3F84F108" w14:textId="77777777" w:rsidR="00A60569" w:rsidRDefault="003331EB" w:rsidP="00AB4768">
      <w:pPr>
        <w:spacing w:after="0" w:line="360" w:lineRule="auto"/>
        <w:jc w:val="both"/>
        <w:rPr>
          <w:rFonts w:ascii="Times New Roman" w:hAnsi="Times New Roman" w:cs="Times New Roman"/>
          <w:sz w:val="24"/>
          <w:szCs w:val="24"/>
        </w:rPr>
      </w:pPr>
      <w:r>
        <w:rPr>
          <w:rFonts w:ascii="Times New Roman" w:hAnsi="Times New Roman" w:cs="Times New Roman"/>
          <w:b/>
          <w:caps/>
          <w:sz w:val="24"/>
          <w:szCs w:val="24"/>
        </w:rPr>
        <w:tab/>
      </w:r>
      <w:r w:rsidR="0099384A">
        <w:rPr>
          <w:rFonts w:ascii="Times New Roman" w:hAnsi="Times New Roman" w:cs="Times New Roman"/>
          <w:bCs/>
          <w:caps/>
          <w:sz w:val="24"/>
          <w:szCs w:val="24"/>
        </w:rPr>
        <w:t xml:space="preserve">o </w:t>
      </w:r>
      <w:r w:rsidR="0015481B">
        <w:rPr>
          <w:rFonts w:ascii="Times New Roman" w:hAnsi="Times New Roman" w:cs="Times New Roman"/>
          <w:bCs/>
          <w:sz w:val="24"/>
          <w:szCs w:val="24"/>
        </w:rPr>
        <w:t>regime de precatórios foi instituído no Brasil com a Constituição de 1934 sobre dois fundamentos: a su</w:t>
      </w:r>
      <w:r w:rsidR="004835CB">
        <w:rPr>
          <w:rFonts w:ascii="Times New Roman" w:hAnsi="Times New Roman" w:cs="Times New Roman"/>
          <w:bCs/>
          <w:sz w:val="24"/>
          <w:szCs w:val="24"/>
        </w:rPr>
        <w:t xml:space="preserve">peração das </w:t>
      </w:r>
      <w:r w:rsidR="004835CB" w:rsidRPr="004835CB">
        <w:rPr>
          <w:rFonts w:ascii="Times New Roman" w:hAnsi="Times New Roman" w:cs="Times New Roman"/>
          <w:bCs/>
          <w:sz w:val="24"/>
          <w:szCs w:val="24"/>
        </w:rPr>
        <w:t>práticas clientelistas utilizadas na República Velha</w:t>
      </w:r>
      <w:r w:rsidR="004835CB">
        <w:rPr>
          <w:rFonts w:ascii="Times New Roman" w:hAnsi="Times New Roman" w:cs="Times New Roman"/>
          <w:bCs/>
          <w:sz w:val="24"/>
          <w:szCs w:val="24"/>
        </w:rPr>
        <w:t xml:space="preserve"> e </w:t>
      </w:r>
      <w:r w:rsidR="007E4B8A">
        <w:rPr>
          <w:rFonts w:ascii="Times New Roman" w:hAnsi="Times New Roman" w:cs="Times New Roman"/>
          <w:bCs/>
          <w:sz w:val="24"/>
          <w:szCs w:val="24"/>
        </w:rPr>
        <w:t xml:space="preserve">o planejamento </w:t>
      </w:r>
      <w:r w:rsidR="007E4B8A" w:rsidRPr="00953719">
        <w:rPr>
          <w:rFonts w:ascii="Times New Roman" w:hAnsi="Times New Roman" w:cs="Times New Roman"/>
          <w:bCs/>
          <w:sz w:val="24"/>
          <w:szCs w:val="24"/>
        </w:rPr>
        <w:t xml:space="preserve">orçamentário. </w:t>
      </w:r>
      <w:r w:rsidR="007E4B8A" w:rsidRPr="00953719">
        <w:rPr>
          <w:rFonts w:ascii="Times New Roman" w:hAnsi="Times New Roman" w:cs="Times New Roman"/>
          <w:sz w:val="24"/>
          <w:szCs w:val="24"/>
        </w:rPr>
        <w:t xml:space="preserve">Apesar desses </w:t>
      </w:r>
      <w:r w:rsidR="00333581" w:rsidRPr="00953719">
        <w:rPr>
          <w:rFonts w:ascii="Times New Roman" w:hAnsi="Times New Roman" w:cs="Times New Roman"/>
          <w:sz w:val="24"/>
          <w:szCs w:val="24"/>
        </w:rPr>
        <w:t xml:space="preserve">nobres </w:t>
      </w:r>
      <w:r w:rsidR="007E4B8A" w:rsidRPr="00953719">
        <w:rPr>
          <w:rFonts w:ascii="Times New Roman" w:hAnsi="Times New Roman" w:cs="Times New Roman"/>
          <w:sz w:val="24"/>
          <w:szCs w:val="24"/>
        </w:rPr>
        <w:t xml:space="preserve">fundamentos, o sistema sofre duras críticas.  </w:t>
      </w:r>
      <w:r w:rsidR="00953719" w:rsidRPr="00953719">
        <w:rPr>
          <w:rFonts w:ascii="Times New Roman" w:hAnsi="Times New Roman" w:cs="Times New Roman"/>
          <w:sz w:val="24"/>
          <w:szCs w:val="24"/>
        </w:rPr>
        <w:t xml:space="preserve">Por outro lado, as críticas parecem ignorar que o sistema </w:t>
      </w:r>
      <w:r w:rsidR="00333581" w:rsidRPr="00953719">
        <w:rPr>
          <w:rFonts w:ascii="Times New Roman" w:hAnsi="Times New Roman" w:cs="Times New Roman"/>
          <w:sz w:val="24"/>
          <w:szCs w:val="24"/>
        </w:rPr>
        <w:t xml:space="preserve">apresentou desde sua criação inúmeros avanços que beneficiaram os credores. </w:t>
      </w:r>
    </w:p>
    <w:p w14:paraId="6A1F8C1B" w14:textId="77777777" w:rsidR="001919E9" w:rsidRDefault="00A9179F" w:rsidP="00BA73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todo modo</w:t>
      </w:r>
      <w:r w:rsidR="00547DBC">
        <w:rPr>
          <w:rFonts w:ascii="Times New Roman" w:hAnsi="Times New Roman" w:cs="Times New Roman"/>
          <w:sz w:val="24"/>
          <w:szCs w:val="24"/>
        </w:rPr>
        <w:t xml:space="preserve">, </w:t>
      </w:r>
      <w:r w:rsidR="00CC31A9">
        <w:rPr>
          <w:rFonts w:ascii="Times New Roman" w:hAnsi="Times New Roman" w:cs="Times New Roman"/>
          <w:sz w:val="24"/>
          <w:szCs w:val="24"/>
        </w:rPr>
        <w:t xml:space="preserve">o </w:t>
      </w:r>
      <w:r w:rsidR="00CC31A9" w:rsidRPr="00BA5F65">
        <w:rPr>
          <w:rFonts w:ascii="Times New Roman" w:hAnsi="Times New Roman" w:cs="Times New Roman"/>
          <w:sz w:val="24"/>
          <w:szCs w:val="24"/>
        </w:rPr>
        <w:t>montante</w:t>
      </w:r>
      <w:r w:rsidR="00CC31A9">
        <w:rPr>
          <w:rFonts w:ascii="Times New Roman" w:hAnsi="Times New Roman" w:cs="Times New Roman"/>
          <w:sz w:val="24"/>
          <w:szCs w:val="24"/>
        </w:rPr>
        <w:t xml:space="preserve"> dos precatórios não pagos cresce de forma </w:t>
      </w:r>
      <w:r w:rsidR="00CC31A9" w:rsidRPr="00760445">
        <w:rPr>
          <w:rFonts w:ascii="Times New Roman" w:hAnsi="Times New Roman" w:cs="Times New Roman"/>
          <w:sz w:val="24"/>
          <w:szCs w:val="24"/>
        </w:rPr>
        <w:t>exponencial</w:t>
      </w:r>
      <w:r w:rsidR="00CC31A9">
        <w:rPr>
          <w:rFonts w:ascii="Times New Roman" w:hAnsi="Times New Roman" w:cs="Times New Roman"/>
          <w:sz w:val="24"/>
          <w:szCs w:val="24"/>
        </w:rPr>
        <w:t xml:space="preserve">. Medidas devem ser </w:t>
      </w:r>
      <w:r w:rsidR="00CC31A9" w:rsidRPr="00BF028E">
        <w:rPr>
          <w:rFonts w:ascii="Times New Roman" w:hAnsi="Times New Roman" w:cs="Times New Roman"/>
          <w:sz w:val="24"/>
          <w:szCs w:val="24"/>
        </w:rPr>
        <w:t>tomadas. Nesse contexto, o constituinte derivado edit</w:t>
      </w:r>
      <w:r w:rsidR="003A0635" w:rsidRPr="00BF028E">
        <w:rPr>
          <w:rFonts w:ascii="Times New Roman" w:hAnsi="Times New Roman" w:cs="Times New Roman"/>
          <w:sz w:val="24"/>
          <w:szCs w:val="24"/>
        </w:rPr>
        <w:t>ou</w:t>
      </w:r>
      <w:r w:rsidR="00CC31A9" w:rsidRPr="00BF028E">
        <w:rPr>
          <w:rFonts w:ascii="Times New Roman" w:hAnsi="Times New Roman" w:cs="Times New Roman"/>
          <w:sz w:val="24"/>
          <w:szCs w:val="24"/>
        </w:rPr>
        <w:t xml:space="preserve"> a</w:t>
      </w:r>
      <w:r w:rsidR="00EC2615">
        <w:rPr>
          <w:rFonts w:ascii="Times New Roman" w:hAnsi="Times New Roman" w:cs="Times New Roman"/>
          <w:sz w:val="24"/>
          <w:szCs w:val="24"/>
        </w:rPr>
        <w:t>s</w:t>
      </w:r>
      <w:r w:rsidR="00CC31A9" w:rsidRPr="00953719">
        <w:rPr>
          <w:rFonts w:ascii="Times New Roman" w:hAnsi="Times New Roman" w:cs="Times New Roman"/>
          <w:sz w:val="24"/>
          <w:szCs w:val="24"/>
        </w:rPr>
        <w:t xml:space="preserve"> EC</w:t>
      </w:r>
      <w:r w:rsidR="00547DBC" w:rsidRPr="00953719">
        <w:rPr>
          <w:rFonts w:ascii="Times New Roman" w:hAnsi="Times New Roman" w:cs="Times New Roman"/>
          <w:sz w:val="24"/>
          <w:szCs w:val="24"/>
        </w:rPr>
        <w:t>s</w:t>
      </w:r>
      <w:r w:rsidR="00CC31A9" w:rsidRPr="00953719">
        <w:rPr>
          <w:rFonts w:ascii="Times New Roman" w:hAnsi="Times New Roman" w:cs="Times New Roman"/>
          <w:sz w:val="24"/>
          <w:szCs w:val="24"/>
        </w:rPr>
        <w:t xml:space="preserve"> n.º 94/2016</w:t>
      </w:r>
      <w:r w:rsidR="00EC2615" w:rsidRPr="00953719">
        <w:rPr>
          <w:rFonts w:ascii="Times New Roman" w:hAnsi="Times New Roman" w:cs="Times New Roman"/>
          <w:sz w:val="24"/>
          <w:szCs w:val="24"/>
        </w:rPr>
        <w:t xml:space="preserve"> e 99/2017. </w:t>
      </w:r>
      <w:r w:rsidR="00EC2615">
        <w:rPr>
          <w:rFonts w:ascii="Times New Roman" w:hAnsi="Times New Roman" w:cs="Times New Roman"/>
          <w:sz w:val="24"/>
          <w:szCs w:val="24"/>
        </w:rPr>
        <w:t>A primeira</w:t>
      </w:r>
      <w:r w:rsidR="003A0635" w:rsidRPr="00BF028E">
        <w:rPr>
          <w:rFonts w:ascii="Times New Roman" w:hAnsi="Times New Roman" w:cs="Times New Roman"/>
          <w:sz w:val="24"/>
          <w:szCs w:val="24"/>
        </w:rPr>
        <w:t xml:space="preserve"> inseriu o </w:t>
      </w:r>
      <w:r w:rsidR="00BA62C8" w:rsidRPr="00BF028E">
        <w:rPr>
          <w:rFonts w:ascii="Times New Roman" w:hAnsi="Times New Roman" w:cs="Times New Roman"/>
          <w:sz w:val="24"/>
          <w:szCs w:val="24"/>
        </w:rPr>
        <w:t xml:space="preserve">art. </w:t>
      </w:r>
      <w:r w:rsidR="003A0635" w:rsidRPr="00BF028E">
        <w:rPr>
          <w:rFonts w:ascii="Times New Roman" w:hAnsi="Times New Roman" w:cs="Times New Roman"/>
          <w:sz w:val="24"/>
          <w:szCs w:val="24"/>
        </w:rPr>
        <w:t>101 no ADCT</w:t>
      </w:r>
      <w:r w:rsidR="00EC2615">
        <w:rPr>
          <w:rFonts w:ascii="Times New Roman" w:hAnsi="Times New Roman" w:cs="Times New Roman"/>
          <w:sz w:val="24"/>
          <w:szCs w:val="24"/>
        </w:rPr>
        <w:t>, que</w:t>
      </w:r>
      <w:r w:rsidR="00BA62C8" w:rsidRPr="00BF028E">
        <w:rPr>
          <w:rFonts w:ascii="Times New Roman" w:hAnsi="Times New Roman" w:cs="Times New Roman"/>
          <w:sz w:val="24"/>
          <w:szCs w:val="24"/>
        </w:rPr>
        <w:t xml:space="preserve"> prevê, nos incisos I e II do § 2º, </w:t>
      </w:r>
      <w:r w:rsidR="00CC31A9" w:rsidRPr="00BF028E">
        <w:rPr>
          <w:rFonts w:ascii="Times New Roman" w:hAnsi="Times New Roman" w:cs="Times New Roman"/>
          <w:sz w:val="24"/>
          <w:szCs w:val="24"/>
        </w:rPr>
        <w:t xml:space="preserve">o uso </w:t>
      </w:r>
      <w:r w:rsidR="003331EB" w:rsidRPr="00BF028E">
        <w:rPr>
          <w:rFonts w:ascii="Times New Roman" w:hAnsi="Times New Roman" w:cs="Times New Roman"/>
          <w:sz w:val="24"/>
          <w:szCs w:val="24"/>
        </w:rPr>
        <w:t>d</w:t>
      </w:r>
      <w:r w:rsidR="00CC31A9" w:rsidRPr="00BF028E">
        <w:rPr>
          <w:rFonts w:ascii="Times New Roman" w:hAnsi="Times New Roman" w:cs="Times New Roman"/>
          <w:sz w:val="24"/>
          <w:szCs w:val="24"/>
        </w:rPr>
        <w:t>os</w:t>
      </w:r>
      <w:r w:rsidR="003331EB" w:rsidRPr="00BF028E">
        <w:rPr>
          <w:rFonts w:ascii="Times New Roman" w:hAnsi="Times New Roman" w:cs="Times New Roman"/>
          <w:sz w:val="24"/>
          <w:szCs w:val="24"/>
        </w:rPr>
        <w:t xml:space="preserve"> depósitos judiciais e administrativos para </w:t>
      </w:r>
      <w:r w:rsidR="000C46C2" w:rsidRPr="00BF028E">
        <w:rPr>
          <w:rFonts w:ascii="Times New Roman" w:hAnsi="Times New Roman" w:cs="Times New Roman"/>
          <w:sz w:val="24"/>
          <w:szCs w:val="24"/>
        </w:rPr>
        <w:t xml:space="preserve">o </w:t>
      </w:r>
      <w:r w:rsidR="003331EB" w:rsidRPr="00BF028E">
        <w:rPr>
          <w:rFonts w:ascii="Times New Roman" w:hAnsi="Times New Roman" w:cs="Times New Roman"/>
          <w:sz w:val="24"/>
          <w:szCs w:val="24"/>
        </w:rPr>
        <w:t xml:space="preserve">pagamento </w:t>
      </w:r>
      <w:r w:rsidR="00314E71" w:rsidRPr="00BF028E">
        <w:rPr>
          <w:rFonts w:ascii="Times New Roman" w:hAnsi="Times New Roman" w:cs="Times New Roman"/>
          <w:sz w:val="24"/>
          <w:szCs w:val="24"/>
        </w:rPr>
        <w:t>dos precatórios</w:t>
      </w:r>
      <w:r w:rsidR="000C46C2" w:rsidRPr="00BF028E">
        <w:rPr>
          <w:rFonts w:ascii="Times New Roman" w:hAnsi="Times New Roman" w:cs="Times New Roman"/>
          <w:sz w:val="24"/>
          <w:szCs w:val="24"/>
        </w:rPr>
        <w:t xml:space="preserve">. </w:t>
      </w:r>
      <w:r w:rsidR="00EC2615">
        <w:rPr>
          <w:rFonts w:ascii="Times New Roman" w:hAnsi="Times New Roman" w:cs="Times New Roman"/>
          <w:sz w:val="24"/>
          <w:szCs w:val="24"/>
        </w:rPr>
        <w:t xml:space="preserve">A segunda </w:t>
      </w:r>
      <w:r w:rsidR="006946E6">
        <w:rPr>
          <w:rFonts w:ascii="Times New Roman" w:hAnsi="Times New Roman" w:cs="Times New Roman"/>
          <w:sz w:val="24"/>
          <w:szCs w:val="24"/>
        </w:rPr>
        <w:t>fez</w:t>
      </w:r>
      <w:r w:rsidR="00BF028E" w:rsidRPr="00BF028E">
        <w:rPr>
          <w:rFonts w:ascii="Times New Roman" w:hAnsi="Times New Roman" w:cs="Times New Roman"/>
          <w:sz w:val="24"/>
          <w:szCs w:val="24"/>
        </w:rPr>
        <w:t xml:space="preserve"> modificações pontuais n</w:t>
      </w:r>
      <w:r w:rsidR="000C46C2" w:rsidRPr="00BF028E">
        <w:rPr>
          <w:rFonts w:ascii="Times New Roman" w:hAnsi="Times New Roman" w:cs="Times New Roman"/>
          <w:sz w:val="24"/>
          <w:szCs w:val="24"/>
        </w:rPr>
        <w:t xml:space="preserve">a redação </w:t>
      </w:r>
      <w:r w:rsidR="00BA737D" w:rsidRPr="00BF028E">
        <w:rPr>
          <w:rFonts w:ascii="Times New Roman" w:hAnsi="Times New Roman" w:cs="Times New Roman"/>
          <w:sz w:val="24"/>
          <w:szCs w:val="24"/>
        </w:rPr>
        <w:t>d</w:t>
      </w:r>
      <w:r w:rsidR="00BA737D">
        <w:rPr>
          <w:rFonts w:ascii="Times New Roman" w:hAnsi="Times New Roman" w:cs="Times New Roman"/>
          <w:sz w:val="24"/>
          <w:szCs w:val="24"/>
        </w:rPr>
        <w:t xml:space="preserve">os </w:t>
      </w:r>
      <w:r w:rsidR="00BA737D" w:rsidRPr="00BF028E">
        <w:rPr>
          <w:rFonts w:ascii="Times New Roman" w:hAnsi="Times New Roman" w:cs="Times New Roman"/>
          <w:sz w:val="24"/>
          <w:szCs w:val="24"/>
        </w:rPr>
        <w:t>incisos</w:t>
      </w:r>
      <w:r w:rsidR="00BF028E" w:rsidRPr="00BF028E">
        <w:rPr>
          <w:rFonts w:ascii="Times New Roman" w:hAnsi="Times New Roman" w:cs="Times New Roman"/>
          <w:sz w:val="24"/>
          <w:szCs w:val="24"/>
        </w:rPr>
        <w:t>.</w:t>
      </w:r>
    </w:p>
    <w:p w14:paraId="574EDD98" w14:textId="77777777" w:rsidR="004E7070" w:rsidRDefault="00202BE9" w:rsidP="00BA737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EF13C1" w:rsidRPr="00EF13C1">
        <w:rPr>
          <w:rFonts w:ascii="Times New Roman" w:hAnsi="Times New Roman" w:cs="Times New Roman"/>
          <w:sz w:val="24"/>
          <w:szCs w:val="24"/>
        </w:rPr>
        <w:t xml:space="preserve"> medida </w:t>
      </w:r>
      <w:r>
        <w:rPr>
          <w:rFonts w:ascii="Times New Roman" w:hAnsi="Times New Roman" w:cs="Times New Roman"/>
          <w:sz w:val="24"/>
          <w:szCs w:val="24"/>
        </w:rPr>
        <w:t xml:space="preserve">prevista pelos incisos </w:t>
      </w:r>
      <w:r w:rsidR="00270396">
        <w:rPr>
          <w:rFonts w:ascii="Times New Roman" w:hAnsi="Times New Roman" w:cs="Times New Roman"/>
          <w:sz w:val="24"/>
          <w:szCs w:val="24"/>
        </w:rPr>
        <w:t xml:space="preserve">é viável e </w:t>
      </w:r>
      <w:r w:rsidR="00270396" w:rsidRPr="00EF13C1">
        <w:rPr>
          <w:rFonts w:ascii="Times New Roman" w:hAnsi="Times New Roman" w:cs="Times New Roman"/>
          <w:sz w:val="24"/>
          <w:szCs w:val="24"/>
        </w:rPr>
        <w:t>permitirá a satisfação dos credores, a redução da dívida pública e a sustentabilidade econômica do Estado.</w:t>
      </w:r>
      <w:r w:rsidR="00270396">
        <w:rPr>
          <w:rFonts w:ascii="Times New Roman" w:hAnsi="Times New Roman" w:cs="Times New Roman"/>
          <w:sz w:val="24"/>
          <w:szCs w:val="24"/>
        </w:rPr>
        <w:t xml:space="preserve"> Com ela, será possível </w:t>
      </w:r>
      <w:r w:rsidR="00EF13C1" w:rsidRPr="00EF13C1">
        <w:rPr>
          <w:rFonts w:ascii="Times New Roman" w:hAnsi="Times New Roman" w:cs="Times New Roman"/>
          <w:sz w:val="24"/>
          <w:szCs w:val="24"/>
        </w:rPr>
        <w:t>a resolução gradativa do gravíssimo problema dos precatórios</w:t>
      </w:r>
      <w:r w:rsidR="00EF13C1">
        <w:rPr>
          <w:rFonts w:ascii="Times New Roman" w:hAnsi="Times New Roman" w:cs="Times New Roman"/>
          <w:sz w:val="24"/>
          <w:szCs w:val="24"/>
        </w:rPr>
        <w:t>.</w:t>
      </w:r>
    </w:p>
    <w:p w14:paraId="0797FEBE" w14:textId="77777777" w:rsidR="001919E9" w:rsidRPr="00220329" w:rsidRDefault="004E7070" w:rsidP="00BA737D">
      <w:pPr>
        <w:spacing w:after="0" w:line="360" w:lineRule="auto"/>
        <w:ind w:firstLine="709"/>
        <w:jc w:val="both"/>
        <w:rPr>
          <w:rFonts w:ascii="Times New Roman" w:hAnsi="Times New Roman" w:cs="Times New Roman"/>
          <w:sz w:val="24"/>
          <w:szCs w:val="24"/>
        </w:rPr>
      </w:pPr>
      <w:r w:rsidRPr="00220329">
        <w:rPr>
          <w:rFonts w:ascii="Times New Roman" w:hAnsi="Times New Roman" w:cs="Times New Roman"/>
          <w:sz w:val="24"/>
          <w:szCs w:val="24"/>
        </w:rPr>
        <w:t>Contudo, a Procuradoria-Geral da República a considerou inconstitucional</w:t>
      </w:r>
      <w:r w:rsidR="00F24A58">
        <w:rPr>
          <w:rFonts w:ascii="Times New Roman" w:hAnsi="Times New Roman" w:cs="Times New Roman"/>
          <w:sz w:val="24"/>
          <w:szCs w:val="24"/>
        </w:rPr>
        <w:t xml:space="preserve"> e </w:t>
      </w:r>
      <w:r w:rsidR="00F24A58" w:rsidRPr="00220329">
        <w:rPr>
          <w:rFonts w:ascii="Times New Roman" w:hAnsi="Times New Roman" w:cs="Times New Roman"/>
          <w:sz w:val="24"/>
          <w:szCs w:val="24"/>
        </w:rPr>
        <w:t>propôs a ADI n.º 5.679</w:t>
      </w:r>
      <w:r w:rsidRPr="00220329">
        <w:rPr>
          <w:rFonts w:ascii="Times New Roman" w:hAnsi="Times New Roman" w:cs="Times New Roman"/>
          <w:sz w:val="24"/>
          <w:szCs w:val="24"/>
        </w:rPr>
        <w:t>.</w:t>
      </w:r>
      <w:r w:rsidR="00202BE9" w:rsidRPr="00220329">
        <w:rPr>
          <w:rFonts w:ascii="Times New Roman" w:hAnsi="Times New Roman" w:cs="Times New Roman"/>
          <w:sz w:val="24"/>
          <w:szCs w:val="24"/>
        </w:rPr>
        <w:t xml:space="preserve"> A seu ver, </w:t>
      </w:r>
      <w:r w:rsidR="00F24A58">
        <w:rPr>
          <w:rFonts w:ascii="Times New Roman" w:hAnsi="Times New Roman" w:cs="Times New Roman"/>
          <w:sz w:val="24"/>
          <w:szCs w:val="24"/>
        </w:rPr>
        <w:t xml:space="preserve">a medida </w:t>
      </w:r>
      <w:r w:rsidR="000003C4" w:rsidRPr="00220329">
        <w:rPr>
          <w:rFonts w:ascii="Times New Roman" w:hAnsi="Times New Roman" w:cs="Times New Roman"/>
          <w:sz w:val="24"/>
          <w:szCs w:val="24"/>
        </w:rPr>
        <w:t xml:space="preserve">tende a abolir </w:t>
      </w:r>
      <w:r w:rsidR="001919E9" w:rsidRPr="00220329">
        <w:rPr>
          <w:rFonts w:ascii="Times New Roman" w:hAnsi="Times New Roman" w:cs="Times New Roman"/>
          <w:sz w:val="24"/>
          <w:szCs w:val="24"/>
        </w:rPr>
        <w:t>normas protegidas por cláusulas pétreas (CRFB, art. 60, § 4º, III e IV)</w:t>
      </w:r>
      <w:r w:rsidR="000003C4" w:rsidRPr="00220329">
        <w:rPr>
          <w:rFonts w:ascii="Times New Roman" w:hAnsi="Times New Roman" w:cs="Times New Roman"/>
          <w:sz w:val="24"/>
          <w:szCs w:val="24"/>
        </w:rPr>
        <w:t>: o</w:t>
      </w:r>
      <w:r w:rsidR="001919E9" w:rsidRPr="00220329">
        <w:rPr>
          <w:rFonts w:ascii="Times New Roman" w:hAnsi="Times New Roman" w:cs="Times New Roman"/>
          <w:sz w:val="24"/>
          <w:szCs w:val="24"/>
        </w:rPr>
        <w:t xml:space="preserve"> direito fundamental à propriedade (CRFB, art. 5º, </w:t>
      </w:r>
      <w:r w:rsidR="001919E9" w:rsidRPr="00220329">
        <w:rPr>
          <w:rFonts w:ascii="Times New Roman" w:hAnsi="Times New Roman" w:cs="Times New Roman"/>
          <w:i/>
          <w:iCs/>
          <w:sz w:val="24"/>
          <w:szCs w:val="24"/>
        </w:rPr>
        <w:t>caput</w:t>
      </w:r>
      <w:r w:rsidR="001919E9" w:rsidRPr="00220329">
        <w:rPr>
          <w:rFonts w:ascii="Times New Roman" w:hAnsi="Times New Roman" w:cs="Times New Roman"/>
          <w:sz w:val="24"/>
          <w:szCs w:val="24"/>
        </w:rPr>
        <w:t xml:space="preserve"> e XXII</w:t>
      </w:r>
      <w:r w:rsidR="001919E9" w:rsidRPr="00220329">
        <w:rPr>
          <w:rFonts w:ascii="Times New Roman" w:hAnsi="Times New Roman" w:cs="Times New Roman"/>
          <w:i/>
          <w:iCs/>
          <w:sz w:val="24"/>
          <w:szCs w:val="24"/>
        </w:rPr>
        <w:t xml:space="preserve">; </w:t>
      </w:r>
      <w:r w:rsidR="001919E9" w:rsidRPr="00220329">
        <w:rPr>
          <w:rFonts w:ascii="Times New Roman" w:hAnsi="Times New Roman" w:cs="Times New Roman"/>
          <w:sz w:val="24"/>
          <w:szCs w:val="24"/>
        </w:rPr>
        <w:t>art. 170, II), o direito fundamental ao acesso à justiça (CRFB, art. 5º, XXXV), o princípio do devido processo legal (CRFB, art. LIV), o direito fundamental à razoável duração do processo (CRFB, art. 5º, LXXVII) e o princípio da separação dos poderes (CRFB, art. 2º).</w:t>
      </w:r>
    </w:p>
    <w:p w14:paraId="6D146F6D" w14:textId="77777777" w:rsidR="000003C4" w:rsidRPr="00B37FCC" w:rsidRDefault="00F44913" w:rsidP="00BA737D">
      <w:pPr>
        <w:spacing w:after="0" w:line="360" w:lineRule="auto"/>
        <w:ind w:firstLine="709"/>
        <w:jc w:val="both"/>
        <w:rPr>
          <w:rFonts w:ascii="Times New Roman" w:hAnsi="Times New Roman" w:cs="Times New Roman"/>
          <w:sz w:val="24"/>
          <w:szCs w:val="24"/>
        </w:rPr>
      </w:pPr>
      <w:r w:rsidRPr="00B37FCC">
        <w:rPr>
          <w:rFonts w:ascii="Times New Roman" w:hAnsi="Times New Roman" w:cs="Times New Roman"/>
          <w:sz w:val="24"/>
          <w:szCs w:val="24"/>
        </w:rPr>
        <w:t xml:space="preserve">Mas </w:t>
      </w:r>
      <w:r w:rsidR="00EC2615" w:rsidRPr="00B37FCC">
        <w:rPr>
          <w:rFonts w:ascii="Times New Roman" w:hAnsi="Times New Roman" w:cs="Times New Roman"/>
          <w:sz w:val="24"/>
          <w:szCs w:val="24"/>
        </w:rPr>
        <w:t>a Procuradoria-Geral da República</w:t>
      </w:r>
      <w:r w:rsidRPr="00B37FCC">
        <w:rPr>
          <w:rFonts w:ascii="Times New Roman" w:hAnsi="Times New Roman" w:cs="Times New Roman"/>
          <w:sz w:val="24"/>
          <w:szCs w:val="24"/>
        </w:rPr>
        <w:t xml:space="preserve"> não está com a razão. </w:t>
      </w:r>
      <w:r w:rsidR="00C175CD" w:rsidRPr="00B37FCC">
        <w:rPr>
          <w:rFonts w:ascii="Times New Roman" w:hAnsi="Times New Roman" w:cs="Times New Roman"/>
          <w:sz w:val="24"/>
          <w:szCs w:val="24"/>
        </w:rPr>
        <w:t xml:space="preserve">Esse artigo apresentou diversos argumentos </w:t>
      </w:r>
      <w:r w:rsidR="007E59F2" w:rsidRPr="00B37FCC">
        <w:rPr>
          <w:rFonts w:ascii="Times New Roman" w:hAnsi="Times New Roman" w:cs="Times New Roman"/>
          <w:sz w:val="24"/>
          <w:szCs w:val="24"/>
        </w:rPr>
        <w:t xml:space="preserve">refutando suas alegações. </w:t>
      </w:r>
      <w:r w:rsidR="00B37FCC" w:rsidRPr="00B37FCC">
        <w:rPr>
          <w:rFonts w:ascii="Times New Roman" w:hAnsi="Times New Roman" w:cs="Times New Roman"/>
          <w:sz w:val="24"/>
          <w:szCs w:val="24"/>
        </w:rPr>
        <w:t xml:space="preserve">Propõe-se à advocacia pública estadual a </w:t>
      </w:r>
      <w:r w:rsidR="00B37FCC" w:rsidRPr="00B37FCC">
        <w:rPr>
          <w:rFonts w:ascii="Times New Roman" w:hAnsi="Times New Roman" w:cs="Times New Roman"/>
          <w:sz w:val="24"/>
          <w:szCs w:val="24"/>
        </w:rPr>
        <w:lastRenderedPageBreak/>
        <w:t>apresentação desses argumentos ao Supremo Tribunal Federal, a fim de que a ADI n</w:t>
      </w:r>
      <w:r w:rsidR="009F33F4">
        <w:rPr>
          <w:rFonts w:ascii="Times New Roman" w:hAnsi="Times New Roman" w:cs="Times New Roman"/>
          <w:sz w:val="24"/>
          <w:szCs w:val="24"/>
        </w:rPr>
        <w:t>.</w:t>
      </w:r>
      <w:r w:rsidR="00B37FCC" w:rsidRPr="00B37FCC">
        <w:rPr>
          <w:rFonts w:ascii="Times New Roman" w:hAnsi="Times New Roman" w:cs="Times New Roman"/>
          <w:sz w:val="24"/>
          <w:szCs w:val="24"/>
        </w:rPr>
        <w:t xml:space="preserve">º 5.679 seja julgada improcedente. </w:t>
      </w:r>
      <w:r w:rsidR="00287938" w:rsidRPr="00B37FCC">
        <w:rPr>
          <w:rFonts w:ascii="Times New Roman" w:hAnsi="Times New Roman" w:cs="Times New Roman"/>
          <w:sz w:val="24"/>
          <w:szCs w:val="24"/>
        </w:rPr>
        <w:t xml:space="preserve">A constitucionalidade da norma deve ser defendida com vivacidade. Ela é essencial à sustentabilidade econômica dos Estados. </w:t>
      </w:r>
    </w:p>
    <w:bookmarkEnd w:id="6"/>
    <w:p w14:paraId="44038F79" w14:textId="77777777" w:rsidR="00902A8B" w:rsidRPr="00BA5F65" w:rsidRDefault="00902A8B" w:rsidP="00BA737D">
      <w:pPr>
        <w:spacing w:after="0" w:line="240" w:lineRule="auto"/>
        <w:ind w:firstLine="709"/>
        <w:jc w:val="both"/>
        <w:rPr>
          <w:rFonts w:ascii="Times New Roman" w:hAnsi="Times New Roman" w:cs="Times New Roman"/>
          <w:b/>
          <w:caps/>
          <w:sz w:val="24"/>
          <w:szCs w:val="24"/>
        </w:rPr>
      </w:pPr>
    </w:p>
    <w:p w14:paraId="57A3FDEE" w14:textId="77777777" w:rsidR="00514197" w:rsidRPr="001D4019" w:rsidRDefault="00113280" w:rsidP="00BA737D">
      <w:pPr>
        <w:spacing w:after="0" w:line="360" w:lineRule="auto"/>
        <w:jc w:val="both"/>
        <w:rPr>
          <w:rFonts w:ascii="Times New Roman" w:hAnsi="Times New Roman" w:cs="Times New Roman"/>
          <w:color w:val="222222"/>
          <w:sz w:val="24"/>
          <w:szCs w:val="24"/>
        </w:rPr>
      </w:pPr>
      <w:r w:rsidRPr="001D4019">
        <w:rPr>
          <w:rFonts w:ascii="Times New Roman" w:hAnsi="Times New Roman" w:cs="Times New Roman"/>
          <w:b/>
          <w:sz w:val="24"/>
          <w:szCs w:val="24"/>
        </w:rPr>
        <w:t>REFERÊNCIAS BIBLIOGRÁFICAS</w:t>
      </w:r>
    </w:p>
    <w:p w14:paraId="49517FA8" w14:textId="77777777" w:rsidR="008C085C" w:rsidRPr="00331F4D" w:rsidRDefault="008C085C"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BATISTA JÚNIOR, Onofre Alves </w:t>
      </w:r>
      <w:r w:rsidRPr="00331F4D">
        <w:rPr>
          <w:rStyle w:val="yiv4152746728contentpasted0"/>
          <w:i/>
          <w:iCs/>
          <w:color w:val="000000"/>
        </w:rPr>
        <w:t>et al</w:t>
      </w:r>
      <w:r w:rsidRPr="00331F4D">
        <w:rPr>
          <w:rStyle w:val="yiv4152746728contentpasted0"/>
          <w:color w:val="000000"/>
        </w:rPr>
        <w:t>. A problemática do uso de depósitos judiciais pelo Poder Público. In: Ver. Fac. Direito UFMG, Belo Horizonte, n. 69, jul./dez. 2016.  </w:t>
      </w:r>
    </w:p>
    <w:p w14:paraId="569B34F5" w14:textId="77777777" w:rsidR="00284B85" w:rsidRPr="00331F4D" w:rsidRDefault="008C085C"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1B4B8E8C" w14:textId="77777777" w:rsidR="008C085C" w:rsidRPr="00331F4D" w:rsidRDefault="008C085C"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ESTADÃO CONTEÚDO. </w:t>
      </w:r>
      <w:r w:rsidRPr="00331F4D">
        <w:rPr>
          <w:rStyle w:val="yiv4152746728contentpasted0"/>
          <w:i/>
          <w:iCs/>
          <w:color w:val="000000"/>
        </w:rPr>
        <w:t>Spread</w:t>
      </w:r>
      <w:r w:rsidRPr="00331F4D">
        <w:rPr>
          <w:rStyle w:val="yiv4152746728contentpasted0"/>
          <w:color w:val="000000"/>
        </w:rPr>
        <w:t xml:space="preserve"> bancário do Brasil é o 2º mais alto do mundo. Disponível em </w:t>
      </w:r>
      <w:r w:rsidR="006A00E1" w:rsidRPr="00331F4D">
        <w:t xml:space="preserve">Spread bancário do Brasil é o 2º mais alto do mundo; entenda por quê - InfoMoney. </w:t>
      </w:r>
      <w:r w:rsidRPr="00331F4D">
        <w:rPr>
          <w:rStyle w:val="yiv4152746728contentpasted0"/>
          <w:color w:val="000000"/>
        </w:rPr>
        <w:t>Acesso em 28/6/2023.  </w:t>
      </w:r>
    </w:p>
    <w:p w14:paraId="3CA847C8" w14:textId="77777777" w:rsidR="008C085C" w:rsidRPr="00331F4D" w:rsidRDefault="008C085C"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1ED6A2F8" w14:textId="77777777" w:rsidR="008C085C" w:rsidRPr="00331F4D" w:rsidRDefault="008C085C"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FERGUNSON, Niall. A Ascensão do Dinheiro: a história financeira do mundo. São Paulo: Ed. Planeta, 2009.  </w:t>
      </w:r>
    </w:p>
    <w:p w14:paraId="2B36B95F" w14:textId="77777777" w:rsidR="008C085C" w:rsidRPr="00331F4D" w:rsidRDefault="008C085C" w:rsidP="00BA737D">
      <w:pPr>
        <w:spacing w:after="0" w:line="240" w:lineRule="auto"/>
        <w:jc w:val="both"/>
        <w:rPr>
          <w:rFonts w:ascii="Times New Roman" w:hAnsi="Times New Roman" w:cs="Times New Roman"/>
          <w:sz w:val="24"/>
          <w:szCs w:val="24"/>
        </w:rPr>
      </w:pPr>
    </w:p>
    <w:p w14:paraId="6D722A9B" w14:textId="77777777" w:rsidR="000C4726" w:rsidRPr="00331F4D" w:rsidRDefault="000C4726"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FILHO, Eurípedes Gomes Faim. Requisitórios. Precatórios e Requisições de Pequeno Valor: Um Tema de Direito Financeiro. São Paulo: USP/Faculdade de Direito, 2014.</w:t>
      </w:r>
    </w:p>
    <w:p w14:paraId="4FD965E2" w14:textId="77777777" w:rsidR="00D007B2" w:rsidRPr="00331F4D" w:rsidRDefault="00D007B2" w:rsidP="00BA737D">
      <w:pPr>
        <w:spacing w:after="0" w:line="240" w:lineRule="auto"/>
        <w:jc w:val="both"/>
        <w:rPr>
          <w:rFonts w:ascii="Times New Roman" w:hAnsi="Times New Roman" w:cs="Times New Roman"/>
          <w:sz w:val="24"/>
          <w:szCs w:val="24"/>
        </w:rPr>
      </w:pPr>
    </w:p>
    <w:p w14:paraId="62266664" w14:textId="77777777" w:rsidR="00D007B2" w:rsidRPr="00331F4D" w:rsidRDefault="00D007B2"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pacing w:val="1"/>
          <w:sz w:val="24"/>
          <w:szCs w:val="24"/>
          <w:shd w:val="clear" w:color="auto" w:fill="FFFFFF"/>
        </w:rPr>
        <w:t xml:space="preserve">FLORENZANO, Vincenzo Demetrio. Crise dos precatórios. Disponível em </w:t>
      </w:r>
      <w:r w:rsidRPr="00331F4D">
        <w:rPr>
          <w:rFonts w:ascii="Times New Roman" w:hAnsi="Times New Roman" w:cs="Times New Roman"/>
          <w:sz w:val="24"/>
          <w:szCs w:val="24"/>
        </w:rPr>
        <w:t>https://www12.senado.leg.br/ril/edicoes/50/200/ril_v50_n200_p271.pdf. Acesso em 5</w:t>
      </w:r>
      <w:r w:rsidR="00BC691D" w:rsidRPr="00331F4D">
        <w:rPr>
          <w:rFonts w:ascii="Times New Roman" w:hAnsi="Times New Roman" w:cs="Times New Roman"/>
          <w:sz w:val="24"/>
          <w:szCs w:val="24"/>
        </w:rPr>
        <w:t>/7/</w:t>
      </w:r>
      <w:r w:rsidRPr="00331F4D">
        <w:rPr>
          <w:rFonts w:ascii="Times New Roman" w:hAnsi="Times New Roman" w:cs="Times New Roman"/>
          <w:sz w:val="24"/>
          <w:szCs w:val="24"/>
        </w:rPr>
        <w:t>2023.</w:t>
      </w:r>
    </w:p>
    <w:p w14:paraId="7632FB9E" w14:textId="77777777" w:rsidR="00514197" w:rsidRPr="00331F4D" w:rsidRDefault="00514197" w:rsidP="00BA737D">
      <w:pPr>
        <w:spacing w:after="0" w:line="240" w:lineRule="auto"/>
        <w:jc w:val="both"/>
        <w:rPr>
          <w:rFonts w:ascii="Times New Roman" w:hAnsi="Times New Roman" w:cs="Times New Roman"/>
          <w:sz w:val="24"/>
          <w:szCs w:val="24"/>
        </w:rPr>
      </w:pPr>
    </w:p>
    <w:p w14:paraId="1CEBCED1" w14:textId="77777777" w:rsidR="00514197" w:rsidRPr="00331F4D" w:rsidRDefault="00514197" w:rsidP="00BA737D">
      <w:pPr>
        <w:shd w:val="clear" w:color="auto" w:fill="FFFFFF"/>
        <w:spacing w:after="0" w:line="240" w:lineRule="auto"/>
        <w:jc w:val="both"/>
        <w:rPr>
          <w:rFonts w:ascii="Times New Roman" w:eastAsia="Times New Roman" w:hAnsi="Times New Roman" w:cs="Times New Roman"/>
          <w:sz w:val="24"/>
          <w:szCs w:val="24"/>
          <w:lang w:eastAsia="pt-BR"/>
        </w:rPr>
      </w:pPr>
      <w:r w:rsidRPr="00331F4D">
        <w:rPr>
          <w:rFonts w:ascii="Times New Roman" w:eastAsia="Times New Roman" w:hAnsi="Times New Roman" w:cs="Times New Roman"/>
          <w:sz w:val="24"/>
          <w:szCs w:val="24"/>
          <w:lang w:eastAsia="pt-BR"/>
        </w:rPr>
        <w:t>JOBIM,Nelson. Precatórios: o caminho do “meio”. Disponível emhttps://bibliotecadigital.fgv.br/ojs/index.php/rda/article/view/42555/41317.Acessoem 16</w:t>
      </w:r>
      <w:r w:rsidR="009B506F" w:rsidRPr="00331F4D">
        <w:rPr>
          <w:rFonts w:ascii="Times New Roman" w:eastAsia="Times New Roman" w:hAnsi="Times New Roman" w:cs="Times New Roman"/>
          <w:sz w:val="24"/>
          <w:szCs w:val="24"/>
          <w:lang w:eastAsia="pt-BR"/>
        </w:rPr>
        <w:t>/7/2023</w:t>
      </w:r>
      <w:r w:rsidRPr="00331F4D">
        <w:rPr>
          <w:rFonts w:ascii="Times New Roman" w:eastAsia="Times New Roman" w:hAnsi="Times New Roman" w:cs="Times New Roman"/>
          <w:sz w:val="24"/>
          <w:szCs w:val="24"/>
          <w:lang w:eastAsia="pt-BR"/>
        </w:rPr>
        <w:t>.</w:t>
      </w:r>
    </w:p>
    <w:p w14:paraId="1D69E97E" w14:textId="77777777" w:rsidR="00514197" w:rsidRPr="00331F4D" w:rsidRDefault="00514197" w:rsidP="00BA737D">
      <w:pPr>
        <w:shd w:val="clear" w:color="auto" w:fill="FFFFFF"/>
        <w:spacing w:after="0" w:line="240" w:lineRule="auto"/>
        <w:jc w:val="both"/>
        <w:rPr>
          <w:rFonts w:ascii="Times New Roman" w:eastAsia="Times New Roman" w:hAnsi="Times New Roman" w:cs="Times New Roman"/>
          <w:sz w:val="24"/>
          <w:szCs w:val="24"/>
          <w:lang w:eastAsia="pt-BR"/>
        </w:rPr>
      </w:pPr>
    </w:p>
    <w:p w14:paraId="032F37C8" w14:textId="77777777" w:rsidR="00514197" w:rsidRPr="00331F4D" w:rsidRDefault="00514197"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 xml:space="preserve">JUNIOR, Humberto Theodoro. A Execução contra a Fazenda Pública e os crônicos problemas do precatório. 2006. Disponível em </w:t>
      </w:r>
      <w:r w:rsidR="00A53DD8" w:rsidRPr="00331F4D">
        <w:rPr>
          <w:rFonts w:ascii="Times New Roman" w:hAnsi="Times New Roman" w:cs="Times New Roman"/>
          <w:sz w:val="24"/>
          <w:szCs w:val="24"/>
        </w:rPr>
        <w:t>Precatórios: problemas e soluções - Google Livros. Acesso em 22/7/2023.</w:t>
      </w:r>
    </w:p>
    <w:p w14:paraId="457B9F31" w14:textId="77777777" w:rsidR="00514197" w:rsidRPr="00331F4D" w:rsidRDefault="00514197" w:rsidP="00BA737D">
      <w:pPr>
        <w:spacing w:after="0" w:line="240" w:lineRule="auto"/>
        <w:jc w:val="both"/>
        <w:rPr>
          <w:rFonts w:ascii="Times New Roman" w:hAnsi="Times New Roman" w:cs="Times New Roman"/>
          <w:sz w:val="24"/>
          <w:szCs w:val="24"/>
        </w:rPr>
      </w:pPr>
    </w:p>
    <w:p w14:paraId="3296E2BC" w14:textId="77777777" w:rsidR="00514197" w:rsidRPr="00331F4D" w:rsidRDefault="00514197" w:rsidP="00BA737D">
      <w:pPr>
        <w:spacing w:after="0" w:line="240" w:lineRule="auto"/>
        <w:jc w:val="both"/>
        <w:rPr>
          <w:rFonts w:ascii="Times New Roman" w:hAnsi="Times New Roman" w:cs="Times New Roman"/>
          <w:sz w:val="24"/>
          <w:szCs w:val="24"/>
        </w:rPr>
      </w:pPr>
      <w:r w:rsidRPr="00BA737D">
        <w:rPr>
          <w:rFonts w:ascii="Times New Roman" w:hAnsi="Times New Roman" w:cs="Times New Roman"/>
          <w:sz w:val="24"/>
          <w:szCs w:val="24"/>
          <w:lang w:val="en-US"/>
        </w:rPr>
        <w:t xml:space="preserve">MAIA, Lízea Magnavita. BITTENCOURT, Ayrton. </w:t>
      </w:r>
      <w:r w:rsidRPr="00331F4D">
        <w:rPr>
          <w:rFonts w:ascii="Times New Roman" w:hAnsi="Times New Roman" w:cs="Times New Roman"/>
          <w:sz w:val="24"/>
          <w:szCs w:val="24"/>
        </w:rPr>
        <w:t>NEVES, Ana Carolina de Carvalho. GUSTAVO, Carlos.</w:t>
      </w:r>
      <w:r w:rsidR="001125DD" w:rsidRPr="00331F4D">
        <w:rPr>
          <w:rFonts w:ascii="Times New Roman" w:hAnsi="Times New Roman" w:cs="Times New Roman"/>
          <w:sz w:val="24"/>
          <w:szCs w:val="24"/>
        </w:rPr>
        <w:t xml:space="preserve"> 2022.</w:t>
      </w:r>
      <w:r w:rsidRPr="00331F4D">
        <w:rPr>
          <w:rFonts w:ascii="Times New Roman" w:hAnsi="Times New Roman" w:cs="Times New Roman"/>
          <w:sz w:val="24"/>
          <w:szCs w:val="24"/>
        </w:rPr>
        <w:t xml:space="preserve"> A autópsia do precatório. Um balanço dos três anos do Projeto Pagou Por quê. Disponível em https://anape.org.br/apresentacao. Acesso em 19</w:t>
      </w:r>
      <w:r w:rsidR="009B506F" w:rsidRPr="00331F4D">
        <w:rPr>
          <w:rFonts w:ascii="Times New Roman" w:hAnsi="Times New Roman" w:cs="Times New Roman"/>
          <w:sz w:val="24"/>
          <w:szCs w:val="24"/>
        </w:rPr>
        <w:t>/7/</w:t>
      </w:r>
      <w:r w:rsidRPr="00331F4D">
        <w:rPr>
          <w:rFonts w:ascii="Times New Roman" w:hAnsi="Times New Roman" w:cs="Times New Roman"/>
          <w:sz w:val="24"/>
          <w:szCs w:val="24"/>
        </w:rPr>
        <w:t>2023.</w:t>
      </w:r>
    </w:p>
    <w:p w14:paraId="61851F29" w14:textId="77777777" w:rsidR="00514197" w:rsidRPr="00331F4D" w:rsidRDefault="00514197" w:rsidP="00BA737D">
      <w:pPr>
        <w:spacing w:after="0" w:line="240" w:lineRule="auto"/>
        <w:jc w:val="both"/>
        <w:rPr>
          <w:rFonts w:ascii="Times New Roman" w:hAnsi="Times New Roman" w:cs="Times New Roman"/>
          <w:sz w:val="24"/>
          <w:szCs w:val="24"/>
        </w:rPr>
      </w:pPr>
    </w:p>
    <w:p w14:paraId="4B095211" w14:textId="77777777" w:rsidR="00514197" w:rsidRDefault="00B80126" w:rsidP="00BA737D">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BRASIL. </w:t>
      </w:r>
      <w:r w:rsidRPr="00331F4D">
        <w:rPr>
          <w:rFonts w:ascii="Times New Roman" w:eastAsia="Times New Roman" w:hAnsi="Times New Roman" w:cs="Times New Roman"/>
          <w:sz w:val="24"/>
          <w:szCs w:val="24"/>
          <w:lang w:eastAsia="pt-BR"/>
        </w:rPr>
        <w:t xml:space="preserve">Conselho Nacional de Justiça. </w:t>
      </w:r>
      <w:r w:rsidR="00514197" w:rsidRPr="00331F4D">
        <w:rPr>
          <w:rFonts w:ascii="Times New Roman" w:eastAsia="Times New Roman" w:hAnsi="Times New Roman" w:cs="Times New Roman"/>
          <w:sz w:val="24"/>
          <w:szCs w:val="24"/>
          <w:lang w:eastAsia="pt-BR"/>
        </w:rPr>
        <w:t>Mapa anual dos precatórios – 2022 por ente devedor. 2022. Disponível em</w:t>
      </w:r>
      <w:r w:rsidR="00B466FA" w:rsidRPr="00331F4D">
        <w:rPr>
          <w:rFonts w:ascii="Times New Roman" w:hAnsi="Times New Roman" w:cs="Times New Roman"/>
          <w:sz w:val="24"/>
          <w:szCs w:val="24"/>
        </w:rPr>
        <w:t xml:space="preserve"> Mapa Anual de Precatórios (cnj.jus.br)</w:t>
      </w:r>
      <w:r w:rsidR="00514197" w:rsidRPr="00331F4D">
        <w:rPr>
          <w:rFonts w:ascii="Times New Roman" w:eastAsia="Times New Roman" w:hAnsi="Times New Roman" w:cs="Times New Roman"/>
          <w:sz w:val="24"/>
          <w:szCs w:val="24"/>
          <w:lang w:eastAsia="pt-BR"/>
        </w:rPr>
        <w:t>. Acesso em 16</w:t>
      </w:r>
      <w:r w:rsidR="00BC691D" w:rsidRPr="00331F4D">
        <w:rPr>
          <w:rFonts w:ascii="Times New Roman" w:eastAsia="Times New Roman" w:hAnsi="Times New Roman" w:cs="Times New Roman"/>
          <w:sz w:val="24"/>
          <w:szCs w:val="24"/>
          <w:lang w:eastAsia="pt-BR"/>
        </w:rPr>
        <w:t>/7/</w:t>
      </w:r>
      <w:r w:rsidR="00514197" w:rsidRPr="00331F4D">
        <w:rPr>
          <w:rFonts w:ascii="Times New Roman" w:eastAsia="Times New Roman" w:hAnsi="Times New Roman" w:cs="Times New Roman"/>
          <w:sz w:val="24"/>
          <w:szCs w:val="24"/>
          <w:lang w:eastAsia="pt-BR"/>
        </w:rPr>
        <w:t>2023.</w:t>
      </w:r>
    </w:p>
    <w:p w14:paraId="3F9E3EC7" w14:textId="77777777" w:rsidR="007315AB" w:rsidRDefault="007315AB" w:rsidP="00BA737D">
      <w:pPr>
        <w:shd w:val="clear" w:color="auto" w:fill="FFFFFF"/>
        <w:spacing w:after="0" w:line="240" w:lineRule="auto"/>
        <w:jc w:val="both"/>
        <w:rPr>
          <w:rFonts w:ascii="Times New Roman" w:eastAsia="Times New Roman" w:hAnsi="Times New Roman" w:cs="Times New Roman"/>
          <w:sz w:val="24"/>
          <w:szCs w:val="24"/>
          <w:lang w:eastAsia="pt-BR"/>
        </w:rPr>
      </w:pPr>
    </w:p>
    <w:p w14:paraId="34DB21A6" w14:textId="77777777" w:rsidR="008C085C" w:rsidRPr="00331F4D" w:rsidRDefault="008C085C" w:rsidP="00BA737D">
      <w:pPr>
        <w:pStyle w:val="yiv4152746728msofootnotetext"/>
        <w:shd w:val="clear" w:color="auto" w:fill="FFFFFF"/>
        <w:spacing w:before="0" w:beforeAutospacing="0" w:after="0" w:afterAutospacing="0"/>
        <w:jc w:val="both"/>
        <w:rPr>
          <w:rStyle w:val="yiv4152746728contentpasted0"/>
          <w:color w:val="000000"/>
        </w:rPr>
      </w:pPr>
      <w:r w:rsidRPr="00331F4D">
        <w:rPr>
          <w:rStyle w:val="yiv4152746728contentpasted0"/>
          <w:color w:val="000000"/>
        </w:rPr>
        <w:t xml:space="preserve">MACEDO, Fausto. Calote em precatórios afeta a economia do país. Disponível </w:t>
      </w:r>
      <w:r w:rsidR="007315AB" w:rsidRPr="007315AB">
        <w:rPr>
          <w:rStyle w:val="yiv4152746728contentpasted0"/>
          <w:color w:val="000000"/>
        </w:rPr>
        <w:t>https://www.estadao.com.br/politica/blog-do-fausto-macedo/calote-em-precatorios-afeta-a-economia-do-pais/</w:t>
      </w:r>
      <w:r w:rsidR="00090521" w:rsidRPr="00331F4D">
        <w:rPr>
          <w:rStyle w:val="yiv4152746728contentpasted0"/>
          <w:color w:val="000000"/>
        </w:rPr>
        <w:t xml:space="preserve">. </w:t>
      </w:r>
      <w:r w:rsidRPr="00331F4D">
        <w:rPr>
          <w:rStyle w:val="yiv4152746728contentpasted0"/>
          <w:color w:val="000000"/>
        </w:rPr>
        <w:t>Acesso em 14/7/2023.  </w:t>
      </w:r>
    </w:p>
    <w:p w14:paraId="55A6B079" w14:textId="77777777" w:rsidR="008C085C" w:rsidRPr="00331F4D" w:rsidRDefault="008C085C" w:rsidP="00BA737D">
      <w:pPr>
        <w:spacing w:after="0" w:line="240" w:lineRule="auto"/>
        <w:jc w:val="both"/>
        <w:rPr>
          <w:rFonts w:ascii="Times New Roman" w:hAnsi="Times New Roman" w:cs="Times New Roman"/>
          <w:sz w:val="24"/>
          <w:szCs w:val="24"/>
        </w:rPr>
      </w:pPr>
    </w:p>
    <w:p w14:paraId="76CD039F" w14:textId="77777777" w:rsidR="008C085C" w:rsidRPr="00331F4D" w:rsidRDefault="008C085C"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 xml:space="preserve">MAUÉS, Pietro Ceccatto Esper.Uma </w:t>
      </w:r>
      <w:r w:rsidR="00B15E08" w:rsidRPr="00331F4D">
        <w:rPr>
          <w:rFonts w:ascii="Times New Roman" w:hAnsi="Times New Roman" w:cs="Times New Roman"/>
          <w:sz w:val="24"/>
          <w:szCs w:val="24"/>
        </w:rPr>
        <w:t>análise</w:t>
      </w:r>
      <w:r w:rsidRPr="00331F4D">
        <w:rPr>
          <w:rFonts w:ascii="Times New Roman" w:hAnsi="Times New Roman" w:cs="Times New Roman"/>
          <w:sz w:val="24"/>
          <w:szCs w:val="24"/>
        </w:rPr>
        <w:t xml:space="preserve"> dos precatórios sob a ótica do Direito Comparado. 2023. Disponível em: https://www.conjur.com.br/2023-abr-19/pietro-maues-precatorios-otica-direito-comparado#_ednref. Acess</w:t>
      </w:r>
      <w:r w:rsidR="00D543FC">
        <w:rPr>
          <w:rFonts w:ascii="Times New Roman" w:hAnsi="Times New Roman" w:cs="Times New Roman"/>
          <w:sz w:val="24"/>
          <w:szCs w:val="24"/>
        </w:rPr>
        <w:t>o</w:t>
      </w:r>
      <w:r w:rsidRPr="00331F4D">
        <w:rPr>
          <w:rFonts w:ascii="Times New Roman" w:hAnsi="Times New Roman" w:cs="Times New Roman"/>
          <w:sz w:val="24"/>
          <w:szCs w:val="24"/>
        </w:rPr>
        <w:t xml:space="preserve"> em </w:t>
      </w:r>
      <w:r w:rsidR="00BC691D" w:rsidRPr="00331F4D">
        <w:rPr>
          <w:rFonts w:ascii="Times New Roman" w:hAnsi="Times New Roman" w:cs="Times New Roman"/>
          <w:sz w:val="24"/>
          <w:szCs w:val="24"/>
        </w:rPr>
        <w:t>23/7/</w:t>
      </w:r>
      <w:r w:rsidRPr="00331F4D">
        <w:rPr>
          <w:rFonts w:ascii="Times New Roman" w:hAnsi="Times New Roman" w:cs="Times New Roman"/>
          <w:sz w:val="24"/>
          <w:szCs w:val="24"/>
        </w:rPr>
        <w:t>2023.</w:t>
      </w:r>
    </w:p>
    <w:p w14:paraId="3210D9A8" w14:textId="77777777" w:rsidR="008C085C" w:rsidRPr="00331F4D" w:rsidRDefault="008C085C" w:rsidP="00BA737D">
      <w:pPr>
        <w:spacing w:after="0" w:line="240" w:lineRule="auto"/>
        <w:jc w:val="both"/>
        <w:rPr>
          <w:rFonts w:ascii="Times New Roman" w:hAnsi="Times New Roman" w:cs="Times New Roman"/>
          <w:sz w:val="24"/>
          <w:szCs w:val="24"/>
        </w:rPr>
      </w:pPr>
    </w:p>
    <w:p w14:paraId="4B7AD547" w14:textId="77777777" w:rsidR="008C085C" w:rsidRPr="00331F4D" w:rsidRDefault="008C085C"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MEDAUAR, Odete. Direito Administrativo Moderno. 19ª ed. São Paulo: Ed. RT, 2015, p. 468.</w:t>
      </w:r>
    </w:p>
    <w:p w14:paraId="4254D710" w14:textId="77777777" w:rsidR="008C085C" w:rsidRPr="00331F4D" w:rsidRDefault="008C085C"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4BCB6B96" w14:textId="77777777" w:rsidR="00922FFE" w:rsidRPr="00331F4D" w:rsidRDefault="00F74190" w:rsidP="00BA737D">
      <w:pPr>
        <w:spacing w:after="0" w:line="240" w:lineRule="auto"/>
        <w:jc w:val="both"/>
        <w:rPr>
          <w:rFonts w:ascii="Times New Roman" w:hAnsi="Times New Roman" w:cs="Times New Roman"/>
          <w:spacing w:val="1"/>
          <w:sz w:val="24"/>
          <w:szCs w:val="24"/>
          <w:shd w:val="clear" w:color="auto" w:fill="FFFFFF"/>
        </w:rPr>
      </w:pPr>
      <w:r w:rsidRPr="00331F4D">
        <w:rPr>
          <w:rFonts w:ascii="Times New Roman" w:hAnsi="Times New Roman" w:cs="Times New Roman"/>
          <w:spacing w:val="1"/>
          <w:sz w:val="24"/>
          <w:szCs w:val="24"/>
          <w:shd w:val="clear" w:color="auto" w:fill="FFFFFF"/>
        </w:rPr>
        <w:t xml:space="preserve">MOREIRA, Egon et al. 1. O Regime Jurídico dos Precatórios: Sua Razão de Ser In: MOREIRA, Egon et al. Precatórios: O Seu Novo Regime Jurídico - Ed. 2022. São Paulo (SP):Editora Revista </w:t>
      </w:r>
      <w:r w:rsidRPr="00331F4D">
        <w:rPr>
          <w:rFonts w:ascii="Times New Roman" w:hAnsi="Times New Roman" w:cs="Times New Roman"/>
          <w:spacing w:val="1"/>
          <w:sz w:val="24"/>
          <w:szCs w:val="24"/>
          <w:shd w:val="clear" w:color="auto" w:fill="FFFFFF"/>
        </w:rPr>
        <w:lastRenderedPageBreak/>
        <w:t xml:space="preserve">dos Tribunais. 2022. Disponível em: </w:t>
      </w:r>
      <w:r w:rsidR="00C621F6" w:rsidRPr="00331F4D">
        <w:rPr>
          <w:rFonts w:ascii="Times New Roman" w:hAnsi="Times New Roman" w:cs="Times New Roman"/>
          <w:sz w:val="24"/>
          <w:szCs w:val="24"/>
        </w:rPr>
        <w:t>Precatórios: O Seu Novo Regime Jurídico - Ed. 2022 | Leia no Jusbrasil</w:t>
      </w:r>
      <w:r w:rsidRPr="00331F4D">
        <w:rPr>
          <w:rFonts w:ascii="Times New Roman" w:hAnsi="Times New Roman" w:cs="Times New Roman"/>
          <w:spacing w:val="1"/>
          <w:sz w:val="24"/>
          <w:szCs w:val="24"/>
          <w:shd w:val="clear" w:color="auto" w:fill="FFFFFF"/>
        </w:rPr>
        <w:t>. Acesso em: 14</w:t>
      </w:r>
      <w:r w:rsidR="009B506F" w:rsidRPr="00331F4D">
        <w:rPr>
          <w:rFonts w:ascii="Times New Roman" w:hAnsi="Times New Roman" w:cs="Times New Roman"/>
          <w:spacing w:val="1"/>
          <w:sz w:val="24"/>
          <w:szCs w:val="24"/>
          <w:shd w:val="clear" w:color="auto" w:fill="FFFFFF"/>
        </w:rPr>
        <w:t>/7/</w:t>
      </w:r>
      <w:r w:rsidRPr="00331F4D">
        <w:rPr>
          <w:rFonts w:ascii="Times New Roman" w:hAnsi="Times New Roman" w:cs="Times New Roman"/>
          <w:spacing w:val="1"/>
          <w:sz w:val="24"/>
          <w:szCs w:val="24"/>
          <w:shd w:val="clear" w:color="auto" w:fill="FFFFFF"/>
        </w:rPr>
        <w:t>2023.</w:t>
      </w:r>
    </w:p>
    <w:p w14:paraId="55EB2D1C" w14:textId="77777777" w:rsidR="00295B02" w:rsidRPr="00331F4D" w:rsidRDefault="00514197" w:rsidP="00BA737D">
      <w:pPr>
        <w:tabs>
          <w:tab w:val="left" w:pos="2805"/>
        </w:tabs>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ab/>
      </w:r>
    </w:p>
    <w:p w14:paraId="3A2E8049" w14:textId="77777777" w:rsidR="00295B02" w:rsidRPr="00331F4D" w:rsidRDefault="00295B02"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NASCIMENTO, Edson Ronaldo. Considerações sobre o Projeto de lei do Novo Arcabouço Fiscal. Disponível em https://www.jusbrasil.com.br/artigos/consideracoes-sobre-o-projeto-de-lei-do-novo-arcabouco-fiscal/1854547156. Acesso em 20</w:t>
      </w:r>
      <w:r w:rsidR="009B506F" w:rsidRPr="00331F4D">
        <w:rPr>
          <w:rFonts w:ascii="Times New Roman" w:hAnsi="Times New Roman" w:cs="Times New Roman"/>
          <w:sz w:val="24"/>
          <w:szCs w:val="24"/>
        </w:rPr>
        <w:t>/6/</w:t>
      </w:r>
      <w:r w:rsidRPr="00331F4D">
        <w:rPr>
          <w:rFonts w:ascii="Times New Roman" w:hAnsi="Times New Roman" w:cs="Times New Roman"/>
          <w:sz w:val="24"/>
          <w:szCs w:val="24"/>
        </w:rPr>
        <w:t>2023.</w:t>
      </w:r>
    </w:p>
    <w:p w14:paraId="24FC46B0" w14:textId="77777777" w:rsidR="006244EF" w:rsidRPr="00331F4D" w:rsidRDefault="006244EF" w:rsidP="00BA737D">
      <w:pPr>
        <w:spacing w:after="0" w:line="240" w:lineRule="auto"/>
        <w:jc w:val="both"/>
        <w:rPr>
          <w:rFonts w:ascii="Times New Roman" w:hAnsi="Times New Roman" w:cs="Times New Roman"/>
          <w:sz w:val="24"/>
          <w:szCs w:val="24"/>
        </w:rPr>
      </w:pPr>
    </w:p>
    <w:p w14:paraId="7D30A36D" w14:textId="77777777" w:rsidR="006244EF" w:rsidRPr="00331F4D" w:rsidRDefault="006244EF"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 xml:space="preserve">TEIXEIRA, Paulo. Parecer da Comissão Especial. </w:t>
      </w:r>
      <w:r w:rsidR="0030554D" w:rsidRPr="00331F4D">
        <w:rPr>
          <w:rFonts w:ascii="Times New Roman" w:hAnsi="Times New Roman" w:cs="Times New Roman"/>
          <w:sz w:val="24"/>
          <w:szCs w:val="24"/>
        </w:rPr>
        <w:t>Disponível em https://www.camara.leg.br/proposicoesWeb/prop_mostrarintegra?codteor=1509086&amp;filename=PRL+1+PEC23316+%3D%3E+PEC+233/2016. Acesso em 27</w:t>
      </w:r>
      <w:r w:rsidR="009B506F" w:rsidRPr="00331F4D">
        <w:rPr>
          <w:rFonts w:ascii="Times New Roman" w:hAnsi="Times New Roman" w:cs="Times New Roman"/>
          <w:sz w:val="24"/>
          <w:szCs w:val="24"/>
        </w:rPr>
        <w:t>/6/</w:t>
      </w:r>
      <w:r w:rsidR="0030554D" w:rsidRPr="00331F4D">
        <w:rPr>
          <w:rFonts w:ascii="Times New Roman" w:hAnsi="Times New Roman" w:cs="Times New Roman"/>
          <w:sz w:val="24"/>
          <w:szCs w:val="24"/>
        </w:rPr>
        <w:t>2023.</w:t>
      </w:r>
    </w:p>
    <w:p w14:paraId="4DFA9677" w14:textId="77777777" w:rsidR="00351E21" w:rsidRPr="00331F4D" w:rsidRDefault="00351E21" w:rsidP="00BA737D">
      <w:pPr>
        <w:spacing w:after="0" w:line="240" w:lineRule="auto"/>
        <w:jc w:val="both"/>
        <w:rPr>
          <w:rFonts w:ascii="Times New Roman" w:hAnsi="Times New Roman" w:cs="Times New Roman"/>
          <w:sz w:val="24"/>
          <w:szCs w:val="24"/>
        </w:rPr>
      </w:pPr>
    </w:p>
    <w:p w14:paraId="216B3577"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PIERI, Renan Gomes de </w:t>
      </w:r>
      <w:r w:rsidRPr="00331F4D">
        <w:rPr>
          <w:rStyle w:val="yiv4152746728contentpasted0"/>
          <w:i/>
          <w:iCs/>
          <w:color w:val="000000"/>
        </w:rPr>
        <w:t>et al</w:t>
      </w:r>
      <w:r w:rsidRPr="00331F4D">
        <w:rPr>
          <w:rStyle w:val="yiv4152746728contentpasted0"/>
          <w:color w:val="000000"/>
        </w:rPr>
        <w:t xml:space="preserve">. Efeitos da postergação do pagamento de precatórios. Disponível em </w:t>
      </w:r>
      <w:r w:rsidR="002F00F9" w:rsidRPr="00331F4D">
        <w:t>https://bibliotecadigital.fgv.br/dspace/handle/10438/31197</w:t>
      </w:r>
      <w:r w:rsidRPr="00331F4D">
        <w:rPr>
          <w:rStyle w:val="yiv4152746728contentpasted0"/>
          <w:color w:val="000000"/>
        </w:rPr>
        <w:t>.</w:t>
      </w:r>
      <w:r w:rsidR="002F00F9" w:rsidRPr="00331F4D">
        <w:rPr>
          <w:rStyle w:val="yiv4152746728contentpasted0"/>
          <w:color w:val="000000"/>
        </w:rPr>
        <w:t xml:space="preserve"> 2021.</w:t>
      </w:r>
      <w:r w:rsidRPr="00331F4D">
        <w:rPr>
          <w:rStyle w:val="yiv4152746728contentpasted0"/>
          <w:color w:val="000000"/>
        </w:rPr>
        <w:t xml:space="preserve"> Acesso em 14/7/2023.  </w:t>
      </w:r>
    </w:p>
    <w:p w14:paraId="28EECEBA"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6C7D8DC2"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ROTHBARD, Murray N. O que o governo fez com nosso dinheiro? 1ªed. São Paulo: Ed. Instituto Ludwig Von Mises Brasil, 2013.  </w:t>
      </w:r>
    </w:p>
    <w:p w14:paraId="27B443AA"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499491B8"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SARMENTO, Daniel. SOUZA NETO, Cláudio Pereira de. Direito Constitucional: Teoria, História e Métodos de Trabalho. Belo Horizonte: Ed. Fórum, 2017, p. 462.  </w:t>
      </w:r>
    </w:p>
    <w:p w14:paraId="63A72C30"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1F57204E"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SARMENTO, Daniel. SOUZA NETO, Cláudio Pereira de. Controle de Constitucionalidade e Democracia: algumas teorias e parâmetros de ativismo. In: Jurisdição Constitucional e Política. SARMENTO, Daniel (org</w:t>
      </w:r>
      <w:r w:rsidR="00BA737D">
        <w:rPr>
          <w:rStyle w:val="yiv4152746728contentpasted0"/>
          <w:color w:val="000000"/>
        </w:rPr>
        <w:t>.</w:t>
      </w:r>
      <w:r w:rsidRPr="00331F4D">
        <w:rPr>
          <w:rStyle w:val="yiv4152746728contentpasted0"/>
          <w:color w:val="000000"/>
        </w:rPr>
        <w:t>). Rio de Janeiro: Ed. Forense, 2015.  </w:t>
      </w:r>
    </w:p>
    <w:p w14:paraId="6C7F1545"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color w:val="000000"/>
        </w:rPr>
        <w:t> </w:t>
      </w:r>
    </w:p>
    <w:p w14:paraId="625FD61A" w14:textId="77777777" w:rsidR="001D4019" w:rsidRPr="00331F4D" w:rsidRDefault="001D4019" w:rsidP="00BA737D">
      <w:pPr>
        <w:pStyle w:val="yiv4152746728msofootnotetext"/>
        <w:shd w:val="clear" w:color="auto" w:fill="FFFFFF"/>
        <w:spacing w:before="0" w:beforeAutospacing="0" w:after="0" w:afterAutospacing="0"/>
        <w:jc w:val="both"/>
        <w:rPr>
          <w:color w:val="000000"/>
        </w:rPr>
      </w:pPr>
      <w:r w:rsidRPr="00331F4D">
        <w:rPr>
          <w:rStyle w:val="yiv4152746728contentpasted0"/>
          <w:color w:val="000000"/>
        </w:rPr>
        <w:t xml:space="preserve">SCAFF, Fernando Facury. Decisão do STF aumentou em 65% o valor de precatórios entre 2009 e 2019. Disponível em </w:t>
      </w:r>
      <w:r w:rsidR="000B1AE1" w:rsidRPr="000B1AE1">
        <w:t>https://www.conjur.com.br/2019-out-15/contas-vista-decisao-stf-aumentou-65-valor-precatorios-dez-anos</w:t>
      </w:r>
      <w:r w:rsidR="000B1AE1">
        <w:t xml:space="preserve">. </w:t>
      </w:r>
      <w:r w:rsidRPr="00331F4D">
        <w:rPr>
          <w:rStyle w:val="yiv4152746728contentpasted0"/>
          <w:color w:val="000000"/>
        </w:rPr>
        <w:t>Acesso em 14/7/2023.  </w:t>
      </w:r>
    </w:p>
    <w:p w14:paraId="11A57BCA" w14:textId="77777777" w:rsidR="00D7428D" w:rsidRPr="00331F4D" w:rsidRDefault="00D7428D" w:rsidP="00BA737D">
      <w:pPr>
        <w:spacing w:after="0" w:line="240" w:lineRule="auto"/>
        <w:jc w:val="both"/>
        <w:rPr>
          <w:rFonts w:ascii="Times New Roman" w:hAnsi="Times New Roman" w:cs="Times New Roman"/>
          <w:sz w:val="24"/>
          <w:szCs w:val="24"/>
        </w:rPr>
      </w:pPr>
    </w:p>
    <w:p w14:paraId="148AADC8" w14:textId="77777777" w:rsidR="006244EF" w:rsidRPr="00331F4D" w:rsidRDefault="00103F74" w:rsidP="00BA737D">
      <w:pPr>
        <w:spacing w:after="0" w:line="240" w:lineRule="auto"/>
        <w:jc w:val="both"/>
        <w:rPr>
          <w:rFonts w:ascii="Times New Roman" w:hAnsi="Times New Roman" w:cs="Times New Roman"/>
          <w:sz w:val="24"/>
          <w:szCs w:val="24"/>
        </w:rPr>
      </w:pPr>
      <w:r w:rsidRPr="00331F4D">
        <w:rPr>
          <w:rFonts w:ascii="Times New Roman" w:hAnsi="Times New Roman" w:cs="Times New Roman"/>
          <w:sz w:val="24"/>
          <w:szCs w:val="24"/>
        </w:rPr>
        <w:t>SOUZA, João Alberto</w:t>
      </w:r>
      <w:r w:rsidR="005D02A3" w:rsidRPr="00331F4D">
        <w:rPr>
          <w:rFonts w:ascii="Times New Roman" w:hAnsi="Times New Roman" w:cs="Times New Roman"/>
          <w:sz w:val="24"/>
          <w:szCs w:val="24"/>
        </w:rPr>
        <w:t xml:space="preserve">. Parecer nº 227, 2017. Disponível em </w:t>
      </w:r>
      <w:r w:rsidR="00B4479C" w:rsidRPr="00331F4D">
        <w:rPr>
          <w:rFonts w:ascii="Times New Roman" w:hAnsi="Times New Roman" w:cs="Times New Roman"/>
          <w:sz w:val="24"/>
          <w:szCs w:val="24"/>
        </w:rPr>
        <w:t>documento (senado.leg.br)</w:t>
      </w:r>
      <w:r w:rsidR="005D02A3" w:rsidRPr="00331F4D">
        <w:rPr>
          <w:rFonts w:ascii="Times New Roman" w:hAnsi="Times New Roman" w:cs="Times New Roman"/>
          <w:sz w:val="24"/>
          <w:szCs w:val="24"/>
        </w:rPr>
        <w:t>. Acesso em 29</w:t>
      </w:r>
      <w:r w:rsidR="009B506F" w:rsidRPr="00331F4D">
        <w:rPr>
          <w:rFonts w:ascii="Times New Roman" w:hAnsi="Times New Roman" w:cs="Times New Roman"/>
          <w:sz w:val="24"/>
          <w:szCs w:val="24"/>
        </w:rPr>
        <w:t>/6/</w:t>
      </w:r>
      <w:r w:rsidR="005D02A3" w:rsidRPr="00331F4D">
        <w:rPr>
          <w:rFonts w:ascii="Times New Roman" w:hAnsi="Times New Roman" w:cs="Times New Roman"/>
          <w:sz w:val="24"/>
          <w:szCs w:val="24"/>
        </w:rPr>
        <w:t>2023.</w:t>
      </w:r>
    </w:p>
    <w:p w14:paraId="27398A61" w14:textId="77777777" w:rsidR="00FB1B05" w:rsidRPr="00331F4D" w:rsidRDefault="00FB1B05" w:rsidP="00BA737D">
      <w:pPr>
        <w:spacing w:after="0" w:line="240" w:lineRule="auto"/>
        <w:jc w:val="both"/>
        <w:rPr>
          <w:rFonts w:ascii="Times New Roman" w:hAnsi="Times New Roman" w:cs="Times New Roman"/>
          <w:sz w:val="24"/>
          <w:szCs w:val="24"/>
        </w:rPr>
      </w:pPr>
    </w:p>
    <w:p w14:paraId="657E71F8" w14:textId="77777777" w:rsidR="00965146" w:rsidRDefault="00FB1B05" w:rsidP="00BA737D">
      <w:pPr>
        <w:pStyle w:val="yiv4152746728msofootnotetext"/>
        <w:shd w:val="clear" w:color="auto" w:fill="FFFFFF"/>
        <w:spacing w:before="0" w:beforeAutospacing="0" w:after="0" w:afterAutospacing="0"/>
        <w:jc w:val="both"/>
        <w:rPr>
          <w:rStyle w:val="yiv4152746728contentpasted0"/>
          <w:color w:val="000000"/>
        </w:rPr>
      </w:pPr>
      <w:r w:rsidRPr="00331F4D">
        <w:rPr>
          <w:rStyle w:val="yiv4152746728contentpasted0"/>
          <w:color w:val="000000"/>
        </w:rPr>
        <w:t>TEPEDINO, Gustavo </w:t>
      </w:r>
      <w:r w:rsidRPr="00331F4D">
        <w:rPr>
          <w:rStyle w:val="yiv4152746728contentpasted0"/>
          <w:i/>
          <w:iCs/>
          <w:color w:val="000000"/>
        </w:rPr>
        <w:t>et al</w:t>
      </w:r>
      <w:r w:rsidRPr="00331F4D">
        <w:rPr>
          <w:rStyle w:val="yiv4152746728contentpasted0"/>
          <w:color w:val="000000"/>
        </w:rPr>
        <w:t xml:space="preserve">. Fundamentos do Direito Civil. Volume 3: Contratos. 2ª ed. Rio de Janeiro: Editora Forense, 2020 [e-book]. </w:t>
      </w:r>
    </w:p>
    <w:p w14:paraId="3EE722EA" w14:textId="77777777" w:rsidR="00965146" w:rsidRDefault="00965146" w:rsidP="00BA737D">
      <w:pPr>
        <w:pStyle w:val="yiv4152746728msofootnotetext"/>
        <w:shd w:val="clear" w:color="auto" w:fill="FFFFFF"/>
        <w:spacing w:before="0" w:beforeAutospacing="0" w:after="0" w:afterAutospacing="0"/>
        <w:jc w:val="both"/>
        <w:rPr>
          <w:rStyle w:val="yiv4152746728contentpasted0"/>
          <w:color w:val="000000"/>
        </w:rPr>
      </w:pPr>
    </w:p>
    <w:sectPr w:rsidR="00965146" w:rsidSect="00075659">
      <w:foot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A930" w14:textId="77777777" w:rsidR="004E6F5D" w:rsidRDefault="004E6F5D" w:rsidP="00D610BA">
      <w:pPr>
        <w:spacing w:after="0" w:line="240" w:lineRule="auto"/>
      </w:pPr>
      <w:r>
        <w:separator/>
      </w:r>
    </w:p>
  </w:endnote>
  <w:endnote w:type="continuationSeparator" w:id="0">
    <w:p w14:paraId="2D2B066E" w14:textId="77777777" w:rsidR="004E6F5D" w:rsidRDefault="004E6F5D" w:rsidP="00D6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7593"/>
      <w:docPartObj>
        <w:docPartGallery w:val="Page Numbers (Bottom of Page)"/>
        <w:docPartUnique/>
      </w:docPartObj>
    </w:sdtPr>
    <w:sdtContent>
      <w:p w14:paraId="0FED50A2" w14:textId="77777777" w:rsidR="006F380F" w:rsidRDefault="0098426C">
        <w:pPr>
          <w:pStyle w:val="Rodap"/>
          <w:jc w:val="right"/>
        </w:pPr>
        <w:r>
          <w:fldChar w:fldCharType="begin"/>
        </w:r>
        <w:r w:rsidR="006F380F">
          <w:instrText>PAGE   \* MERGEFORMAT</w:instrText>
        </w:r>
        <w:r>
          <w:fldChar w:fldCharType="separate"/>
        </w:r>
        <w:r w:rsidR="004E2057">
          <w:rPr>
            <w:noProof/>
          </w:rPr>
          <w:t>30</w:t>
        </w:r>
        <w:r>
          <w:fldChar w:fldCharType="end"/>
        </w:r>
      </w:p>
    </w:sdtContent>
  </w:sdt>
  <w:p w14:paraId="1E3B1C50" w14:textId="77777777" w:rsidR="006F380F" w:rsidRDefault="006F38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1FD3" w14:textId="77777777" w:rsidR="004E6F5D" w:rsidRDefault="004E6F5D" w:rsidP="00D610BA">
      <w:pPr>
        <w:spacing w:after="0" w:line="240" w:lineRule="auto"/>
      </w:pPr>
      <w:r>
        <w:separator/>
      </w:r>
    </w:p>
  </w:footnote>
  <w:footnote w:type="continuationSeparator" w:id="0">
    <w:p w14:paraId="1C7C6740" w14:textId="77777777" w:rsidR="004E6F5D" w:rsidRDefault="004E6F5D" w:rsidP="00D610BA">
      <w:pPr>
        <w:spacing w:after="0" w:line="240" w:lineRule="auto"/>
      </w:pPr>
      <w:r>
        <w:continuationSeparator/>
      </w:r>
    </w:p>
  </w:footnote>
  <w:footnote w:id="1">
    <w:p w14:paraId="182D3FE8" w14:textId="77777777" w:rsidR="00FC0F11" w:rsidRPr="00AB4768" w:rsidRDefault="00FC0F11" w:rsidP="004638A6">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00D57B5D" w:rsidRPr="00AB4768">
        <w:rPr>
          <w:rFonts w:ascii="Times New Roman" w:hAnsi="Times New Roman" w:cs="Times New Roman"/>
        </w:rPr>
        <w:t>“</w:t>
      </w:r>
      <w:r w:rsidRPr="00AB4768">
        <w:rPr>
          <w:rFonts w:ascii="Times New Roman" w:hAnsi="Times New Roman" w:cs="Times New Roman"/>
        </w:rPr>
        <w:t>Assim, o pagamento pela ordem de registro do precatório requisitório tem como função primordial o atendimento a princípios constitucionais, em especial a impessoalidade (não se beneficia um credor em detrimento dos outros; o critério para a ordem dos pagamentos é puramente objetivo) e a igualdade (todos os credores estão em situação jurídica paritária, materialmente isonômica; o eventual discrímen só pode ser normativo, respeitador da Constituição).A existência do regime de precatório também pode ser justificada pelo seguinte: em todos os anos, o Estado elabora seu orçamento público e somente pode gastar recursos se o dispêndio estiver fixado em lei orçamentária anual. Nessa lei, o Poder Público prevê receitas – estima o valor a ser recebido em tributos, preços etc. – e fixa despesas. As despesas necessitam da respectiva receita, ou seja, para poder gastar, a receita prevista deve existir." (MOREIRA, 2022)</w:t>
      </w:r>
    </w:p>
  </w:footnote>
  <w:footnote w:id="2">
    <w:p w14:paraId="1AF971D6" w14:textId="77777777" w:rsidR="00AD282D" w:rsidRPr="00AB4768" w:rsidRDefault="00AD282D" w:rsidP="00AD282D">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bookmarkStart w:id="0" w:name="art182"/>
      <w:bookmarkEnd w:id="0"/>
      <w:r w:rsidRPr="00AB4768">
        <w:rPr>
          <w:rFonts w:ascii="Times New Roman" w:hAnsi="Times New Roman" w:cs="Times New Roman"/>
          <w:color w:val="000000"/>
          <w:shd w:val="clear" w:color="auto" w:fill="FFFFFF"/>
        </w:rPr>
        <w:t>Art</w:t>
      </w:r>
      <w:r w:rsidR="00ED45E2" w:rsidRPr="00AB4768">
        <w:rPr>
          <w:rFonts w:ascii="Times New Roman" w:hAnsi="Times New Roman" w:cs="Times New Roman"/>
          <w:color w:val="000000"/>
          <w:shd w:val="clear" w:color="auto" w:fill="FFFFFF"/>
        </w:rPr>
        <w:t>.</w:t>
      </w:r>
      <w:r w:rsidRPr="00AB4768">
        <w:rPr>
          <w:rFonts w:ascii="Times New Roman" w:hAnsi="Times New Roman" w:cs="Times New Roman"/>
          <w:color w:val="000000"/>
          <w:shd w:val="clear" w:color="auto" w:fill="FFFFFF"/>
        </w:rPr>
        <w:t xml:space="preserve"> 182 - Os pagamentos devidos pela Fazenda federal, em virtude de sentença judiciária, far-se-ão na ordem de apresentação dos precatórios e à conta dos créditos respectivos, sendo vedada a designação de caso ou pessoas nas verbas legais. </w:t>
      </w:r>
    </w:p>
  </w:footnote>
  <w:footnote w:id="3">
    <w:p w14:paraId="6E90EE50" w14:textId="77777777" w:rsidR="00040959" w:rsidRPr="00AB4768" w:rsidRDefault="00040959" w:rsidP="00040959">
      <w:pPr>
        <w:pStyle w:val="NormalWeb"/>
        <w:spacing w:before="0" w:beforeAutospacing="0" w:after="0" w:afterAutospacing="0"/>
        <w:ind w:left="40" w:right="40"/>
        <w:jc w:val="both"/>
        <w:rPr>
          <w:sz w:val="20"/>
          <w:szCs w:val="20"/>
        </w:rPr>
      </w:pPr>
      <w:r w:rsidRPr="00AB4768">
        <w:rPr>
          <w:rStyle w:val="Refdenotaderodap"/>
          <w:sz w:val="20"/>
          <w:szCs w:val="20"/>
        </w:rPr>
        <w:footnoteRef/>
      </w:r>
      <w:bookmarkStart w:id="1" w:name="art95"/>
      <w:bookmarkEnd w:id="1"/>
      <w:r w:rsidRPr="00AB4768">
        <w:rPr>
          <w:color w:val="000000"/>
          <w:sz w:val="20"/>
          <w:szCs w:val="20"/>
        </w:rPr>
        <w:t>Art</w:t>
      </w:r>
      <w:r w:rsidR="00ED45E2" w:rsidRPr="00AB4768">
        <w:rPr>
          <w:color w:val="000000"/>
          <w:sz w:val="20"/>
          <w:szCs w:val="20"/>
        </w:rPr>
        <w:t>.</w:t>
      </w:r>
      <w:r w:rsidRPr="00AB4768">
        <w:rPr>
          <w:color w:val="000000"/>
          <w:sz w:val="20"/>
          <w:szCs w:val="20"/>
        </w:rPr>
        <w:t xml:space="preserve"> 95 - </w:t>
      </w:r>
      <w:r w:rsidR="004638A6" w:rsidRPr="00AB4768">
        <w:rPr>
          <w:color w:val="000000"/>
          <w:sz w:val="20"/>
          <w:szCs w:val="20"/>
        </w:rPr>
        <w:t>O</w:t>
      </w:r>
      <w:r w:rsidRPr="00AB4768">
        <w:rPr>
          <w:color w:val="000000"/>
          <w:sz w:val="20"/>
          <w:szCs w:val="20"/>
        </w:rPr>
        <w:t>s pagamentos devidos pela Fazenda federal, em virtude de sentenças judiciárias, far-se-ão na ordem em que forem apresentadas as precatórias e à conta dos créditos respectivos, vedada a designação de casos ou pessoas nas verbas orçamentárias ou créditos destinados àquele fim. </w:t>
      </w:r>
      <w:bookmarkStart w:id="2" w:name="art95p"/>
      <w:bookmarkEnd w:id="2"/>
      <w:r w:rsidRPr="00AB4768">
        <w:rPr>
          <w:color w:val="000000"/>
          <w:sz w:val="20"/>
          <w:szCs w:val="20"/>
        </w:rPr>
        <w:t>Parágrafo único - As verbas orçamentárias e os créditos votados para os pagamentos devidos, em virtude de sentença judiciária, pela Fazenda federal, serão consignados ao Poder Judiciário, recolhendo-se as importâncias ao cofre dos depósitos públicos. Cabe ao Presidente do Supremo Tribunal Federal expedir as ordens de pagamento, dentro das forças do depósito, e, a requerimento do credor preterido em seu direito de precedência, autorizar o seqüestro da quantia necessária para satisfazê-lo, depois de ouvido o Procurador-Geral da República.</w:t>
      </w:r>
    </w:p>
  </w:footnote>
  <w:footnote w:id="4">
    <w:p w14:paraId="49136F85" w14:textId="77777777" w:rsidR="00E10BDE" w:rsidRPr="00AB4768" w:rsidRDefault="00E10BDE" w:rsidP="00E10BDE">
      <w:pPr>
        <w:pStyle w:val="NormalWeb"/>
        <w:spacing w:before="0" w:beforeAutospacing="0" w:after="0" w:afterAutospacing="0"/>
        <w:ind w:right="40"/>
        <w:jc w:val="both"/>
        <w:rPr>
          <w:sz w:val="20"/>
          <w:szCs w:val="20"/>
        </w:rPr>
      </w:pPr>
      <w:r w:rsidRPr="00AB4768">
        <w:rPr>
          <w:rStyle w:val="Refdenotaderodap"/>
          <w:sz w:val="20"/>
          <w:szCs w:val="20"/>
        </w:rPr>
        <w:footnoteRef/>
      </w:r>
      <w:r w:rsidRPr="00AB4768">
        <w:rPr>
          <w:color w:val="000000"/>
          <w:sz w:val="20"/>
          <w:szCs w:val="20"/>
        </w:rPr>
        <w:t>Art. 918. Na execução por quantia certa, o devedor será citado para, em vinte e quatro (24) horas, contadas da citação, pagar, ou nomear bens a penhora, sob pena de serem penhorados os que se lhe encontrarem.</w:t>
      </w:r>
      <w:bookmarkStart w:id="3" w:name="art918p"/>
      <w:bookmarkEnd w:id="3"/>
      <w:r w:rsidRPr="00AB4768">
        <w:rPr>
          <w:color w:val="000000"/>
          <w:sz w:val="20"/>
          <w:szCs w:val="20"/>
        </w:rPr>
        <w:t xml:space="preserve">Parágrafo único. Os pagamentos devidos, em virtude de sentença, pela Fazenda Pública, far-se-ão na ordem em que forem apresentadas as requisições e à conta dos créditos respectivos, vedada a designação de casos ou pessoas nas verbas orçamentárias ou créditos destinados </w:t>
      </w:r>
      <w:r w:rsidR="00375B23" w:rsidRPr="00AB4768">
        <w:rPr>
          <w:color w:val="000000"/>
          <w:sz w:val="20"/>
          <w:szCs w:val="20"/>
        </w:rPr>
        <w:t>à</w:t>
      </w:r>
      <w:r w:rsidRPr="00AB4768">
        <w:rPr>
          <w:color w:val="000000"/>
          <w:sz w:val="20"/>
          <w:szCs w:val="20"/>
        </w:rPr>
        <w:t>quele fim.</w:t>
      </w:r>
    </w:p>
  </w:footnote>
  <w:footnote w:id="5">
    <w:p w14:paraId="09AA0FEB" w14:textId="77777777" w:rsidR="00BA737D" w:rsidRPr="00AB4768" w:rsidRDefault="00BA737D" w:rsidP="00E10BDE">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Art. 204 - Os pagamentos devidos pela Fazenda federal, estadual ou municipal, em virtude de sentença judiciária, far-se-ão na ordem de apresentação dos precatórios e à conta dos créditos respectivos, sendo proibida a designação de casos ou de pessoas nas dotações orçamentárias e nos créditos extra-orçamentários abertos para esse fim.Parágrafos único - As dotações orçamentárias e os créditos abertos serão consignados ao Poder Judiciário, recolhendo-se as importâncias à repartição competente. Cabe ao Presidente do Tribunal Federal de Recursos ou, conforme o caso, ao Presidente do Tribunal de Justiça expedir as ordens de pagamento, segundo as possibilidades do depósito, e autorizar, a requerimento do credor preterido no seu direito de precedência, e depois de ouvido o chefe do Ministério Público, o seqüestro da quantia necessária para satisfazer o débito.</w:t>
      </w:r>
    </w:p>
  </w:footnote>
  <w:footnote w:id="6">
    <w:p w14:paraId="5C31729A" w14:textId="77777777" w:rsidR="00D02366" w:rsidRPr="00AB4768" w:rsidRDefault="00D02366" w:rsidP="00E10BDE">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00E10BDE" w:rsidRPr="00AB4768">
        <w:rPr>
          <w:rFonts w:ascii="Times New Roman" w:hAnsi="Times New Roman" w:cs="Times New Roman"/>
        </w:rPr>
        <w:t>Art</w:t>
      </w:r>
      <w:r w:rsidR="00930867" w:rsidRPr="00AB4768">
        <w:rPr>
          <w:rFonts w:ascii="Times New Roman" w:hAnsi="Times New Roman" w:cs="Times New Roman"/>
        </w:rPr>
        <w:t>.</w:t>
      </w:r>
      <w:r w:rsidR="00E10BDE" w:rsidRPr="00AB4768">
        <w:rPr>
          <w:rFonts w:ascii="Times New Roman" w:hAnsi="Times New Roman" w:cs="Times New Roman"/>
        </w:rPr>
        <w:t xml:space="preserve"> 112 - Os pagamentos devidos pela Fazenda federal, estadual ou municipal, em virtude de sentença judiciária, far-se-ão na ordem de apresentação dos precatórios e à conta dos créditos respectivos, proibida a designação de casos ou de pessoas nas dotações orçamentárias e nos créditos extra-orçamentários abertos para esse fim.§ 1º - É obrigatória a inclusão, no orçamento das entidades de direito público, de verba necessária ao pagamento dos seus débitos constantes de precatórios judiciários, apresentados até primeiro de julho.§ 2º - As dotações orçamentárias e os créditos abertos serão consignados ao Poder Judiciário, recolhendo-se as importâncias respectivas à repartição competente. Cabe ao Presidente do Tribunal, que proferiu a decisão exeqüenda determinar o pagamento, segundo as possibilidades do depósito, e autorizar, a requerimento do credor preterido no seu direito de precedência, e depois de ouvido o chefe do Ministério Público, o seqüestro da quantia necessária à satisfação do débito.</w:t>
      </w:r>
    </w:p>
  </w:footnote>
  <w:footnote w:id="7">
    <w:p w14:paraId="70065BAE" w14:textId="77777777" w:rsidR="006F380F" w:rsidRPr="00AB4768" w:rsidRDefault="006F380F" w:rsidP="006F380F">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 xml:space="preserve"> Disponível em https://www.infomoney.com.br/minhas-financas/spread-bancario-do-brasil-e-o-2o-mais-alto-do-mundo-entenda-por-que/. Acesso em 28/6/2023.</w:t>
      </w:r>
    </w:p>
  </w:footnote>
  <w:footnote w:id="8">
    <w:p w14:paraId="3EF804F8" w14:textId="77777777" w:rsidR="006F380F" w:rsidRPr="00AB4768" w:rsidRDefault="006F380F" w:rsidP="006F380F">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Tomando por base a norma que rege a matéria no âmbito da Justiça Federal (art. 11, § 1º da Lei n.º 9.289/1996).</w:t>
      </w:r>
    </w:p>
  </w:footnote>
  <w:footnote w:id="9">
    <w:p w14:paraId="4BE36127" w14:textId="77777777" w:rsidR="00C257DD" w:rsidRPr="00AB4768" w:rsidRDefault="00C257DD" w:rsidP="0038006E">
      <w:pPr>
        <w:autoSpaceDE w:val="0"/>
        <w:autoSpaceDN w:val="0"/>
        <w:adjustRightInd w:val="0"/>
        <w:spacing w:after="0" w:line="240" w:lineRule="auto"/>
        <w:jc w:val="both"/>
        <w:rPr>
          <w:rFonts w:ascii="Times New Roman" w:hAnsi="Times New Roman" w:cs="Times New Roman"/>
          <w:sz w:val="20"/>
          <w:szCs w:val="20"/>
          <w:lang w:val="pt-PT"/>
        </w:rPr>
      </w:pPr>
      <w:r w:rsidRPr="00AB4768">
        <w:rPr>
          <w:rStyle w:val="Refdenotaderodap"/>
          <w:rFonts w:ascii="Times New Roman" w:hAnsi="Times New Roman" w:cs="Times New Roman"/>
          <w:sz w:val="20"/>
          <w:szCs w:val="20"/>
        </w:rPr>
        <w:footnoteRef/>
      </w:r>
      <w:r w:rsidRPr="00AB4768">
        <w:rPr>
          <w:rFonts w:ascii="Times New Roman" w:hAnsi="Times New Roman" w:cs="Times New Roman"/>
          <w:sz w:val="20"/>
          <w:szCs w:val="20"/>
        </w:rPr>
        <w:t xml:space="preserve">Com efeito, as instituições financeiras, e aqui pouco importa se oficiais ou não, não são titulares das subcontas, não tem autorização legal para movimentá-las e muito menos são titulares da prestação do serviço público de gestão do saldo total da assim chamada </w:t>
      </w:r>
      <w:r w:rsidRPr="00AB4768">
        <w:rPr>
          <w:rFonts w:ascii="Times New Roman" w:hAnsi="Times New Roman" w:cs="Times New Roman"/>
          <w:i/>
          <w:iCs/>
          <w:sz w:val="20"/>
          <w:szCs w:val="20"/>
        </w:rPr>
        <w:t>conta única dos depósitos judiciais</w:t>
      </w:r>
      <w:r w:rsidRPr="00AB4768">
        <w:rPr>
          <w:rFonts w:ascii="Times New Roman" w:hAnsi="Times New Roman" w:cs="Times New Roman"/>
          <w:sz w:val="20"/>
          <w:szCs w:val="20"/>
        </w:rPr>
        <w:t xml:space="preserve">.Ou seja, apesar de meras executoras do serviço público cuja titularidade pertence ao Poder Judiciário, desde sempre, foram elas, as instituições bancárias, que se enriqueceram às custas da administração dos valores depositados judicialmente.Não há como contestar essa afirmação, porquanto a apuração de </w:t>
      </w:r>
      <w:r w:rsidRPr="00AB4768">
        <w:rPr>
          <w:rFonts w:ascii="Times New Roman" w:hAnsi="Times New Roman" w:cs="Times New Roman"/>
          <w:i/>
          <w:iCs/>
          <w:sz w:val="20"/>
          <w:szCs w:val="20"/>
        </w:rPr>
        <w:t xml:space="preserve">spread </w:t>
      </w:r>
      <w:r w:rsidRPr="00AB4768">
        <w:rPr>
          <w:rFonts w:ascii="Times New Roman" w:hAnsi="Times New Roman" w:cs="Times New Roman"/>
          <w:sz w:val="20"/>
          <w:szCs w:val="20"/>
        </w:rPr>
        <w:t>na relação entre o limite legal do juro de captação pago pela instituição financeira em cada subconta e o juro apurado na aplicação do valor nominal do saldo total dos depósitos é um dado fático da realidade financeira brasileira.</w:t>
      </w:r>
    </w:p>
  </w:footnote>
  <w:footnote w:id="10">
    <w:p w14:paraId="6D1304CF" w14:textId="77777777" w:rsidR="006F380F" w:rsidRPr="00AB4768" w:rsidRDefault="006F380F" w:rsidP="006F380F">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 xml:space="preserve"> Outras normas estaduais similares foram declaradas formalmente inconstitucionais no julgamento de outras ADIs: 2.909; 3.125 e, mais recentemente, 5.456 e 6.701. </w:t>
      </w:r>
    </w:p>
  </w:footnote>
  <w:footnote w:id="11">
    <w:p w14:paraId="0DAC6BC5" w14:textId="77777777" w:rsidR="00A56805" w:rsidRPr="00AB4768" w:rsidRDefault="00A56805" w:rsidP="00A56805">
      <w:pPr>
        <w:pStyle w:val="Textodenotaderodap"/>
        <w:jc w:val="both"/>
        <w:rPr>
          <w:rFonts w:ascii="Times New Roman" w:hAnsi="Times New Roman" w:cs="Times New Roman"/>
          <w:lang w:val="pt-PT"/>
        </w:rPr>
      </w:pPr>
      <w:r w:rsidRPr="00AB4768">
        <w:rPr>
          <w:rStyle w:val="Refdenotaderodap"/>
          <w:rFonts w:ascii="Times New Roman" w:hAnsi="Times New Roman" w:cs="Times New Roman"/>
        </w:rPr>
        <w:footnoteRef/>
      </w:r>
      <w:r w:rsidRPr="00AB4768">
        <w:rPr>
          <w:rFonts w:ascii="Times New Roman" w:hAnsi="Times New Roman" w:cs="Times New Roman"/>
        </w:rPr>
        <w:t xml:space="preserve"> Tese de julgamento: “É inconstitucional, por vício de competência, lei estadual que discipline a transferência, ao Poder Judiciário, dos rendimentos decorrentes da aplicação financeira de depósitos judiciais”. (ADI 6701, Relator(a): ROBERTO BARROSO, Tribunal Pleno, julgado em 22/2/2023, PROCESSO ELETRÔNICO DJe-s/n  DIVULG 1</w:t>
      </w:r>
      <w:r w:rsidR="00554A13" w:rsidRPr="00AB4768">
        <w:rPr>
          <w:rFonts w:ascii="Times New Roman" w:hAnsi="Times New Roman" w:cs="Times New Roman"/>
        </w:rPr>
        <w:t>/</w:t>
      </w:r>
      <w:r w:rsidRPr="00AB4768">
        <w:rPr>
          <w:rFonts w:ascii="Times New Roman" w:hAnsi="Times New Roman" w:cs="Times New Roman"/>
        </w:rPr>
        <w:t>3</w:t>
      </w:r>
      <w:r w:rsidR="00554A13" w:rsidRPr="00AB4768">
        <w:rPr>
          <w:rFonts w:ascii="Times New Roman" w:hAnsi="Times New Roman" w:cs="Times New Roman"/>
        </w:rPr>
        <w:t>/</w:t>
      </w:r>
      <w:r w:rsidRPr="00AB4768">
        <w:rPr>
          <w:rFonts w:ascii="Times New Roman" w:hAnsi="Times New Roman" w:cs="Times New Roman"/>
        </w:rPr>
        <w:t>2023  PUBLIC 2</w:t>
      </w:r>
      <w:r w:rsidR="00554A13" w:rsidRPr="00AB4768">
        <w:rPr>
          <w:rFonts w:ascii="Times New Roman" w:hAnsi="Times New Roman" w:cs="Times New Roman"/>
        </w:rPr>
        <w:t>/</w:t>
      </w:r>
      <w:r w:rsidRPr="00AB4768">
        <w:rPr>
          <w:rFonts w:ascii="Times New Roman" w:hAnsi="Times New Roman" w:cs="Times New Roman"/>
        </w:rPr>
        <w:t>3</w:t>
      </w:r>
      <w:r w:rsidR="00554A13" w:rsidRPr="00AB4768">
        <w:rPr>
          <w:rFonts w:ascii="Times New Roman" w:hAnsi="Times New Roman" w:cs="Times New Roman"/>
        </w:rPr>
        <w:t>/</w:t>
      </w:r>
      <w:r w:rsidRPr="00AB4768">
        <w:rPr>
          <w:rFonts w:ascii="Times New Roman" w:hAnsi="Times New Roman" w:cs="Times New Roman"/>
        </w:rPr>
        <w:t>2023).</w:t>
      </w:r>
    </w:p>
  </w:footnote>
  <w:footnote w:id="12">
    <w:p w14:paraId="2AAF0DB4" w14:textId="77777777" w:rsidR="00AB4768" w:rsidRPr="00AB4768" w:rsidRDefault="00AB4768" w:rsidP="00AB4768">
      <w:pPr>
        <w:pStyle w:val="Textodenotaderodap"/>
        <w:rPr>
          <w:rFonts w:ascii="Times New Roman" w:hAnsi="Times New Roman" w:cs="Times New Roman"/>
          <w:lang w:val="pt-PT"/>
        </w:rPr>
      </w:pPr>
      <w:r w:rsidRPr="00AB4768">
        <w:rPr>
          <w:rStyle w:val="Refdenotaderodap"/>
          <w:rFonts w:ascii="Times New Roman" w:hAnsi="Times New Roman" w:cs="Times New Roman"/>
        </w:rPr>
        <w:footnoteRef/>
      </w:r>
      <w:r w:rsidRPr="00AB4768">
        <w:rPr>
          <w:rFonts w:ascii="Times New Roman" w:hAnsi="Times New Roman" w:cs="Times New Roman"/>
        </w:rPr>
        <w:t xml:space="preserve"> Disponível em https://www.sefaz.ba.gov.br/administracao/pdf_saf/OT_067.pdf. Acesso em 14/7/2023.</w:t>
      </w:r>
    </w:p>
  </w:footnote>
  <w:footnote w:id="13">
    <w:p w14:paraId="18AD8185" w14:textId="77777777" w:rsidR="00AB4768" w:rsidRPr="00AB4768" w:rsidRDefault="00AB4768">
      <w:pPr>
        <w:pStyle w:val="Textodenotaderodap"/>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 xml:space="preserve"> Ver também art. 1º, § 4º, da Lei Complementar n.º 42/2015 do Estado da Bahia</w:t>
      </w:r>
      <w:r>
        <w:rPr>
          <w:rFonts w:ascii="Times New Roman" w:hAnsi="Times New Roman" w:cs="Times New Roman"/>
        </w:rPr>
        <w:t>.</w:t>
      </w:r>
    </w:p>
  </w:footnote>
  <w:footnote w:id="14">
    <w:p w14:paraId="534E7799" w14:textId="77777777" w:rsidR="00BA737D" w:rsidRPr="00AB4768" w:rsidRDefault="00BA737D" w:rsidP="001A0888">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ADI n.º 6.660 (proposta pelo PGR contra a Lei pernambucana n.º 12.305/2002, alterada pela Lei n.º 12.337/2003); ADIs n.º 5.456 e 5.080 (propostas pelo PGR e pela OAB contra as Leis gaúchas n.º 12.069/04, 12.585/06 e 14.738/2015); ADI n.º 4.114 (proposta pela AMB contra a Lei sergipana n.º 5.886/2006); ADI n.º 5.375 e 5.376 (propostas pela AMB e pela OAB contra a LC sergipana n.º 264/2015); ADI n.º 5747 (proposta pelo PGR contra a Lei paulista n.º 12.787/2007); ADI n.º 5.099 (proposta pelo PGR contra a LC paranaense n.º 159/13); ADI n.º 5.072 (proposta pelo PGR contra a LC fluminense n.º 147/13); ADI n.º 5.409 (proposta pelo PGR contra a LC baiana n.º 42/15 e o Decreto baiano n.º 9.197/04); ADI n.º 5.455 (proposta pela PGR contra LC alagoana n.º 42/2015);  ADI n.º 5.353 (proposta pelo PGR contra a Lei mineira n.º 21.720/15); ADI n.º 5.365 (proposta pelo PGR contra a LC paraibana n.º 131/15); ADIs n.º 5.392 e 5.397 (proposta pela AMB e pela OAB contra a Lei piauiense n.º 6.704); ADI n.º 5.476 (proposta pelo PGR contra as Leis potiguares n.º  9.935/2015 e 9.966/2015); ADI n.º 3.656 (proposta pela OAB contra a Lei cearense n.º 13.480/2004); ADI n.º 5.414 (proposta pela OAB contra a Lei cearense n.º 15.878/2015); ADI n.º 5.457 (proposta pelo PGR contra a Lei amazonense n.º 4.218/2015); ADI n.º 5.459 (proposta pelo PGR contra a Lei Complementar sul-mato-grossense n.º 201/2015); ADI n.º 5.616 (proposta pelo PGR contra a Lei Complementar roraimense n.º 234/2016); e ADIs n.º 5.600 e 5.601 (propostas pela AMB e pela OAB contra a Lei acreana n.º 3.166/2016).</w:t>
      </w:r>
    </w:p>
  </w:footnote>
  <w:footnote w:id="15">
    <w:p w14:paraId="044F0FD6" w14:textId="77777777" w:rsidR="006F380F" w:rsidRPr="00AB4768" w:rsidRDefault="006F380F" w:rsidP="00545987">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Pesquisa feita até 13/7/2023.</w:t>
      </w:r>
    </w:p>
  </w:footnote>
  <w:footnote w:id="16">
    <w:p w14:paraId="681F43C1" w14:textId="77777777" w:rsidR="006F380F" w:rsidRPr="00AB4768" w:rsidRDefault="006F380F" w:rsidP="006F380F">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00BA737D" w:rsidRPr="00AB4768">
        <w:rPr>
          <w:rFonts w:ascii="Times New Roman" w:hAnsi="Times New Roman" w:cs="Times New Roman"/>
        </w:rPr>
        <w:t>No Ofício PRES n.º 768, juntados aos autos do Pedido de Providências, o Gabinete da Presidência do TJRJ informou que o percentual de 25% não foi escolhido pela Lei Complementar n.º 147/2013 de forma aleatória, mas com base no percentual dos depósitos que não era levantado pelos depositantes por anos após ser possível o levantamento.</w:t>
      </w:r>
    </w:p>
  </w:footnote>
  <w:footnote w:id="17">
    <w:p w14:paraId="12773A1A" w14:textId="77777777" w:rsidR="00BF5D86" w:rsidRPr="00AB4768" w:rsidRDefault="00BF5D86" w:rsidP="00545987">
      <w:pPr>
        <w:pStyle w:val="Textodenotaderodap"/>
        <w:jc w:val="both"/>
        <w:rPr>
          <w:rFonts w:ascii="Times New Roman" w:hAnsi="Times New Roman" w:cs="Times New Roman"/>
          <w:lang w:val="pt-PT"/>
        </w:rPr>
      </w:pPr>
      <w:r w:rsidRPr="00AB4768">
        <w:rPr>
          <w:rStyle w:val="Refdenotaderodap"/>
          <w:rFonts w:ascii="Times New Roman" w:hAnsi="Times New Roman" w:cs="Times New Roman"/>
        </w:rPr>
        <w:footnoteRef/>
      </w:r>
      <w:r w:rsidR="006274AA" w:rsidRPr="00AB4768">
        <w:rPr>
          <w:rFonts w:ascii="Times New Roman" w:hAnsi="Times New Roman" w:cs="Times New Roman"/>
        </w:rPr>
        <w:t>“</w:t>
      </w:r>
      <w:r w:rsidRPr="00AB4768">
        <w:rPr>
          <w:rFonts w:ascii="Times New Roman" w:hAnsi="Times New Roman" w:cs="Times New Roman"/>
        </w:rPr>
        <w:t>Os números apresentados comprovam que o mecanismo instituído pela referida Lei Complementar n.º 147/2013 para sanar o grave e histórico problema da mora no pagamento dos precatórios, que atinge a maior parte dos entes públicos, alcançou plenamente seu objetivo, sem colocar em risco o sistema de depósitos judiciais.Com efeito, neste período de quase 3 (três) anos de vigência da norma, milhares de credores tiveram o seu direito (já reconhecido judicialmente) satisfeito, prestigiando os princípios da efetividade da jurisdição, do acesso a ordem jurídica justa e da duração razoável do processo.Ademais, não se fez necessária a utilização dos mecanismos de suspensão dos repasses e de recomposição do Fundo de Reserva, criados para evitar a eventual insuficiência do estoque global de depósitos estabelecido na norma, revelando a higidez do sistema, exorcizando o espectro criado na petição inicial, consoante a qual a lei impugnada traria risco aos jurisdicionados de não receberem os valores depositados.</w:t>
      </w:r>
      <w:r w:rsidR="006274AA" w:rsidRPr="00AB4768">
        <w:rPr>
          <w:rFonts w:ascii="Times New Roman" w:hAnsi="Times New Roman" w:cs="Times New Roman"/>
        </w:rPr>
        <w:t>”</w:t>
      </w:r>
    </w:p>
  </w:footnote>
  <w:footnote w:id="18">
    <w:p w14:paraId="02FCBC02" w14:textId="77777777" w:rsidR="006F380F" w:rsidRPr="00AB4768" w:rsidRDefault="006F380F" w:rsidP="006F380F">
      <w:pPr>
        <w:pStyle w:val="Textodenotaderodap"/>
        <w:jc w:val="both"/>
        <w:rPr>
          <w:rFonts w:ascii="Times New Roman" w:hAnsi="Times New Roman" w:cs="Times New Roman"/>
        </w:rPr>
      </w:pPr>
      <w:r w:rsidRPr="00AB4768">
        <w:rPr>
          <w:rStyle w:val="Refdenotaderodap"/>
          <w:rFonts w:ascii="Times New Roman" w:hAnsi="Times New Roman" w:cs="Times New Roman"/>
        </w:rPr>
        <w:footnoteRef/>
      </w:r>
      <w:r w:rsidRPr="00AB4768">
        <w:rPr>
          <w:rFonts w:ascii="Times New Roman" w:hAnsi="Times New Roman" w:cs="Times New Roman"/>
        </w:rPr>
        <w:t xml:space="preserve"> https://bibliotecadigital.fgv.br/dspace/handle/10438/31197</w:t>
      </w:r>
    </w:p>
  </w:footnote>
  <w:footnote w:id="19">
    <w:p w14:paraId="34C553EC" w14:textId="77777777" w:rsidR="001F6455" w:rsidRPr="00AB4768" w:rsidRDefault="001F6455" w:rsidP="0000659A">
      <w:pPr>
        <w:pStyle w:val="Textodenotaderodap"/>
        <w:jc w:val="both"/>
        <w:rPr>
          <w:rFonts w:ascii="Times New Roman" w:hAnsi="Times New Roman" w:cs="Times New Roman"/>
          <w:lang w:val="pt-PT"/>
        </w:rPr>
      </w:pPr>
      <w:r w:rsidRPr="00AB4768">
        <w:rPr>
          <w:rStyle w:val="Refdenotaderodap"/>
          <w:rFonts w:ascii="Times New Roman" w:hAnsi="Times New Roman" w:cs="Times New Roman"/>
        </w:rPr>
        <w:footnoteRef/>
      </w:r>
      <w:r w:rsidRPr="00AB4768">
        <w:rPr>
          <w:rFonts w:ascii="Times New Roman" w:hAnsi="Times New Roman" w:cs="Times New Roman"/>
        </w:rPr>
        <w:t>EMENTA: (...) 3. Incólume permanece o princípio da separação dos Poderes, porquanto os depósitos judiciais não são atos submetidos à atividade jurisdicional, tendo natureza administrativa, da mesma forma que os precatórios. (...) (ADI 2214 MC, Relator(a): MAURÍCIO CORRÊA, Tribunal Pleno, julgado em 6/2/2002, DJ 19</w:t>
      </w:r>
      <w:r w:rsidR="00675AB2" w:rsidRPr="00AB4768">
        <w:rPr>
          <w:rFonts w:ascii="Times New Roman" w:hAnsi="Times New Roman" w:cs="Times New Roman"/>
        </w:rPr>
        <w:t>/</w:t>
      </w:r>
      <w:r w:rsidRPr="00AB4768">
        <w:rPr>
          <w:rFonts w:ascii="Times New Roman" w:hAnsi="Times New Roman" w:cs="Times New Roman"/>
        </w:rPr>
        <w:t>4</w:t>
      </w:r>
      <w:r w:rsidR="00675AB2" w:rsidRPr="00AB4768">
        <w:rPr>
          <w:rFonts w:ascii="Times New Roman" w:hAnsi="Times New Roman" w:cs="Times New Roman"/>
        </w:rPr>
        <w:t>/</w:t>
      </w:r>
      <w:r w:rsidRPr="00AB4768">
        <w:rPr>
          <w:rFonts w:ascii="Times New Roman" w:hAnsi="Times New Roman" w:cs="Times New Roman"/>
        </w:rPr>
        <w:t>2002 PP-00045  EMENT VOL-02065-02 PP-00385)</w:t>
      </w:r>
      <w:r w:rsidR="00AE7400" w:rsidRPr="00AB4768">
        <w:rPr>
          <w:rFonts w:ascii="Times New Roman" w:hAnsi="Times New Roman" w:cs="Times New Roman"/>
        </w:rPr>
        <w:t>.</w:t>
      </w:r>
    </w:p>
  </w:footnote>
  <w:footnote w:id="20">
    <w:p w14:paraId="11314B3F" w14:textId="77777777" w:rsidR="00767FA3" w:rsidRPr="00AB4768" w:rsidRDefault="00767FA3" w:rsidP="00767FA3">
      <w:pPr>
        <w:pStyle w:val="Textodenotaderodap"/>
        <w:rPr>
          <w:rFonts w:ascii="Times New Roman" w:hAnsi="Times New Roman" w:cs="Times New Roman"/>
          <w:lang w:val="pt-PT"/>
        </w:rPr>
      </w:pPr>
      <w:r w:rsidRPr="00AB4768">
        <w:rPr>
          <w:rStyle w:val="Refdenotaderodap"/>
          <w:rFonts w:ascii="Times New Roman" w:hAnsi="Times New Roman" w:cs="Times New Roman"/>
        </w:rPr>
        <w:footnoteRef/>
      </w:r>
      <w:r w:rsidRPr="00AB4768">
        <w:rPr>
          <w:rFonts w:ascii="Times New Roman" w:hAnsi="Times New Roman" w:cs="Times New Roman"/>
        </w:rPr>
        <w:t xml:space="preserve"> Art. 20.  Nas esferas administrativa, controladora e judicial, não se decidirá com base em valores jurídicos abstratos sem que sejam consideradas as consequências práticas da decisão.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CB4"/>
    <w:multiLevelType w:val="multilevel"/>
    <w:tmpl w:val="962C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028C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543949"/>
    <w:multiLevelType w:val="multilevel"/>
    <w:tmpl w:val="A7C4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6276B"/>
    <w:multiLevelType w:val="hybridMultilevel"/>
    <w:tmpl w:val="3D84522E"/>
    <w:lvl w:ilvl="0" w:tplc="6AA8412A">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num w:numId="1" w16cid:durableId="142937872">
    <w:abstractNumId w:val="3"/>
  </w:num>
  <w:num w:numId="2" w16cid:durableId="1679577309">
    <w:abstractNumId w:val="2"/>
  </w:num>
  <w:num w:numId="3" w16cid:durableId="518736177">
    <w:abstractNumId w:val="0"/>
  </w:num>
  <w:num w:numId="4" w16cid:durableId="123851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C83"/>
    <w:rsid w:val="00000065"/>
    <w:rsid w:val="000003C4"/>
    <w:rsid w:val="0000106C"/>
    <w:rsid w:val="00003079"/>
    <w:rsid w:val="000034C8"/>
    <w:rsid w:val="000054B5"/>
    <w:rsid w:val="00005867"/>
    <w:rsid w:val="0000659A"/>
    <w:rsid w:val="0000692E"/>
    <w:rsid w:val="00006D3B"/>
    <w:rsid w:val="00007F89"/>
    <w:rsid w:val="00011DA1"/>
    <w:rsid w:val="0001284E"/>
    <w:rsid w:val="00014718"/>
    <w:rsid w:val="0002088F"/>
    <w:rsid w:val="00024C3C"/>
    <w:rsid w:val="00030CE9"/>
    <w:rsid w:val="00032A10"/>
    <w:rsid w:val="000340B0"/>
    <w:rsid w:val="00034D8F"/>
    <w:rsid w:val="000356F5"/>
    <w:rsid w:val="000367D3"/>
    <w:rsid w:val="00040959"/>
    <w:rsid w:val="00040CEB"/>
    <w:rsid w:val="000412B7"/>
    <w:rsid w:val="00041301"/>
    <w:rsid w:val="00041698"/>
    <w:rsid w:val="000421C2"/>
    <w:rsid w:val="000421D6"/>
    <w:rsid w:val="0004321A"/>
    <w:rsid w:val="00046660"/>
    <w:rsid w:val="00046695"/>
    <w:rsid w:val="00047D37"/>
    <w:rsid w:val="00052F44"/>
    <w:rsid w:val="00055989"/>
    <w:rsid w:val="00061F2D"/>
    <w:rsid w:val="000639A6"/>
    <w:rsid w:val="0006616D"/>
    <w:rsid w:val="0006645A"/>
    <w:rsid w:val="00071AC6"/>
    <w:rsid w:val="000730F7"/>
    <w:rsid w:val="00075659"/>
    <w:rsid w:val="00075A45"/>
    <w:rsid w:val="00077D2F"/>
    <w:rsid w:val="00081774"/>
    <w:rsid w:val="00083DF8"/>
    <w:rsid w:val="00090521"/>
    <w:rsid w:val="0009642E"/>
    <w:rsid w:val="00096636"/>
    <w:rsid w:val="0009779D"/>
    <w:rsid w:val="000A060A"/>
    <w:rsid w:val="000A1F47"/>
    <w:rsid w:val="000A4C40"/>
    <w:rsid w:val="000B03ED"/>
    <w:rsid w:val="000B1AE1"/>
    <w:rsid w:val="000B56C7"/>
    <w:rsid w:val="000C03FA"/>
    <w:rsid w:val="000C46C2"/>
    <w:rsid w:val="000C4726"/>
    <w:rsid w:val="000C5063"/>
    <w:rsid w:val="000C5CBD"/>
    <w:rsid w:val="000C7119"/>
    <w:rsid w:val="000D04B4"/>
    <w:rsid w:val="000D20AF"/>
    <w:rsid w:val="000D2C26"/>
    <w:rsid w:val="000D3087"/>
    <w:rsid w:val="000D4401"/>
    <w:rsid w:val="000E0F1A"/>
    <w:rsid w:val="000E3305"/>
    <w:rsid w:val="000E4452"/>
    <w:rsid w:val="000E573A"/>
    <w:rsid w:val="000E5B13"/>
    <w:rsid w:val="000E6060"/>
    <w:rsid w:val="000F0AB5"/>
    <w:rsid w:val="000F133D"/>
    <w:rsid w:val="000F1D22"/>
    <w:rsid w:val="000F1F1A"/>
    <w:rsid w:val="000F2A4A"/>
    <w:rsid w:val="000F4D74"/>
    <w:rsid w:val="000F5624"/>
    <w:rsid w:val="000F5D56"/>
    <w:rsid w:val="000F7432"/>
    <w:rsid w:val="00101AC7"/>
    <w:rsid w:val="00102BC3"/>
    <w:rsid w:val="001030A7"/>
    <w:rsid w:val="001036E6"/>
    <w:rsid w:val="00103F74"/>
    <w:rsid w:val="001060DD"/>
    <w:rsid w:val="001068F4"/>
    <w:rsid w:val="001071A7"/>
    <w:rsid w:val="001072E3"/>
    <w:rsid w:val="001116D5"/>
    <w:rsid w:val="001125DD"/>
    <w:rsid w:val="00113280"/>
    <w:rsid w:val="00113DE2"/>
    <w:rsid w:val="001152FA"/>
    <w:rsid w:val="00116C9D"/>
    <w:rsid w:val="00121492"/>
    <w:rsid w:val="00121723"/>
    <w:rsid w:val="00121F1E"/>
    <w:rsid w:val="00122F18"/>
    <w:rsid w:val="0012345F"/>
    <w:rsid w:val="00123930"/>
    <w:rsid w:val="00123A19"/>
    <w:rsid w:val="00124BB1"/>
    <w:rsid w:val="001260EF"/>
    <w:rsid w:val="0013003E"/>
    <w:rsid w:val="00132A1C"/>
    <w:rsid w:val="0013320F"/>
    <w:rsid w:val="001429B0"/>
    <w:rsid w:val="00143987"/>
    <w:rsid w:val="001439A3"/>
    <w:rsid w:val="00143C35"/>
    <w:rsid w:val="00150989"/>
    <w:rsid w:val="0015102A"/>
    <w:rsid w:val="001511FC"/>
    <w:rsid w:val="00151E0F"/>
    <w:rsid w:val="00151EA2"/>
    <w:rsid w:val="00153DDD"/>
    <w:rsid w:val="0015441A"/>
    <w:rsid w:val="0015481B"/>
    <w:rsid w:val="001548DE"/>
    <w:rsid w:val="00155ABE"/>
    <w:rsid w:val="001578FA"/>
    <w:rsid w:val="001630D5"/>
    <w:rsid w:val="00167EB1"/>
    <w:rsid w:val="00170249"/>
    <w:rsid w:val="00170734"/>
    <w:rsid w:val="00176998"/>
    <w:rsid w:val="001770E8"/>
    <w:rsid w:val="00177FBF"/>
    <w:rsid w:val="00180EEB"/>
    <w:rsid w:val="00183F55"/>
    <w:rsid w:val="00184C44"/>
    <w:rsid w:val="001919E9"/>
    <w:rsid w:val="00192D35"/>
    <w:rsid w:val="001946B8"/>
    <w:rsid w:val="00195D30"/>
    <w:rsid w:val="00196CC0"/>
    <w:rsid w:val="001A0888"/>
    <w:rsid w:val="001A4BA7"/>
    <w:rsid w:val="001A67D7"/>
    <w:rsid w:val="001A76BB"/>
    <w:rsid w:val="001B07CF"/>
    <w:rsid w:val="001B35CA"/>
    <w:rsid w:val="001B3818"/>
    <w:rsid w:val="001B3A32"/>
    <w:rsid w:val="001B3EAD"/>
    <w:rsid w:val="001B5170"/>
    <w:rsid w:val="001B5943"/>
    <w:rsid w:val="001B6F79"/>
    <w:rsid w:val="001C16D5"/>
    <w:rsid w:val="001C24BF"/>
    <w:rsid w:val="001D3BB4"/>
    <w:rsid w:val="001D3D97"/>
    <w:rsid w:val="001D4019"/>
    <w:rsid w:val="001D5E57"/>
    <w:rsid w:val="001D79DB"/>
    <w:rsid w:val="001E132C"/>
    <w:rsid w:val="001E2CD0"/>
    <w:rsid w:val="001E3CED"/>
    <w:rsid w:val="001E41B1"/>
    <w:rsid w:val="001E5726"/>
    <w:rsid w:val="001F1517"/>
    <w:rsid w:val="001F1967"/>
    <w:rsid w:val="001F1982"/>
    <w:rsid w:val="001F3E29"/>
    <w:rsid w:val="001F6455"/>
    <w:rsid w:val="00202BE9"/>
    <w:rsid w:val="00205F89"/>
    <w:rsid w:val="0020635D"/>
    <w:rsid w:val="002064BA"/>
    <w:rsid w:val="00206ACF"/>
    <w:rsid w:val="00210B3B"/>
    <w:rsid w:val="00212706"/>
    <w:rsid w:val="0021346D"/>
    <w:rsid w:val="00215E44"/>
    <w:rsid w:val="00220329"/>
    <w:rsid w:val="00223699"/>
    <w:rsid w:val="00225FF5"/>
    <w:rsid w:val="00235ECB"/>
    <w:rsid w:val="00236DDC"/>
    <w:rsid w:val="00241E36"/>
    <w:rsid w:val="00242B05"/>
    <w:rsid w:val="00243219"/>
    <w:rsid w:val="00247409"/>
    <w:rsid w:val="002509A6"/>
    <w:rsid w:val="00251FD5"/>
    <w:rsid w:val="0026093D"/>
    <w:rsid w:val="00260EDC"/>
    <w:rsid w:val="002622DE"/>
    <w:rsid w:val="002622F3"/>
    <w:rsid w:val="00263321"/>
    <w:rsid w:val="0026440B"/>
    <w:rsid w:val="00264682"/>
    <w:rsid w:val="002655F4"/>
    <w:rsid w:val="00270396"/>
    <w:rsid w:val="00272478"/>
    <w:rsid w:val="00272D25"/>
    <w:rsid w:val="002741F1"/>
    <w:rsid w:val="00275C81"/>
    <w:rsid w:val="00277282"/>
    <w:rsid w:val="00283F80"/>
    <w:rsid w:val="00284B85"/>
    <w:rsid w:val="002855FE"/>
    <w:rsid w:val="00286E1C"/>
    <w:rsid w:val="00287938"/>
    <w:rsid w:val="0029155B"/>
    <w:rsid w:val="00292880"/>
    <w:rsid w:val="00293291"/>
    <w:rsid w:val="00293CF1"/>
    <w:rsid w:val="00295B02"/>
    <w:rsid w:val="00296385"/>
    <w:rsid w:val="002A1092"/>
    <w:rsid w:val="002B30CD"/>
    <w:rsid w:val="002B52E7"/>
    <w:rsid w:val="002B7109"/>
    <w:rsid w:val="002C3FAF"/>
    <w:rsid w:val="002C5681"/>
    <w:rsid w:val="002C5910"/>
    <w:rsid w:val="002C5CF5"/>
    <w:rsid w:val="002D05CB"/>
    <w:rsid w:val="002D1746"/>
    <w:rsid w:val="002D2696"/>
    <w:rsid w:val="002D6DC2"/>
    <w:rsid w:val="002E04C9"/>
    <w:rsid w:val="002E2316"/>
    <w:rsid w:val="002E5BD0"/>
    <w:rsid w:val="002F0045"/>
    <w:rsid w:val="002F00F9"/>
    <w:rsid w:val="002F2901"/>
    <w:rsid w:val="002F5E1D"/>
    <w:rsid w:val="00300748"/>
    <w:rsid w:val="003020B1"/>
    <w:rsid w:val="0030494E"/>
    <w:rsid w:val="0030554D"/>
    <w:rsid w:val="003066E6"/>
    <w:rsid w:val="00306807"/>
    <w:rsid w:val="00306F3A"/>
    <w:rsid w:val="0031117A"/>
    <w:rsid w:val="003133C7"/>
    <w:rsid w:val="00314E71"/>
    <w:rsid w:val="003154C6"/>
    <w:rsid w:val="00315F5B"/>
    <w:rsid w:val="00316505"/>
    <w:rsid w:val="0032141B"/>
    <w:rsid w:val="00322317"/>
    <w:rsid w:val="00323FC1"/>
    <w:rsid w:val="00330BF5"/>
    <w:rsid w:val="00331609"/>
    <w:rsid w:val="00331F4D"/>
    <w:rsid w:val="003331EB"/>
    <w:rsid w:val="00333581"/>
    <w:rsid w:val="003343F4"/>
    <w:rsid w:val="00334503"/>
    <w:rsid w:val="0034202A"/>
    <w:rsid w:val="0034568D"/>
    <w:rsid w:val="00346290"/>
    <w:rsid w:val="0035130F"/>
    <w:rsid w:val="00351E21"/>
    <w:rsid w:val="00357486"/>
    <w:rsid w:val="003605E9"/>
    <w:rsid w:val="00360CC3"/>
    <w:rsid w:val="00361FE3"/>
    <w:rsid w:val="00364EF9"/>
    <w:rsid w:val="0036563A"/>
    <w:rsid w:val="0037252A"/>
    <w:rsid w:val="00374E0B"/>
    <w:rsid w:val="0037532E"/>
    <w:rsid w:val="00375B23"/>
    <w:rsid w:val="00376BE9"/>
    <w:rsid w:val="0038006E"/>
    <w:rsid w:val="003827CE"/>
    <w:rsid w:val="003861E0"/>
    <w:rsid w:val="00386CA3"/>
    <w:rsid w:val="003876AA"/>
    <w:rsid w:val="00392050"/>
    <w:rsid w:val="00392E26"/>
    <w:rsid w:val="003932E9"/>
    <w:rsid w:val="003937FD"/>
    <w:rsid w:val="003953AC"/>
    <w:rsid w:val="00396EB3"/>
    <w:rsid w:val="003971CB"/>
    <w:rsid w:val="003A0635"/>
    <w:rsid w:val="003A2C43"/>
    <w:rsid w:val="003A2F7C"/>
    <w:rsid w:val="003A6374"/>
    <w:rsid w:val="003A75D3"/>
    <w:rsid w:val="003B0C27"/>
    <w:rsid w:val="003B0C92"/>
    <w:rsid w:val="003B1064"/>
    <w:rsid w:val="003B3448"/>
    <w:rsid w:val="003B3EA1"/>
    <w:rsid w:val="003B4C66"/>
    <w:rsid w:val="003B5B49"/>
    <w:rsid w:val="003B71AD"/>
    <w:rsid w:val="003C3403"/>
    <w:rsid w:val="003C3B44"/>
    <w:rsid w:val="003C4A40"/>
    <w:rsid w:val="003C5446"/>
    <w:rsid w:val="003C560F"/>
    <w:rsid w:val="003D199A"/>
    <w:rsid w:val="003D266B"/>
    <w:rsid w:val="003D329B"/>
    <w:rsid w:val="003D3D49"/>
    <w:rsid w:val="003D4EF6"/>
    <w:rsid w:val="003E19B4"/>
    <w:rsid w:val="003E2FB2"/>
    <w:rsid w:val="003E4B98"/>
    <w:rsid w:val="003F340B"/>
    <w:rsid w:val="003F4487"/>
    <w:rsid w:val="003F4A85"/>
    <w:rsid w:val="003F760D"/>
    <w:rsid w:val="004000F5"/>
    <w:rsid w:val="00400912"/>
    <w:rsid w:val="00400BFE"/>
    <w:rsid w:val="00401781"/>
    <w:rsid w:val="00401888"/>
    <w:rsid w:val="00405C29"/>
    <w:rsid w:val="00407D3A"/>
    <w:rsid w:val="00411A9E"/>
    <w:rsid w:val="00413499"/>
    <w:rsid w:val="0041494A"/>
    <w:rsid w:val="004170B0"/>
    <w:rsid w:val="00417696"/>
    <w:rsid w:val="00421AAA"/>
    <w:rsid w:val="00424AE1"/>
    <w:rsid w:val="00424FB0"/>
    <w:rsid w:val="00434DE4"/>
    <w:rsid w:val="00445331"/>
    <w:rsid w:val="0044743F"/>
    <w:rsid w:val="004502E7"/>
    <w:rsid w:val="0045248A"/>
    <w:rsid w:val="0045610C"/>
    <w:rsid w:val="00457BBF"/>
    <w:rsid w:val="00460FFE"/>
    <w:rsid w:val="00461212"/>
    <w:rsid w:val="00462E90"/>
    <w:rsid w:val="004638A6"/>
    <w:rsid w:val="00464C99"/>
    <w:rsid w:val="00467AA8"/>
    <w:rsid w:val="00472FE7"/>
    <w:rsid w:val="00474A82"/>
    <w:rsid w:val="0047505D"/>
    <w:rsid w:val="004768BA"/>
    <w:rsid w:val="0048054B"/>
    <w:rsid w:val="004835CB"/>
    <w:rsid w:val="004853F2"/>
    <w:rsid w:val="004857EE"/>
    <w:rsid w:val="00486067"/>
    <w:rsid w:val="00487953"/>
    <w:rsid w:val="004902D0"/>
    <w:rsid w:val="00491BD4"/>
    <w:rsid w:val="00494927"/>
    <w:rsid w:val="00495CB7"/>
    <w:rsid w:val="00497DF1"/>
    <w:rsid w:val="004A1942"/>
    <w:rsid w:val="004A3DE0"/>
    <w:rsid w:val="004A6B40"/>
    <w:rsid w:val="004B0A8A"/>
    <w:rsid w:val="004B19D8"/>
    <w:rsid w:val="004B3B63"/>
    <w:rsid w:val="004B7516"/>
    <w:rsid w:val="004C0E3A"/>
    <w:rsid w:val="004C40CD"/>
    <w:rsid w:val="004C6475"/>
    <w:rsid w:val="004C7A98"/>
    <w:rsid w:val="004D565C"/>
    <w:rsid w:val="004D6346"/>
    <w:rsid w:val="004D6534"/>
    <w:rsid w:val="004D72D8"/>
    <w:rsid w:val="004E0324"/>
    <w:rsid w:val="004E0983"/>
    <w:rsid w:val="004E09DE"/>
    <w:rsid w:val="004E191F"/>
    <w:rsid w:val="004E2057"/>
    <w:rsid w:val="004E2168"/>
    <w:rsid w:val="004E51F5"/>
    <w:rsid w:val="004E53F5"/>
    <w:rsid w:val="004E5D42"/>
    <w:rsid w:val="004E6F5D"/>
    <w:rsid w:val="004E7070"/>
    <w:rsid w:val="004F0704"/>
    <w:rsid w:val="004F1D41"/>
    <w:rsid w:val="004F3F24"/>
    <w:rsid w:val="004F479D"/>
    <w:rsid w:val="004F6642"/>
    <w:rsid w:val="004F66D5"/>
    <w:rsid w:val="004F7976"/>
    <w:rsid w:val="0051283B"/>
    <w:rsid w:val="00514197"/>
    <w:rsid w:val="00515025"/>
    <w:rsid w:val="0051686A"/>
    <w:rsid w:val="005179CD"/>
    <w:rsid w:val="00527217"/>
    <w:rsid w:val="005314D0"/>
    <w:rsid w:val="00532A56"/>
    <w:rsid w:val="005334A7"/>
    <w:rsid w:val="0053451B"/>
    <w:rsid w:val="005349D5"/>
    <w:rsid w:val="00537402"/>
    <w:rsid w:val="005407E4"/>
    <w:rsid w:val="005408CD"/>
    <w:rsid w:val="00545987"/>
    <w:rsid w:val="0054738D"/>
    <w:rsid w:val="00547DBC"/>
    <w:rsid w:val="0055103D"/>
    <w:rsid w:val="0055287B"/>
    <w:rsid w:val="00554A13"/>
    <w:rsid w:val="00555E22"/>
    <w:rsid w:val="00560244"/>
    <w:rsid w:val="00560E55"/>
    <w:rsid w:val="00561F57"/>
    <w:rsid w:val="00563924"/>
    <w:rsid w:val="005639F7"/>
    <w:rsid w:val="00567F5C"/>
    <w:rsid w:val="00570D4B"/>
    <w:rsid w:val="00573ABA"/>
    <w:rsid w:val="00576187"/>
    <w:rsid w:val="00576478"/>
    <w:rsid w:val="00577439"/>
    <w:rsid w:val="0058119B"/>
    <w:rsid w:val="0058159B"/>
    <w:rsid w:val="00582652"/>
    <w:rsid w:val="00584052"/>
    <w:rsid w:val="00587D04"/>
    <w:rsid w:val="00587D4D"/>
    <w:rsid w:val="005927BA"/>
    <w:rsid w:val="005939DA"/>
    <w:rsid w:val="00595BEE"/>
    <w:rsid w:val="005963D9"/>
    <w:rsid w:val="00597986"/>
    <w:rsid w:val="005A11D4"/>
    <w:rsid w:val="005A2C61"/>
    <w:rsid w:val="005A5D92"/>
    <w:rsid w:val="005A649D"/>
    <w:rsid w:val="005B03E9"/>
    <w:rsid w:val="005B2CF6"/>
    <w:rsid w:val="005B5854"/>
    <w:rsid w:val="005B6D54"/>
    <w:rsid w:val="005B72AA"/>
    <w:rsid w:val="005C425F"/>
    <w:rsid w:val="005C535D"/>
    <w:rsid w:val="005C5F5D"/>
    <w:rsid w:val="005C6D9D"/>
    <w:rsid w:val="005D01E2"/>
    <w:rsid w:val="005D0214"/>
    <w:rsid w:val="005D02A3"/>
    <w:rsid w:val="005D11DE"/>
    <w:rsid w:val="005D1A27"/>
    <w:rsid w:val="005D1DCE"/>
    <w:rsid w:val="005D34E2"/>
    <w:rsid w:val="005E08AF"/>
    <w:rsid w:val="005E1AC5"/>
    <w:rsid w:val="005E1B58"/>
    <w:rsid w:val="005E51EF"/>
    <w:rsid w:val="005E5D19"/>
    <w:rsid w:val="005E6099"/>
    <w:rsid w:val="005E75CB"/>
    <w:rsid w:val="005F0763"/>
    <w:rsid w:val="005F1500"/>
    <w:rsid w:val="005F2FCB"/>
    <w:rsid w:val="005F7514"/>
    <w:rsid w:val="006012F9"/>
    <w:rsid w:val="00603DD6"/>
    <w:rsid w:val="00605184"/>
    <w:rsid w:val="00605C4C"/>
    <w:rsid w:val="00612FF1"/>
    <w:rsid w:val="006145C3"/>
    <w:rsid w:val="0061478D"/>
    <w:rsid w:val="00615EAD"/>
    <w:rsid w:val="006244EF"/>
    <w:rsid w:val="00624C0B"/>
    <w:rsid w:val="00624F58"/>
    <w:rsid w:val="006274AA"/>
    <w:rsid w:val="00632553"/>
    <w:rsid w:val="00633699"/>
    <w:rsid w:val="0064363A"/>
    <w:rsid w:val="00646A46"/>
    <w:rsid w:val="006525BB"/>
    <w:rsid w:val="006608DF"/>
    <w:rsid w:val="00660C36"/>
    <w:rsid w:val="006619BA"/>
    <w:rsid w:val="00662471"/>
    <w:rsid w:val="00662FCA"/>
    <w:rsid w:val="00663CF9"/>
    <w:rsid w:val="00664CA6"/>
    <w:rsid w:val="00671598"/>
    <w:rsid w:val="00672E0E"/>
    <w:rsid w:val="00675AB2"/>
    <w:rsid w:val="00680507"/>
    <w:rsid w:val="00680630"/>
    <w:rsid w:val="00680E9B"/>
    <w:rsid w:val="0068562B"/>
    <w:rsid w:val="00687D02"/>
    <w:rsid w:val="00691EAD"/>
    <w:rsid w:val="006946AE"/>
    <w:rsid w:val="006946E6"/>
    <w:rsid w:val="0069539B"/>
    <w:rsid w:val="006962D5"/>
    <w:rsid w:val="00696C39"/>
    <w:rsid w:val="006A00E1"/>
    <w:rsid w:val="006A172D"/>
    <w:rsid w:val="006A4366"/>
    <w:rsid w:val="006A5213"/>
    <w:rsid w:val="006B51BD"/>
    <w:rsid w:val="006B5FDC"/>
    <w:rsid w:val="006C4BDC"/>
    <w:rsid w:val="006C7D3B"/>
    <w:rsid w:val="006D05C5"/>
    <w:rsid w:val="006D175D"/>
    <w:rsid w:val="006D3D6C"/>
    <w:rsid w:val="006D5CA5"/>
    <w:rsid w:val="006D665F"/>
    <w:rsid w:val="006D7577"/>
    <w:rsid w:val="006E0ED5"/>
    <w:rsid w:val="006E1268"/>
    <w:rsid w:val="006E5EEC"/>
    <w:rsid w:val="006E7886"/>
    <w:rsid w:val="006F380F"/>
    <w:rsid w:val="006F7143"/>
    <w:rsid w:val="00701134"/>
    <w:rsid w:val="00702BC2"/>
    <w:rsid w:val="00704B22"/>
    <w:rsid w:val="00704BF4"/>
    <w:rsid w:val="00710E66"/>
    <w:rsid w:val="00713FDA"/>
    <w:rsid w:val="00716E5E"/>
    <w:rsid w:val="00717ED7"/>
    <w:rsid w:val="00720B1C"/>
    <w:rsid w:val="0072115E"/>
    <w:rsid w:val="00723BFA"/>
    <w:rsid w:val="007260F1"/>
    <w:rsid w:val="00726B26"/>
    <w:rsid w:val="00726E27"/>
    <w:rsid w:val="00731176"/>
    <w:rsid w:val="007315AB"/>
    <w:rsid w:val="007339DD"/>
    <w:rsid w:val="00736908"/>
    <w:rsid w:val="0074266B"/>
    <w:rsid w:val="007430DF"/>
    <w:rsid w:val="00747116"/>
    <w:rsid w:val="00750344"/>
    <w:rsid w:val="007538C3"/>
    <w:rsid w:val="00754829"/>
    <w:rsid w:val="00760445"/>
    <w:rsid w:val="007630EC"/>
    <w:rsid w:val="00766A3F"/>
    <w:rsid w:val="00767FA3"/>
    <w:rsid w:val="007717F8"/>
    <w:rsid w:val="00772394"/>
    <w:rsid w:val="007724CA"/>
    <w:rsid w:val="0077277B"/>
    <w:rsid w:val="00772977"/>
    <w:rsid w:val="00773F10"/>
    <w:rsid w:val="00780919"/>
    <w:rsid w:val="00781B02"/>
    <w:rsid w:val="0078454B"/>
    <w:rsid w:val="00790986"/>
    <w:rsid w:val="00790D5A"/>
    <w:rsid w:val="00790FD3"/>
    <w:rsid w:val="00791333"/>
    <w:rsid w:val="007922F4"/>
    <w:rsid w:val="007949BA"/>
    <w:rsid w:val="00797DDF"/>
    <w:rsid w:val="007A1DA7"/>
    <w:rsid w:val="007A43AB"/>
    <w:rsid w:val="007A5D23"/>
    <w:rsid w:val="007A67BE"/>
    <w:rsid w:val="007B1FAE"/>
    <w:rsid w:val="007B4AD4"/>
    <w:rsid w:val="007B5D12"/>
    <w:rsid w:val="007B739D"/>
    <w:rsid w:val="007C21EA"/>
    <w:rsid w:val="007C3F0A"/>
    <w:rsid w:val="007C46FF"/>
    <w:rsid w:val="007D13A5"/>
    <w:rsid w:val="007D1EEA"/>
    <w:rsid w:val="007D3062"/>
    <w:rsid w:val="007D5F6A"/>
    <w:rsid w:val="007D65AE"/>
    <w:rsid w:val="007D7ADB"/>
    <w:rsid w:val="007E03FD"/>
    <w:rsid w:val="007E1AA7"/>
    <w:rsid w:val="007E2597"/>
    <w:rsid w:val="007E2EAB"/>
    <w:rsid w:val="007E4355"/>
    <w:rsid w:val="007E4360"/>
    <w:rsid w:val="007E4B8A"/>
    <w:rsid w:val="007E59F2"/>
    <w:rsid w:val="007F14F3"/>
    <w:rsid w:val="007F5D59"/>
    <w:rsid w:val="007F5F50"/>
    <w:rsid w:val="007F6EB0"/>
    <w:rsid w:val="007F74AE"/>
    <w:rsid w:val="008013DB"/>
    <w:rsid w:val="008032F2"/>
    <w:rsid w:val="00803944"/>
    <w:rsid w:val="00806DC1"/>
    <w:rsid w:val="008208D6"/>
    <w:rsid w:val="00820C61"/>
    <w:rsid w:val="00822AC7"/>
    <w:rsid w:val="00823A25"/>
    <w:rsid w:val="008262F7"/>
    <w:rsid w:val="00827FCD"/>
    <w:rsid w:val="0083022D"/>
    <w:rsid w:val="00830565"/>
    <w:rsid w:val="008306E3"/>
    <w:rsid w:val="00841232"/>
    <w:rsid w:val="008435CE"/>
    <w:rsid w:val="008519F7"/>
    <w:rsid w:val="00852228"/>
    <w:rsid w:val="00854D1B"/>
    <w:rsid w:val="00855F43"/>
    <w:rsid w:val="00861604"/>
    <w:rsid w:val="00864A51"/>
    <w:rsid w:val="008722EB"/>
    <w:rsid w:val="00876F79"/>
    <w:rsid w:val="00882F4F"/>
    <w:rsid w:val="00885D62"/>
    <w:rsid w:val="008866CE"/>
    <w:rsid w:val="008877C4"/>
    <w:rsid w:val="00890D55"/>
    <w:rsid w:val="008926D6"/>
    <w:rsid w:val="00894738"/>
    <w:rsid w:val="00894C2E"/>
    <w:rsid w:val="00895B0C"/>
    <w:rsid w:val="00895CC4"/>
    <w:rsid w:val="008A688C"/>
    <w:rsid w:val="008A6D2A"/>
    <w:rsid w:val="008A771B"/>
    <w:rsid w:val="008B3D68"/>
    <w:rsid w:val="008B5280"/>
    <w:rsid w:val="008B6C5E"/>
    <w:rsid w:val="008B7FD3"/>
    <w:rsid w:val="008C085C"/>
    <w:rsid w:val="008C2270"/>
    <w:rsid w:val="008C6C83"/>
    <w:rsid w:val="008D0541"/>
    <w:rsid w:val="008D0B1C"/>
    <w:rsid w:val="008D109B"/>
    <w:rsid w:val="008D2A2C"/>
    <w:rsid w:val="008D49C2"/>
    <w:rsid w:val="008D573B"/>
    <w:rsid w:val="008D57CE"/>
    <w:rsid w:val="008D7125"/>
    <w:rsid w:val="008E03CF"/>
    <w:rsid w:val="008E2B86"/>
    <w:rsid w:val="008E417F"/>
    <w:rsid w:val="008E6070"/>
    <w:rsid w:val="008E67DE"/>
    <w:rsid w:val="008F02EA"/>
    <w:rsid w:val="008F2E49"/>
    <w:rsid w:val="008F7F29"/>
    <w:rsid w:val="009000BE"/>
    <w:rsid w:val="00902A8B"/>
    <w:rsid w:val="00904200"/>
    <w:rsid w:val="00904CDF"/>
    <w:rsid w:val="00904D42"/>
    <w:rsid w:val="0090553D"/>
    <w:rsid w:val="00907C3F"/>
    <w:rsid w:val="00910588"/>
    <w:rsid w:val="0091282C"/>
    <w:rsid w:val="00915465"/>
    <w:rsid w:val="009156E7"/>
    <w:rsid w:val="00922FFE"/>
    <w:rsid w:val="009252A6"/>
    <w:rsid w:val="00925D11"/>
    <w:rsid w:val="00926AB7"/>
    <w:rsid w:val="00927800"/>
    <w:rsid w:val="00927965"/>
    <w:rsid w:val="00930162"/>
    <w:rsid w:val="009306A4"/>
    <w:rsid w:val="00930867"/>
    <w:rsid w:val="00931E0B"/>
    <w:rsid w:val="00932891"/>
    <w:rsid w:val="00934A71"/>
    <w:rsid w:val="00935711"/>
    <w:rsid w:val="00935F00"/>
    <w:rsid w:val="0094137F"/>
    <w:rsid w:val="009464C1"/>
    <w:rsid w:val="00953719"/>
    <w:rsid w:val="00955C7C"/>
    <w:rsid w:val="009565DC"/>
    <w:rsid w:val="00962D20"/>
    <w:rsid w:val="00964E92"/>
    <w:rsid w:val="00965146"/>
    <w:rsid w:val="00965B9E"/>
    <w:rsid w:val="00966FE3"/>
    <w:rsid w:val="009704E9"/>
    <w:rsid w:val="00970D37"/>
    <w:rsid w:val="009716D7"/>
    <w:rsid w:val="009735BE"/>
    <w:rsid w:val="00975BE4"/>
    <w:rsid w:val="00976C25"/>
    <w:rsid w:val="00977CC3"/>
    <w:rsid w:val="0098081D"/>
    <w:rsid w:val="0098426C"/>
    <w:rsid w:val="0098508C"/>
    <w:rsid w:val="00985C58"/>
    <w:rsid w:val="00986AD2"/>
    <w:rsid w:val="00987CD8"/>
    <w:rsid w:val="00992498"/>
    <w:rsid w:val="00993552"/>
    <w:rsid w:val="009935BF"/>
    <w:rsid w:val="0099384A"/>
    <w:rsid w:val="00993AEF"/>
    <w:rsid w:val="009A043E"/>
    <w:rsid w:val="009A4B6E"/>
    <w:rsid w:val="009A7DCF"/>
    <w:rsid w:val="009B34FE"/>
    <w:rsid w:val="009B506F"/>
    <w:rsid w:val="009C1551"/>
    <w:rsid w:val="009C1F6B"/>
    <w:rsid w:val="009C5ACC"/>
    <w:rsid w:val="009C5D65"/>
    <w:rsid w:val="009D1801"/>
    <w:rsid w:val="009D2C22"/>
    <w:rsid w:val="009D32A1"/>
    <w:rsid w:val="009D51E3"/>
    <w:rsid w:val="009D6842"/>
    <w:rsid w:val="009E1F90"/>
    <w:rsid w:val="009E2264"/>
    <w:rsid w:val="009E308C"/>
    <w:rsid w:val="009E33E2"/>
    <w:rsid w:val="009F1B33"/>
    <w:rsid w:val="009F22CA"/>
    <w:rsid w:val="009F2560"/>
    <w:rsid w:val="009F2D59"/>
    <w:rsid w:val="009F33F4"/>
    <w:rsid w:val="009F446C"/>
    <w:rsid w:val="009F4853"/>
    <w:rsid w:val="009F6503"/>
    <w:rsid w:val="009F707A"/>
    <w:rsid w:val="00A007AF"/>
    <w:rsid w:val="00A02BD9"/>
    <w:rsid w:val="00A077B4"/>
    <w:rsid w:val="00A104C4"/>
    <w:rsid w:val="00A1392B"/>
    <w:rsid w:val="00A1455F"/>
    <w:rsid w:val="00A1475C"/>
    <w:rsid w:val="00A15E90"/>
    <w:rsid w:val="00A202FD"/>
    <w:rsid w:val="00A24C73"/>
    <w:rsid w:val="00A25180"/>
    <w:rsid w:val="00A25F2B"/>
    <w:rsid w:val="00A31D23"/>
    <w:rsid w:val="00A32A81"/>
    <w:rsid w:val="00A34099"/>
    <w:rsid w:val="00A34209"/>
    <w:rsid w:val="00A344F0"/>
    <w:rsid w:val="00A41C92"/>
    <w:rsid w:val="00A44DDE"/>
    <w:rsid w:val="00A505EF"/>
    <w:rsid w:val="00A508AD"/>
    <w:rsid w:val="00A50B71"/>
    <w:rsid w:val="00A5136D"/>
    <w:rsid w:val="00A528C8"/>
    <w:rsid w:val="00A53DD8"/>
    <w:rsid w:val="00A53FBC"/>
    <w:rsid w:val="00A5463B"/>
    <w:rsid w:val="00A55018"/>
    <w:rsid w:val="00A56805"/>
    <w:rsid w:val="00A6003E"/>
    <w:rsid w:val="00A60569"/>
    <w:rsid w:val="00A65648"/>
    <w:rsid w:val="00A663DD"/>
    <w:rsid w:val="00A66A11"/>
    <w:rsid w:val="00A702CE"/>
    <w:rsid w:val="00A70F22"/>
    <w:rsid w:val="00A7390D"/>
    <w:rsid w:val="00A745AC"/>
    <w:rsid w:val="00A7762C"/>
    <w:rsid w:val="00A77C92"/>
    <w:rsid w:val="00A813AB"/>
    <w:rsid w:val="00A8460A"/>
    <w:rsid w:val="00A85ABD"/>
    <w:rsid w:val="00A87D37"/>
    <w:rsid w:val="00A9179F"/>
    <w:rsid w:val="00A95A40"/>
    <w:rsid w:val="00A96161"/>
    <w:rsid w:val="00A96B06"/>
    <w:rsid w:val="00A97812"/>
    <w:rsid w:val="00AA1D9F"/>
    <w:rsid w:val="00AA202C"/>
    <w:rsid w:val="00AA5CE3"/>
    <w:rsid w:val="00AB1FE9"/>
    <w:rsid w:val="00AB4768"/>
    <w:rsid w:val="00AB79D9"/>
    <w:rsid w:val="00AC0435"/>
    <w:rsid w:val="00AC0D37"/>
    <w:rsid w:val="00AC19E6"/>
    <w:rsid w:val="00AC3316"/>
    <w:rsid w:val="00AC357F"/>
    <w:rsid w:val="00AC432C"/>
    <w:rsid w:val="00AC5CA7"/>
    <w:rsid w:val="00AD114B"/>
    <w:rsid w:val="00AD1419"/>
    <w:rsid w:val="00AD282D"/>
    <w:rsid w:val="00AD3806"/>
    <w:rsid w:val="00AD395C"/>
    <w:rsid w:val="00AD4E64"/>
    <w:rsid w:val="00AD66F0"/>
    <w:rsid w:val="00AD73B6"/>
    <w:rsid w:val="00AD7693"/>
    <w:rsid w:val="00AE06A9"/>
    <w:rsid w:val="00AE13A9"/>
    <w:rsid w:val="00AE7400"/>
    <w:rsid w:val="00AF11E2"/>
    <w:rsid w:val="00AF4A04"/>
    <w:rsid w:val="00AF5483"/>
    <w:rsid w:val="00AF5DA4"/>
    <w:rsid w:val="00AF7550"/>
    <w:rsid w:val="00AF7A88"/>
    <w:rsid w:val="00B01309"/>
    <w:rsid w:val="00B04452"/>
    <w:rsid w:val="00B049A6"/>
    <w:rsid w:val="00B05DC4"/>
    <w:rsid w:val="00B11218"/>
    <w:rsid w:val="00B15E08"/>
    <w:rsid w:val="00B21774"/>
    <w:rsid w:val="00B24AA0"/>
    <w:rsid w:val="00B266A0"/>
    <w:rsid w:val="00B3534B"/>
    <w:rsid w:val="00B36587"/>
    <w:rsid w:val="00B36C63"/>
    <w:rsid w:val="00B37FCC"/>
    <w:rsid w:val="00B400C8"/>
    <w:rsid w:val="00B405AD"/>
    <w:rsid w:val="00B425EF"/>
    <w:rsid w:val="00B42677"/>
    <w:rsid w:val="00B43C68"/>
    <w:rsid w:val="00B4479C"/>
    <w:rsid w:val="00B44F44"/>
    <w:rsid w:val="00B466FA"/>
    <w:rsid w:val="00B46DCE"/>
    <w:rsid w:val="00B524E1"/>
    <w:rsid w:val="00B532C0"/>
    <w:rsid w:val="00B54353"/>
    <w:rsid w:val="00B556F2"/>
    <w:rsid w:val="00B56653"/>
    <w:rsid w:val="00B5674B"/>
    <w:rsid w:val="00B56C2B"/>
    <w:rsid w:val="00B570E0"/>
    <w:rsid w:val="00B57AEE"/>
    <w:rsid w:val="00B603CF"/>
    <w:rsid w:val="00B61211"/>
    <w:rsid w:val="00B6241E"/>
    <w:rsid w:val="00B6276B"/>
    <w:rsid w:val="00B6427A"/>
    <w:rsid w:val="00B656EF"/>
    <w:rsid w:val="00B70A4C"/>
    <w:rsid w:val="00B73386"/>
    <w:rsid w:val="00B75FD5"/>
    <w:rsid w:val="00B80126"/>
    <w:rsid w:val="00B80798"/>
    <w:rsid w:val="00B81082"/>
    <w:rsid w:val="00B847CC"/>
    <w:rsid w:val="00B84FBC"/>
    <w:rsid w:val="00B85C54"/>
    <w:rsid w:val="00B9579E"/>
    <w:rsid w:val="00B95897"/>
    <w:rsid w:val="00BA3068"/>
    <w:rsid w:val="00BA4399"/>
    <w:rsid w:val="00BA489B"/>
    <w:rsid w:val="00BA5F65"/>
    <w:rsid w:val="00BA60E8"/>
    <w:rsid w:val="00BA62C8"/>
    <w:rsid w:val="00BA68AF"/>
    <w:rsid w:val="00BA737D"/>
    <w:rsid w:val="00BB0541"/>
    <w:rsid w:val="00BB4498"/>
    <w:rsid w:val="00BB4679"/>
    <w:rsid w:val="00BB46CA"/>
    <w:rsid w:val="00BB60F7"/>
    <w:rsid w:val="00BC0729"/>
    <w:rsid w:val="00BC0F89"/>
    <w:rsid w:val="00BC2165"/>
    <w:rsid w:val="00BC473F"/>
    <w:rsid w:val="00BC48CA"/>
    <w:rsid w:val="00BC691D"/>
    <w:rsid w:val="00BC6C8B"/>
    <w:rsid w:val="00BC7511"/>
    <w:rsid w:val="00BD1CFD"/>
    <w:rsid w:val="00BE2166"/>
    <w:rsid w:val="00BE5156"/>
    <w:rsid w:val="00BE5D12"/>
    <w:rsid w:val="00BE74AE"/>
    <w:rsid w:val="00BF028E"/>
    <w:rsid w:val="00BF074F"/>
    <w:rsid w:val="00BF118D"/>
    <w:rsid w:val="00BF5D86"/>
    <w:rsid w:val="00C00871"/>
    <w:rsid w:val="00C0181A"/>
    <w:rsid w:val="00C16DC2"/>
    <w:rsid w:val="00C17455"/>
    <w:rsid w:val="00C175CD"/>
    <w:rsid w:val="00C216E3"/>
    <w:rsid w:val="00C23531"/>
    <w:rsid w:val="00C23D5A"/>
    <w:rsid w:val="00C257DD"/>
    <w:rsid w:val="00C30B0B"/>
    <w:rsid w:val="00C31BE1"/>
    <w:rsid w:val="00C33290"/>
    <w:rsid w:val="00C3373C"/>
    <w:rsid w:val="00C37A3D"/>
    <w:rsid w:val="00C4039B"/>
    <w:rsid w:val="00C43985"/>
    <w:rsid w:val="00C44DBB"/>
    <w:rsid w:val="00C46745"/>
    <w:rsid w:val="00C522B5"/>
    <w:rsid w:val="00C542F8"/>
    <w:rsid w:val="00C60336"/>
    <w:rsid w:val="00C605CD"/>
    <w:rsid w:val="00C60769"/>
    <w:rsid w:val="00C621F6"/>
    <w:rsid w:val="00C6360A"/>
    <w:rsid w:val="00C70A60"/>
    <w:rsid w:val="00C70DA5"/>
    <w:rsid w:val="00C73569"/>
    <w:rsid w:val="00C76573"/>
    <w:rsid w:val="00C768BA"/>
    <w:rsid w:val="00C774C1"/>
    <w:rsid w:val="00C82EDB"/>
    <w:rsid w:val="00C8356A"/>
    <w:rsid w:val="00C83EFF"/>
    <w:rsid w:val="00C8468E"/>
    <w:rsid w:val="00C846C1"/>
    <w:rsid w:val="00C86787"/>
    <w:rsid w:val="00C86CB1"/>
    <w:rsid w:val="00C877FB"/>
    <w:rsid w:val="00C912B1"/>
    <w:rsid w:val="00C91D1A"/>
    <w:rsid w:val="00C92151"/>
    <w:rsid w:val="00C92BF4"/>
    <w:rsid w:val="00C92F05"/>
    <w:rsid w:val="00C960BC"/>
    <w:rsid w:val="00C96900"/>
    <w:rsid w:val="00C96C16"/>
    <w:rsid w:val="00C97E56"/>
    <w:rsid w:val="00CA09AE"/>
    <w:rsid w:val="00CA0CCA"/>
    <w:rsid w:val="00CA5C61"/>
    <w:rsid w:val="00CA7A13"/>
    <w:rsid w:val="00CB01EC"/>
    <w:rsid w:val="00CB02A5"/>
    <w:rsid w:val="00CB2EFA"/>
    <w:rsid w:val="00CB494C"/>
    <w:rsid w:val="00CB58B7"/>
    <w:rsid w:val="00CB6B5A"/>
    <w:rsid w:val="00CC31A9"/>
    <w:rsid w:val="00CC5347"/>
    <w:rsid w:val="00CC7676"/>
    <w:rsid w:val="00CD4760"/>
    <w:rsid w:val="00CD5300"/>
    <w:rsid w:val="00CE1251"/>
    <w:rsid w:val="00CE6EB3"/>
    <w:rsid w:val="00CE79A0"/>
    <w:rsid w:val="00CF0C3B"/>
    <w:rsid w:val="00CF36E1"/>
    <w:rsid w:val="00CF4A0D"/>
    <w:rsid w:val="00CF702E"/>
    <w:rsid w:val="00D007B2"/>
    <w:rsid w:val="00D02366"/>
    <w:rsid w:val="00D06567"/>
    <w:rsid w:val="00D066FC"/>
    <w:rsid w:val="00D107FD"/>
    <w:rsid w:val="00D128E1"/>
    <w:rsid w:val="00D20CCF"/>
    <w:rsid w:val="00D24E84"/>
    <w:rsid w:val="00D24F73"/>
    <w:rsid w:val="00D30268"/>
    <w:rsid w:val="00D313B7"/>
    <w:rsid w:val="00D32D33"/>
    <w:rsid w:val="00D34CEC"/>
    <w:rsid w:val="00D35D0C"/>
    <w:rsid w:val="00D36329"/>
    <w:rsid w:val="00D37812"/>
    <w:rsid w:val="00D41456"/>
    <w:rsid w:val="00D4153F"/>
    <w:rsid w:val="00D52A16"/>
    <w:rsid w:val="00D52BF9"/>
    <w:rsid w:val="00D543FC"/>
    <w:rsid w:val="00D579A0"/>
    <w:rsid w:val="00D57A13"/>
    <w:rsid w:val="00D57B5D"/>
    <w:rsid w:val="00D610BA"/>
    <w:rsid w:val="00D61871"/>
    <w:rsid w:val="00D62117"/>
    <w:rsid w:val="00D622FF"/>
    <w:rsid w:val="00D63DFB"/>
    <w:rsid w:val="00D640BA"/>
    <w:rsid w:val="00D64778"/>
    <w:rsid w:val="00D65E63"/>
    <w:rsid w:val="00D66436"/>
    <w:rsid w:val="00D70239"/>
    <w:rsid w:val="00D713F2"/>
    <w:rsid w:val="00D71AD2"/>
    <w:rsid w:val="00D7428D"/>
    <w:rsid w:val="00D74F72"/>
    <w:rsid w:val="00D76829"/>
    <w:rsid w:val="00D76E84"/>
    <w:rsid w:val="00D779DE"/>
    <w:rsid w:val="00D804A1"/>
    <w:rsid w:val="00D8392F"/>
    <w:rsid w:val="00D839D5"/>
    <w:rsid w:val="00D84ECB"/>
    <w:rsid w:val="00D861A1"/>
    <w:rsid w:val="00D866AB"/>
    <w:rsid w:val="00D86DD5"/>
    <w:rsid w:val="00D87089"/>
    <w:rsid w:val="00D8764B"/>
    <w:rsid w:val="00D91719"/>
    <w:rsid w:val="00D93B66"/>
    <w:rsid w:val="00D96131"/>
    <w:rsid w:val="00D965EC"/>
    <w:rsid w:val="00DA0B8C"/>
    <w:rsid w:val="00DA0D65"/>
    <w:rsid w:val="00DA0FB2"/>
    <w:rsid w:val="00DA1B2C"/>
    <w:rsid w:val="00DA2A5D"/>
    <w:rsid w:val="00DA3086"/>
    <w:rsid w:val="00DA7EFA"/>
    <w:rsid w:val="00DB07F3"/>
    <w:rsid w:val="00DB181B"/>
    <w:rsid w:val="00DB256F"/>
    <w:rsid w:val="00DB40E0"/>
    <w:rsid w:val="00DB4155"/>
    <w:rsid w:val="00DB5209"/>
    <w:rsid w:val="00DB589E"/>
    <w:rsid w:val="00DB7A5B"/>
    <w:rsid w:val="00DC0E69"/>
    <w:rsid w:val="00DC104E"/>
    <w:rsid w:val="00DC2EFE"/>
    <w:rsid w:val="00DC3B6C"/>
    <w:rsid w:val="00DC58B8"/>
    <w:rsid w:val="00DD1464"/>
    <w:rsid w:val="00DF0B58"/>
    <w:rsid w:val="00DF1B0F"/>
    <w:rsid w:val="00DF5AAA"/>
    <w:rsid w:val="00E00638"/>
    <w:rsid w:val="00E00AE5"/>
    <w:rsid w:val="00E02D22"/>
    <w:rsid w:val="00E0390B"/>
    <w:rsid w:val="00E04226"/>
    <w:rsid w:val="00E047CC"/>
    <w:rsid w:val="00E10510"/>
    <w:rsid w:val="00E10895"/>
    <w:rsid w:val="00E10BDE"/>
    <w:rsid w:val="00E2593E"/>
    <w:rsid w:val="00E27997"/>
    <w:rsid w:val="00E31B3A"/>
    <w:rsid w:val="00E321A2"/>
    <w:rsid w:val="00E337C4"/>
    <w:rsid w:val="00E353E7"/>
    <w:rsid w:val="00E40993"/>
    <w:rsid w:val="00E422FF"/>
    <w:rsid w:val="00E43795"/>
    <w:rsid w:val="00E43B59"/>
    <w:rsid w:val="00E4756D"/>
    <w:rsid w:val="00E479B2"/>
    <w:rsid w:val="00E52C7C"/>
    <w:rsid w:val="00E550B6"/>
    <w:rsid w:val="00E57F84"/>
    <w:rsid w:val="00E61D9E"/>
    <w:rsid w:val="00E6399E"/>
    <w:rsid w:val="00E668F3"/>
    <w:rsid w:val="00E70D5B"/>
    <w:rsid w:val="00E739DE"/>
    <w:rsid w:val="00E75FCE"/>
    <w:rsid w:val="00E76C07"/>
    <w:rsid w:val="00E76C08"/>
    <w:rsid w:val="00E807BF"/>
    <w:rsid w:val="00E81C0E"/>
    <w:rsid w:val="00E85ECE"/>
    <w:rsid w:val="00E85F49"/>
    <w:rsid w:val="00E86636"/>
    <w:rsid w:val="00E87D19"/>
    <w:rsid w:val="00E91F40"/>
    <w:rsid w:val="00E9308B"/>
    <w:rsid w:val="00E975F8"/>
    <w:rsid w:val="00E97969"/>
    <w:rsid w:val="00EA2263"/>
    <w:rsid w:val="00EA34D1"/>
    <w:rsid w:val="00EA3FD2"/>
    <w:rsid w:val="00EA56D4"/>
    <w:rsid w:val="00EB0400"/>
    <w:rsid w:val="00EB0D9C"/>
    <w:rsid w:val="00EB29F2"/>
    <w:rsid w:val="00EB2CD0"/>
    <w:rsid w:val="00EB6050"/>
    <w:rsid w:val="00EB7CCF"/>
    <w:rsid w:val="00EC20FC"/>
    <w:rsid w:val="00EC2615"/>
    <w:rsid w:val="00EC3D19"/>
    <w:rsid w:val="00EC40D8"/>
    <w:rsid w:val="00EC4B75"/>
    <w:rsid w:val="00EC6802"/>
    <w:rsid w:val="00EC6ECA"/>
    <w:rsid w:val="00ED0552"/>
    <w:rsid w:val="00ED45E2"/>
    <w:rsid w:val="00ED4CDC"/>
    <w:rsid w:val="00EE100E"/>
    <w:rsid w:val="00EE361E"/>
    <w:rsid w:val="00EE48C1"/>
    <w:rsid w:val="00EE4983"/>
    <w:rsid w:val="00EE5244"/>
    <w:rsid w:val="00EF13C1"/>
    <w:rsid w:val="00EF1859"/>
    <w:rsid w:val="00EF1CE2"/>
    <w:rsid w:val="00EF6C75"/>
    <w:rsid w:val="00EF6F23"/>
    <w:rsid w:val="00F02A5B"/>
    <w:rsid w:val="00F146B7"/>
    <w:rsid w:val="00F208F2"/>
    <w:rsid w:val="00F227AF"/>
    <w:rsid w:val="00F235ED"/>
    <w:rsid w:val="00F24670"/>
    <w:rsid w:val="00F24906"/>
    <w:rsid w:val="00F24A58"/>
    <w:rsid w:val="00F30D4D"/>
    <w:rsid w:val="00F334D9"/>
    <w:rsid w:val="00F33594"/>
    <w:rsid w:val="00F36465"/>
    <w:rsid w:val="00F37202"/>
    <w:rsid w:val="00F378B0"/>
    <w:rsid w:val="00F37C1D"/>
    <w:rsid w:val="00F37E3E"/>
    <w:rsid w:val="00F4073D"/>
    <w:rsid w:val="00F40B6D"/>
    <w:rsid w:val="00F415CC"/>
    <w:rsid w:val="00F43D46"/>
    <w:rsid w:val="00F44913"/>
    <w:rsid w:val="00F470F4"/>
    <w:rsid w:val="00F47335"/>
    <w:rsid w:val="00F50336"/>
    <w:rsid w:val="00F50A61"/>
    <w:rsid w:val="00F51E78"/>
    <w:rsid w:val="00F53F9B"/>
    <w:rsid w:val="00F550A0"/>
    <w:rsid w:val="00F557E6"/>
    <w:rsid w:val="00F55C2D"/>
    <w:rsid w:val="00F60FFD"/>
    <w:rsid w:val="00F64124"/>
    <w:rsid w:val="00F657A4"/>
    <w:rsid w:val="00F66493"/>
    <w:rsid w:val="00F70812"/>
    <w:rsid w:val="00F74190"/>
    <w:rsid w:val="00F77CC1"/>
    <w:rsid w:val="00F81C31"/>
    <w:rsid w:val="00F8355A"/>
    <w:rsid w:val="00F83F73"/>
    <w:rsid w:val="00F8744F"/>
    <w:rsid w:val="00F93217"/>
    <w:rsid w:val="00F94E42"/>
    <w:rsid w:val="00FA0E11"/>
    <w:rsid w:val="00FA16FD"/>
    <w:rsid w:val="00FA2988"/>
    <w:rsid w:val="00FA47E5"/>
    <w:rsid w:val="00FA6936"/>
    <w:rsid w:val="00FB1B05"/>
    <w:rsid w:val="00FB4521"/>
    <w:rsid w:val="00FC0F11"/>
    <w:rsid w:val="00FC1759"/>
    <w:rsid w:val="00FC1C5C"/>
    <w:rsid w:val="00FC37A5"/>
    <w:rsid w:val="00FC390A"/>
    <w:rsid w:val="00FC3EEA"/>
    <w:rsid w:val="00FC3F91"/>
    <w:rsid w:val="00FD0AF3"/>
    <w:rsid w:val="00FD2057"/>
    <w:rsid w:val="00FD311C"/>
    <w:rsid w:val="00FD35F8"/>
    <w:rsid w:val="00FE163A"/>
    <w:rsid w:val="00FE1818"/>
    <w:rsid w:val="00FE64E2"/>
    <w:rsid w:val="00FF116D"/>
    <w:rsid w:val="00FF2FA1"/>
    <w:rsid w:val="00FF6A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1498"/>
  <w15:docId w15:val="{2D94CBE0-50F5-484B-BEAF-1142D801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75F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75FD5"/>
    <w:rPr>
      <w:color w:val="0000FF"/>
      <w:u w:val="single"/>
    </w:rPr>
  </w:style>
  <w:style w:type="paragraph" w:styleId="Textodenotaderodap">
    <w:name w:val="footnote text"/>
    <w:basedOn w:val="Normal"/>
    <w:link w:val="TextodenotaderodapChar"/>
    <w:uiPriority w:val="99"/>
    <w:semiHidden/>
    <w:unhideWhenUsed/>
    <w:rsid w:val="00D610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10BA"/>
    <w:rPr>
      <w:sz w:val="20"/>
      <w:szCs w:val="20"/>
    </w:rPr>
  </w:style>
  <w:style w:type="character" w:styleId="Refdenotaderodap">
    <w:name w:val="footnote reference"/>
    <w:basedOn w:val="Fontepargpadro"/>
    <w:uiPriority w:val="99"/>
    <w:semiHidden/>
    <w:unhideWhenUsed/>
    <w:rsid w:val="00D610BA"/>
    <w:rPr>
      <w:vertAlign w:val="superscript"/>
    </w:rPr>
  </w:style>
  <w:style w:type="paragraph" w:customStyle="1" w:styleId="pa">
    <w:name w:val="p_a"/>
    <w:basedOn w:val="Normal"/>
    <w:rsid w:val="003937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g-43fc2">
    <w:name w:val="pg-43fc2"/>
    <w:basedOn w:val="Fontepargpadro"/>
    <w:rsid w:val="003937FD"/>
  </w:style>
  <w:style w:type="character" w:customStyle="1" w:styleId="a">
    <w:name w:val="_"/>
    <w:basedOn w:val="Fontepargpadro"/>
    <w:rsid w:val="003937FD"/>
  </w:style>
  <w:style w:type="character" w:styleId="Forte">
    <w:name w:val="Strong"/>
    <w:basedOn w:val="Fontepargpadro"/>
    <w:uiPriority w:val="22"/>
    <w:qFormat/>
    <w:rsid w:val="00D62117"/>
    <w:rPr>
      <w:b/>
      <w:bCs/>
    </w:rPr>
  </w:style>
  <w:style w:type="character" w:styleId="Refdecomentrio">
    <w:name w:val="annotation reference"/>
    <w:basedOn w:val="Fontepargpadro"/>
    <w:uiPriority w:val="99"/>
    <w:semiHidden/>
    <w:unhideWhenUsed/>
    <w:rsid w:val="00392050"/>
    <w:rPr>
      <w:sz w:val="16"/>
      <w:szCs w:val="16"/>
    </w:rPr>
  </w:style>
  <w:style w:type="paragraph" w:styleId="Textodecomentrio">
    <w:name w:val="annotation text"/>
    <w:basedOn w:val="Normal"/>
    <w:link w:val="TextodecomentrioChar"/>
    <w:uiPriority w:val="99"/>
    <w:unhideWhenUsed/>
    <w:rsid w:val="00392050"/>
    <w:pPr>
      <w:spacing w:line="240" w:lineRule="auto"/>
    </w:pPr>
    <w:rPr>
      <w:sz w:val="20"/>
      <w:szCs w:val="20"/>
    </w:rPr>
  </w:style>
  <w:style w:type="character" w:customStyle="1" w:styleId="TextodecomentrioChar">
    <w:name w:val="Texto de comentário Char"/>
    <w:basedOn w:val="Fontepargpadro"/>
    <w:link w:val="Textodecomentrio"/>
    <w:uiPriority w:val="99"/>
    <w:rsid w:val="00392050"/>
    <w:rPr>
      <w:sz w:val="20"/>
      <w:szCs w:val="20"/>
    </w:rPr>
  </w:style>
  <w:style w:type="paragraph" w:styleId="Assuntodocomentrio">
    <w:name w:val="annotation subject"/>
    <w:basedOn w:val="Textodecomentrio"/>
    <w:next w:val="Textodecomentrio"/>
    <w:link w:val="AssuntodocomentrioChar"/>
    <w:uiPriority w:val="99"/>
    <w:semiHidden/>
    <w:unhideWhenUsed/>
    <w:rsid w:val="00392050"/>
    <w:rPr>
      <w:b/>
      <w:bCs/>
    </w:rPr>
  </w:style>
  <w:style w:type="character" w:customStyle="1" w:styleId="AssuntodocomentrioChar">
    <w:name w:val="Assunto do comentário Char"/>
    <w:basedOn w:val="TextodecomentrioChar"/>
    <w:link w:val="Assuntodocomentrio"/>
    <w:uiPriority w:val="99"/>
    <w:semiHidden/>
    <w:rsid w:val="00392050"/>
    <w:rPr>
      <w:b/>
      <w:bCs/>
      <w:sz w:val="20"/>
      <w:szCs w:val="20"/>
    </w:rPr>
  </w:style>
  <w:style w:type="paragraph" w:styleId="Textodebalo">
    <w:name w:val="Balloon Text"/>
    <w:basedOn w:val="Normal"/>
    <w:link w:val="TextodebaloChar"/>
    <w:uiPriority w:val="99"/>
    <w:semiHidden/>
    <w:unhideWhenUsed/>
    <w:rsid w:val="003920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2050"/>
    <w:rPr>
      <w:rFonts w:ascii="Tahoma" w:hAnsi="Tahoma" w:cs="Tahoma"/>
      <w:sz w:val="16"/>
      <w:szCs w:val="16"/>
    </w:rPr>
  </w:style>
  <w:style w:type="character" w:customStyle="1" w:styleId="highlight">
    <w:name w:val="highlight"/>
    <w:basedOn w:val="Fontepargpadro"/>
    <w:rsid w:val="00584052"/>
  </w:style>
  <w:style w:type="paragraph" w:styleId="Pr-formataoHTML">
    <w:name w:val="HTML Preformatted"/>
    <w:basedOn w:val="Normal"/>
    <w:link w:val="Pr-formataoHTMLChar"/>
    <w:uiPriority w:val="99"/>
    <w:semiHidden/>
    <w:unhideWhenUsed/>
    <w:rsid w:val="002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5E44"/>
    <w:rPr>
      <w:rFonts w:ascii="Courier New" w:eastAsia="Times New Roman" w:hAnsi="Courier New" w:cs="Courier New"/>
      <w:sz w:val="20"/>
      <w:szCs w:val="20"/>
      <w:lang w:eastAsia="pt-BR"/>
    </w:rPr>
  </w:style>
  <w:style w:type="character" w:customStyle="1" w:styleId="y2iqfc">
    <w:name w:val="y2iqfc"/>
    <w:basedOn w:val="Fontepargpadro"/>
    <w:rsid w:val="00215E44"/>
  </w:style>
  <w:style w:type="table" w:styleId="Tabelacomgrade">
    <w:name w:val="Table Grid"/>
    <w:basedOn w:val="Tabelanormal"/>
    <w:uiPriority w:val="39"/>
    <w:rsid w:val="002D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2D05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F380F"/>
    <w:rPr>
      <w:color w:val="605E5C"/>
      <w:shd w:val="clear" w:color="auto" w:fill="E1DFDD"/>
    </w:rPr>
  </w:style>
  <w:style w:type="paragraph" w:styleId="Cabealho">
    <w:name w:val="header"/>
    <w:basedOn w:val="Normal"/>
    <w:link w:val="CabealhoChar"/>
    <w:uiPriority w:val="99"/>
    <w:unhideWhenUsed/>
    <w:rsid w:val="006F38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80F"/>
  </w:style>
  <w:style w:type="paragraph" w:styleId="Rodap">
    <w:name w:val="footer"/>
    <w:basedOn w:val="Normal"/>
    <w:link w:val="RodapChar"/>
    <w:uiPriority w:val="99"/>
    <w:unhideWhenUsed/>
    <w:rsid w:val="006F380F"/>
    <w:pPr>
      <w:tabs>
        <w:tab w:val="center" w:pos="4252"/>
        <w:tab w:val="right" w:pos="8504"/>
      </w:tabs>
      <w:spacing w:after="0" w:line="240" w:lineRule="auto"/>
    </w:pPr>
  </w:style>
  <w:style w:type="character" w:customStyle="1" w:styleId="RodapChar">
    <w:name w:val="Rodapé Char"/>
    <w:basedOn w:val="Fontepargpadro"/>
    <w:link w:val="Rodap"/>
    <w:uiPriority w:val="99"/>
    <w:rsid w:val="006F380F"/>
  </w:style>
  <w:style w:type="paragraph" w:customStyle="1" w:styleId="yiv4152746728msofootnotetext">
    <w:name w:val="yiv4152746728msofootnotetext"/>
    <w:basedOn w:val="Normal"/>
    <w:rsid w:val="00FB1B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yiv4152746728contentpasted0">
    <w:name w:val="yiv4152746728contentpasted0"/>
    <w:basedOn w:val="Fontepargpadro"/>
    <w:rsid w:val="00FB1B05"/>
  </w:style>
  <w:style w:type="paragraph" w:customStyle="1" w:styleId="yiv4152746728msonormal">
    <w:name w:val="yiv4152746728msonormal"/>
    <w:basedOn w:val="Normal"/>
    <w:rsid w:val="00FB1B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F760D"/>
    <w:rPr>
      <w:color w:val="954F72" w:themeColor="followedHyperlink"/>
      <w:u w:val="single"/>
    </w:rPr>
  </w:style>
  <w:style w:type="paragraph" w:customStyle="1" w:styleId="CitaoPGE">
    <w:name w:val="Citação PGE"/>
    <w:basedOn w:val="Normal"/>
    <w:link w:val="CitaoPGEChar"/>
    <w:qFormat/>
    <w:rsid w:val="00F227AF"/>
    <w:pPr>
      <w:spacing w:after="0" w:line="240" w:lineRule="auto"/>
      <w:ind w:left="2268"/>
      <w:jc w:val="both"/>
    </w:pPr>
    <w:rPr>
      <w:rFonts w:ascii="Calibri" w:hAnsi="Calibri" w:cs="Calibri"/>
      <w:sz w:val="23"/>
      <w:szCs w:val="23"/>
    </w:rPr>
  </w:style>
  <w:style w:type="character" w:customStyle="1" w:styleId="CitaoPGEChar">
    <w:name w:val="Citação PGE Char"/>
    <w:basedOn w:val="Fontepargpadro"/>
    <w:link w:val="CitaoPGE"/>
    <w:rsid w:val="00F227AF"/>
    <w:rPr>
      <w:rFonts w:ascii="Calibri" w:hAnsi="Calibri" w:cs="Calibri"/>
      <w:sz w:val="23"/>
      <w:szCs w:val="23"/>
    </w:rPr>
  </w:style>
  <w:style w:type="character" w:customStyle="1" w:styleId="MenoPendente2">
    <w:name w:val="Menção Pendente2"/>
    <w:basedOn w:val="Fontepargpadro"/>
    <w:uiPriority w:val="99"/>
    <w:semiHidden/>
    <w:unhideWhenUsed/>
    <w:rsid w:val="000B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11">
      <w:bodyDiv w:val="1"/>
      <w:marLeft w:val="0"/>
      <w:marRight w:val="0"/>
      <w:marTop w:val="0"/>
      <w:marBottom w:val="0"/>
      <w:divBdr>
        <w:top w:val="none" w:sz="0" w:space="0" w:color="auto"/>
        <w:left w:val="none" w:sz="0" w:space="0" w:color="auto"/>
        <w:bottom w:val="none" w:sz="0" w:space="0" w:color="auto"/>
        <w:right w:val="none" w:sz="0" w:space="0" w:color="auto"/>
      </w:divBdr>
    </w:div>
    <w:div w:id="15037065">
      <w:bodyDiv w:val="1"/>
      <w:marLeft w:val="0"/>
      <w:marRight w:val="0"/>
      <w:marTop w:val="0"/>
      <w:marBottom w:val="0"/>
      <w:divBdr>
        <w:top w:val="none" w:sz="0" w:space="0" w:color="auto"/>
        <w:left w:val="none" w:sz="0" w:space="0" w:color="auto"/>
        <w:bottom w:val="none" w:sz="0" w:space="0" w:color="auto"/>
        <w:right w:val="none" w:sz="0" w:space="0" w:color="auto"/>
      </w:divBdr>
    </w:div>
    <w:div w:id="77874286">
      <w:bodyDiv w:val="1"/>
      <w:marLeft w:val="0"/>
      <w:marRight w:val="0"/>
      <w:marTop w:val="0"/>
      <w:marBottom w:val="0"/>
      <w:divBdr>
        <w:top w:val="none" w:sz="0" w:space="0" w:color="auto"/>
        <w:left w:val="none" w:sz="0" w:space="0" w:color="auto"/>
        <w:bottom w:val="none" w:sz="0" w:space="0" w:color="auto"/>
        <w:right w:val="none" w:sz="0" w:space="0" w:color="auto"/>
      </w:divBdr>
    </w:div>
    <w:div w:id="80688368">
      <w:bodyDiv w:val="1"/>
      <w:marLeft w:val="0"/>
      <w:marRight w:val="0"/>
      <w:marTop w:val="0"/>
      <w:marBottom w:val="0"/>
      <w:divBdr>
        <w:top w:val="none" w:sz="0" w:space="0" w:color="auto"/>
        <w:left w:val="none" w:sz="0" w:space="0" w:color="auto"/>
        <w:bottom w:val="none" w:sz="0" w:space="0" w:color="auto"/>
        <w:right w:val="none" w:sz="0" w:space="0" w:color="auto"/>
      </w:divBdr>
    </w:div>
    <w:div w:id="106776210">
      <w:bodyDiv w:val="1"/>
      <w:marLeft w:val="0"/>
      <w:marRight w:val="0"/>
      <w:marTop w:val="0"/>
      <w:marBottom w:val="0"/>
      <w:divBdr>
        <w:top w:val="none" w:sz="0" w:space="0" w:color="auto"/>
        <w:left w:val="none" w:sz="0" w:space="0" w:color="auto"/>
        <w:bottom w:val="none" w:sz="0" w:space="0" w:color="auto"/>
        <w:right w:val="none" w:sz="0" w:space="0" w:color="auto"/>
      </w:divBdr>
      <w:divsChild>
        <w:div w:id="715158024">
          <w:marLeft w:val="0"/>
          <w:marRight w:val="0"/>
          <w:marTop w:val="0"/>
          <w:marBottom w:val="180"/>
          <w:divBdr>
            <w:top w:val="none" w:sz="0" w:space="0" w:color="auto"/>
            <w:left w:val="none" w:sz="0" w:space="0" w:color="auto"/>
            <w:bottom w:val="none" w:sz="0" w:space="0" w:color="auto"/>
            <w:right w:val="none" w:sz="0" w:space="0" w:color="auto"/>
          </w:divBdr>
          <w:divsChild>
            <w:div w:id="914582843">
              <w:marLeft w:val="0"/>
              <w:marRight w:val="0"/>
              <w:marTop w:val="0"/>
              <w:marBottom w:val="0"/>
              <w:divBdr>
                <w:top w:val="none" w:sz="0" w:space="0" w:color="auto"/>
                <w:left w:val="none" w:sz="0" w:space="0" w:color="auto"/>
                <w:bottom w:val="none" w:sz="0" w:space="0" w:color="auto"/>
                <w:right w:val="none" w:sz="0" w:space="0" w:color="auto"/>
              </w:divBdr>
              <w:divsChild>
                <w:div w:id="97021541">
                  <w:marLeft w:val="0"/>
                  <w:marRight w:val="0"/>
                  <w:marTop w:val="0"/>
                  <w:marBottom w:val="0"/>
                  <w:divBdr>
                    <w:top w:val="none" w:sz="0" w:space="0" w:color="auto"/>
                    <w:left w:val="none" w:sz="0" w:space="0" w:color="auto"/>
                    <w:bottom w:val="none" w:sz="0" w:space="0" w:color="auto"/>
                    <w:right w:val="none" w:sz="0" w:space="0" w:color="auto"/>
                  </w:divBdr>
                  <w:divsChild>
                    <w:div w:id="258147108">
                      <w:marLeft w:val="0"/>
                      <w:marRight w:val="0"/>
                      <w:marTop w:val="0"/>
                      <w:marBottom w:val="0"/>
                      <w:divBdr>
                        <w:top w:val="none" w:sz="0" w:space="0" w:color="auto"/>
                        <w:left w:val="none" w:sz="0" w:space="0" w:color="auto"/>
                        <w:bottom w:val="none" w:sz="0" w:space="0" w:color="auto"/>
                        <w:right w:val="none" w:sz="0" w:space="0" w:color="auto"/>
                      </w:divBdr>
                      <w:divsChild>
                        <w:div w:id="1562331412">
                          <w:marLeft w:val="0"/>
                          <w:marRight w:val="0"/>
                          <w:marTop w:val="0"/>
                          <w:marBottom w:val="0"/>
                          <w:divBdr>
                            <w:top w:val="none" w:sz="0" w:space="0" w:color="auto"/>
                            <w:left w:val="none" w:sz="0" w:space="0" w:color="auto"/>
                            <w:bottom w:val="none" w:sz="0" w:space="0" w:color="auto"/>
                            <w:right w:val="none" w:sz="0" w:space="0" w:color="auto"/>
                          </w:divBdr>
                          <w:divsChild>
                            <w:div w:id="303900479">
                              <w:marLeft w:val="0"/>
                              <w:marRight w:val="0"/>
                              <w:marTop w:val="0"/>
                              <w:marBottom w:val="0"/>
                              <w:divBdr>
                                <w:top w:val="none" w:sz="0" w:space="0" w:color="auto"/>
                                <w:left w:val="none" w:sz="0" w:space="0" w:color="auto"/>
                                <w:bottom w:val="none" w:sz="0" w:space="0" w:color="auto"/>
                                <w:right w:val="none" w:sz="0" w:space="0" w:color="auto"/>
                              </w:divBdr>
                            </w:div>
                            <w:div w:id="500464727">
                              <w:marLeft w:val="0"/>
                              <w:marRight w:val="0"/>
                              <w:marTop w:val="0"/>
                              <w:marBottom w:val="0"/>
                              <w:divBdr>
                                <w:top w:val="none" w:sz="0" w:space="0" w:color="auto"/>
                                <w:left w:val="none" w:sz="0" w:space="0" w:color="auto"/>
                                <w:bottom w:val="none" w:sz="0" w:space="0" w:color="auto"/>
                                <w:right w:val="none" w:sz="0" w:space="0" w:color="auto"/>
                              </w:divBdr>
                            </w:div>
                            <w:div w:id="1182236099">
                              <w:marLeft w:val="0"/>
                              <w:marRight w:val="0"/>
                              <w:marTop w:val="0"/>
                              <w:marBottom w:val="0"/>
                              <w:divBdr>
                                <w:top w:val="none" w:sz="0" w:space="0" w:color="auto"/>
                                <w:left w:val="none" w:sz="0" w:space="0" w:color="auto"/>
                                <w:bottom w:val="none" w:sz="0" w:space="0" w:color="auto"/>
                                <w:right w:val="none" w:sz="0" w:space="0" w:color="auto"/>
                              </w:divBdr>
                            </w:div>
                            <w:div w:id="1561866556">
                              <w:marLeft w:val="0"/>
                              <w:marRight w:val="0"/>
                              <w:marTop w:val="0"/>
                              <w:marBottom w:val="0"/>
                              <w:divBdr>
                                <w:top w:val="none" w:sz="0" w:space="0" w:color="auto"/>
                                <w:left w:val="none" w:sz="0" w:space="0" w:color="auto"/>
                                <w:bottom w:val="none" w:sz="0" w:space="0" w:color="auto"/>
                                <w:right w:val="none" w:sz="0" w:space="0" w:color="auto"/>
                              </w:divBdr>
                            </w:div>
                          </w:divsChild>
                        </w:div>
                        <w:div w:id="359674170">
                          <w:marLeft w:val="0"/>
                          <w:marRight w:val="0"/>
                          <w:marTop w:val="0"/>
                          <w:marBottom w:val="0"/>
                          <w:divBdr>
                            <w:top w:val="none" w:sz="0" w:space="0" w:color="auto"/>
                            <w:left w:val="none" w:sz="0" w:space="0" w:color="auto"/>
                            <w:bottom w:val="none" w:sz="0" w:space="0" w:color="auto"/>
                            <w:right w:val="none" w:sz="0" w:space="0" w:color="auto"/>
                          </w:divBdr>
                        </w:div>
                        <w:div w:id="1180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58034">
          <w:marLeft w:val="0"/>
          <w:marRight w:val="0"/>
          <w:marTop w:val="0"/>
          <w:marBottom w:val="180"/>
          <w:divBdr>
            <w:top w:val="none" w:sz="0" w:space="0" w:color="auto"/>
            <w:left w:val="none" w:sz="0" w:space="0" w:color="auto"/>
            <w:bottom w:val="none" w:sz="0" w:space="0" w:color="auto"/>
            <w:right w:val="none" w:sz="0" w:space="0" w:color="auto"/>
          </w:divBdr>
          <w:divsChild>
            <w:div w:id="1402632714">
              <w:marLeft w:val="0"/>
              <w:marRight w:val="0"/>
              <w:marTop w:val="0"/>
              <w:marBottom w:val="0"/>
              <w:divBdr>
                <w:top w:val="none" w:sz="0" w:space="0" w:color="auto"/>
                <w:left w:val="none" w:sz="0" w:space="0" w:color="auto"/>
                <w:bottom w:val="none" w:sz="0" w:space="0" w:color="auto"/>
                <w:right w:val="none" w:sz="0" w:space="0" w:color="auto"/>
              </w:divBdr>
              <w:divsChild>
                <w:div w:id="544103626">
                  <w:marLeft w:val="0"/>
                  <w:marRight w:val="0"/>
                  <w:marTop w:val="0"/>
                  <w:marBottom w:val="0"/>
                  <w:divBdr>
                    <w:top w:val="none" w:sz="0" w:space="0" w:color="auto"/>
                    <w:left w:val="none" w:sz="0" w:space="0" w:color="auto"/>
                    <w:bottom w:val="none" w:sz="0" w:space="0" w:color="auto"/>
                    <w:right w:val="none" w:sz="0" w:space="0" w:color="auto"/>
                  </w:divBdr>
                  <w:divsChild>
                    <w:div w:id="1767728966">
                      <w:marLeft w:val="0"/>
                      <w:marRight w:val="0"/>
                      <w:marTop w:val="0"/>
                      <w:marBottom w:val="0"/>
                      <w:divBdr>
                        <w:top w:val="none" w:sz="0" w:space="0" w:color="auto"/>
                        <w:left w:val="none" w:sz="0" w:space="0" w:color="auto"/>
                        <w:bottom w:val="none" w:sz="0" w:space="0" w:color="auto"/>
                        <w:right w:val="none" w:sz="0" w:space="0" w:color="auto"/>
                      </w:divBdr>
                      <w:divsChild>
                        <w:div w:id="1925413836">
                          <w:marLeft w:val="0"/>
                          <w:marRight w:val="0"/>
                          <w:marTop w:val="0"/>
                          <w:marBottom w:val="0"/>
                          <w:divBdr>
                            <w:top w:val="none" w:sz="0" w:space="0" w:color="auto"/>
                            <w:left w:val="none" w:sz="0" w:space="0" w:color="auto"/>
                            <w:bottom w:val="none" w:sz="0" w:space="0" w:color="auto"/>
                            <w:right w:val="none" w:sz="0" w:space="0" w:color="auto"/>
                          </w:divBdr>
                          <w:divsChild>
                            <w:div w:id="871572070">
                              <w:marLeft w:val="0"/>
                              <w:marRight w:val="0"/>
                              <w:marTop w:val="0"/>
                              <w:marBottom w:val="0"/>
                              <w:divBdr>
                                <w:top w:val="none" w:sz="0" w:space="0" w:color="auto"/>
                                <w:left w:val="none" w:sz="0" w:space="0" w:color="auto"/>
                                <w:bottom w:val="none" w:sz="0" w:space="0" w:color="auto"/>
                                <w:right w:val="none" w:sz="0" w:space="0" w:color="auto"/>
                              </w:divBdr>
                            </w:div>
                            <w:div w:id="1117022882">
                              <w:marLeft w:val="0"/>
                              <w:marRight w:val="0"/>
                              <w:marTop w:val="0"/>
                              <w:marBottom w:val="0"/>
                              <w:divBdr>
                                <w:top w:val="none" w:sz="0" w:space="0" w:color="auto"/>
                                <w:left w:val="none" w:sz="0" w:space="0" w:color="auto"/>
                                <w:bottom w:val="none" w:sz="0" w:space="0" w:color="auto"/>
                                <w:right w:val="none" w:sz="0" w:space="0" w:color="auto"/>
                              </w:divBdr>
                            </w:div>
                            <w:div w:id="2114785732">
                              <w:marLeft w:val="0"/>
                              <w:marRight w:val="0"/>
                              <w:marTop w:val="0"/>
                              <w:marBottom w:val="0"/>
                              <w:divBdr>
                                <w:top w:val="none" w:sz="0" w:space="0" w:color="auto"/>
                                <w:left w:val="none" w:sz="0" w:space="0" w:color="auto"/>
                                <w:bottom w:val="none" w:sz="0" w:space="0" w:color="auto"/>
                                <w:right w:val="none" w:sz="0" w:space="0" w:color="auto"/>
                              </w:divBdr>
                            </w:div>
                            <w:div w:id="585237413">
                              <w:marLeft w:val="0"/>
                              <w:marRight w:val="0"/>
                              <w:marTop w:val="0"/>
                              <w:marBottom w:val="0"/>
                              <w:divBdr>
                                <w:top w:val="none" w:sz="0" w:space="0" w:color="auto"/>
                                <w:left w:val="none" w:sz="0" w:space="0" w:color="auto"/>
                                <w:bottom w:val="none" w:sz="0" w:space="0" w:color="auto"/>
                                <w:right w:val="none" w:sz="0" w:space="0" w:color="auto"/>
                              </w:divBdr>
                            </w:div>
                            <w:div w:id="1374116836">
                              <w:marLeft w:val="0"/>
                              <w:marRight w:val="0"/>
                              <w:marTop w:val="0"/>
                              <w:marBottom w:val="0"/>
                              <w:divBdr>
                                <w:top w:val="none" w:sz="0" w:space="0" w:color="auto"/>
                                <w:left w:val="none" w:sz="0" w:space="0" w:color="auto"/>
                                <w:bottom w:val="none" w:sz="0" w:space="0" w:color="auto"/>
                                <w:right w:val="none" w:sz="0" w:space="0" w:color="auto"/>
                              </w:divBdr>
                            </w:div>
                            <w:div w:id="1655374920">
                              <w:marLeft w:val="0"/>
                              <w:marRight w:val="0"/>
                              <w:marTop w:val="0"/>
                              <w:marBottom w:val="0"/>
                              <w:divBdr>
                                <w:top w:val="none" w:sz="0" w:space="0" w:color="auto"/>
                                <w:left w:val="none" w:sz="0" w:space="0" w:color="auto"/>
                                <w:bottom w:val="none" w:sz="0" w:space="0" w:color="auto"/>
                                <w:right w:val="none" w:sz="0" w:space="0" w:color="auto"/>
                              </w:divBdr>
                            </w:div>
                            <w:div w:id="1322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83273">
      <w:bodyDiv w:val="1"/>
      <w:marLeft w:val="0"/>
      <w:marRight w:val="0"/>
      <w:marTop w:val="0"/>
      <w:marBottom w:val="0"/>
      <w:divBdr>
        <w:top w:val="none" w:sz="0" w:space="0" w:color="auto"/>
        <w:left w:val="none" w:sz="0" w:space="0" w:color="auto"/>
        <w:bottom w:val="none" w:sz="0" w:space="0" w:color="auto"/>
        <w:right w:val="none" w:sz="0" w:space="0" w:color="auto"/>
      </w:divBdr>
    </w:div>
    <w:div w:id="209728573">
      <w:bodyDiv w:val="1"/>
      <w:marLeft w:val="0"/>
      <w:marRight w:val="0"/>
      <w:marTop w:val="0"/>
      <w:marBottom w:val="0"/>
      <w:divBdr>
        <w:top w:val="none" w:sz="0" w:space="0" w:color="auto"/>
        <w:left w:val="none" w:sz="0" w:space="0" w:color="auto"/>
        <w:bottom w:val="none" w:sz="0" w:space="0" w:color="auto"/>
        <w:right w:val="none" w:sz="0" w:space="0" w:color="auto"/>
      </w:divBdr>
    </w:div>
    <w:div w:id="228270479">
      <w:bodyDiv w:val="1"/>
      <w:marLeft w:val="0"/>
      <w:marRight w:val="0"/>
      <w:marTop w:val="0"/>
      <w:marBottom w:val="0"/>
      <w:divBdr>
        <w:top w:val="none" w:sz="0" w:space="0" w:color="auto"/>
        <w:left w:val="none" w:sz="0" w:space="0" w:color="auto"/>
        <w:bottom w:val="none" w:sz="0" w:space="0" w:color="auto"/>
        <w:right w:val="none" w:sz="0" w:space="0" w:color="auto"/>
      </w:divBdr>
    </w:div>
    <w:div w:id="419059095">
      <w:bodyDiv w:val="1"/>
      <w:marLeft w:val="0"/>
      <w:marRight w:val="0"/>
      <w:marTop w:val="0"/>
      <w:marBottom w:val="0"/>
      <w:divBdr>
        <w:top w:val="none" w:sz="0" w:space="0" w:color="auto"/>
        <w:left w:val="none" w:sz="0" w:space="0" w:color="auto"/>
        <w:bottom w:val="none" w:sz="0" w:space="0" w:color="auto"/>
        <w:right w:val="none" w:sz="0" w:space="0" w:color="auto"/>
      </w:divBdr>
      <w:divsChild>
        <w:div w:id="1899584597">
          <w:marLeft w:val="0"/>
          <w:marRight w:val="0"/>
          <w:marTop w:val="0"/>
          <w:marBottom w:val="180"/>
          <w:divBdr>
            <w:top w:val="none" w:sz="0" w:space="0" w:color="auto"/>
            <w:left w:val="none" w:sz="0" w:space="0" w:color="auto"/>
            <w:bottom w:val="none" w:sz="0" w:space="0" w:color="auto"/>
            <w:right w:val="none" w:sz="0" w:space="0" w:color="auto"/>
          </w:divBdr>
          <w:divsChild>
            <w:div w:id="1136534907">
              <w:marLeft w:val="0"/>
              <w:marRight w:val="0"/>
              <w:marTop w:val="0"/>
              <w:marBottom w:val="0"/>
              <w:divBdr>
                <w:top w:val="none" w:sz="0" w:space="0" w:color="auto"/>
                <w:left w:val="none" w:sz="0" w:space="0" w:color="auto"/>
                <w:bottom w:val="none" w:sz="0" w:space="0" w:color="auto"/>
                <w:right w:val="none" w:sz="0" w:space="0" w:color="auto"/>
              </w:divBdr>
              <w:divsChild>
                <w:div w:id="725565703">
                  <w:marLeft w:val="0"/>
                  <w:marRight w:val="0"/>
                  <w:marTop w:val="0"/>
                  <w:marBottom w:val="0"/>
                  <w:divBdr>
                    <w:top w:val="none" w:sz="0" w:space="0" w:color="auto"/>
                    <w:left w:val="none" w:sz="0" w:space="0" w:color="auto"/>
                    <w:bottom w:val="none" w:sz="0" w:space="0" w:color="auto"/>
                    <w:right w:val="none" w:sz="0" w:space="0" w:color="auto"/>
                  </w:divBdr>
                  <w:divsChild>
                    <w:div w:id="556819504">
                      <w:marLeft w:val="0"/>
                      <w:marRight w:val="0"/>
                      <w:marTop w:val="0"/>
                      <w:marBottom w:val="0"/>
                      <w:divBdr>
                        <w:top w:val="none" w:sz="0" w:space="0" w:color="auto"/>
                        <w:left w:val="none" w:sz="0" w:space="0" w:color="auto"/>
                        <w:bottom w:val="none" w:sz="0" w:space="0" w:color="auto"/>
                        <w:right w:val="none" w:sz="0" w:space="0" w:color="auto"/>
                      </w:divBdr>
                      <w:divsChild>
                        <w:div w:id="1510944296">
                          <w:marLeft w:val="0"/>
                          <w:marRight w:val="0"/>
                          <w:marTop w:val="0"/>
                          <w:marBottom w:val="0"/>
                          <w:divBdr>
                            <w:top w:val="none" w:sz="0" w:space="0" w:color="auto"/>
                            <w:left w:val="none" w:sz="0" w:space="0" w:color="auto"/>
                            <w:bottom w:val="none" w:sz="0" w:space="0" w:color="auto"/>
                            <w:right w:val="none" w:sz="0" w:space="0" w:color="auto"/>
                          </w:divBdr>
                          <w:divsChild>
                            <w:div w:id="1391269052">
                              <w:marLeft w:val="0"/>
                              <w:marRight w:val="0"/>
                              <w:marTop w:val="0"/>
                              <w:marBottom w:val="0"/>
                              <w:divBdr>
                                <w:top w:val="none" w:sz="0" w:space="0" w:color="auto"/>
                                <w:left w:val="none" w:sz="0" w:space="0" w:color="auto"/>
                                <w:bottom w:val="none" w:sz="0" w:space="0" w:color="auto"/>
                                <w:right w:val="none" w:sz="0" w:space="0" w:color="auto"/>
                              </w:divBdr>
                            </w:div>
                            <w:div w:id="2135252238">
                              <w:marLeft w:val="0"/>
                              <w:marRight w:val="0"/>
                              <w:marTop w:val="0"/>
                              <w:marBottom w:val="0"/>
                              <w:divBdr>
                                <w:top w:val="none" w:sz="0" w:space="0" w:color="auto"/>
                                <w:left w:val="none" w:sz="0" w:space="0" w:color="auto"/>
                                <w:bottom w:val="none" w:sz="0" w:space="0" w:color="auto"/>
                                <w:right w:val="none" w:sz="0" w:space="0" w:color="auto"/>
                              </w:divBdr>
                            </w:div>
                            <w:div w:id="372732193">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sChild>
                        </w:div>
                        <w:div w:id="1051422497">
                          <w:marLeft w:val="0"/>
                          <w:marRight w:val="0"/>
                          <w:marTop w:val="0"/>
                          <w:marBottom w:val="0"/>
                          <w:divBdr>
                            <w:top w:val="none" w:sz="0" w:space="0" w:color="auto"/>
                            <w:left w:val="none" w:sz="0" w:space="0" w:color="auto"/>
                            <w:bottom w:val="none" w:sz="0" w:space="0" w:color="auto"/>
                            <w:right w:val="none" w:sz="0" w:space="0" w:color="auto"/>
                          </w:divBdr>
                        </w:div>
                        <w:div w:id="2080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2039">
          <w:marLeft w:val="0"/>
          <w:marRight w:val="0"/>
          <w:marTop w:val="0"/>
          <w:marBottom w:val="180"/>
          <w:divBdr>
            <w:top w:val="none" w:sz="0" w:space="0" w:color="auto"/>
            <w:left w:val="none" w:sz="0" w:space="0" w:color="auto"/>
            <w:bottom w:val="none" w:sz="0" w:space="0" w:color="auto"/>
            <w:right w:val="none" w:sz="0" w:space="0" w:color="auto"/>
          </w:divBdr>
          <w:divsChild>
            <w:div w:id="1849828723">
              <w:marLeft w:val="0"/>
              <w:marRight w:val="0"/>
              <w:marTop w:val="0"/>
              <w:marBottom w:val="0"/>
              <w:divBdr>
                <w:top w:val="none" w:sz="0" w:space="0" w:color="auto"/>
                <w:left w:val="none" w:sz="0" w:space="0" w:color="auto"/>
                <w:bottom w:val="none" w:sz="0" w:space="0" w:color="auto"/>
                <w:right w:val="none" w:sz="0" w:space="0" w:color="auto"/>
              </w:divBdr>
              <w:divsChild>
                <w:div w:id="644286464">
                  <w:marLeft w:val="0"/>
                  <w:marRight w:val="0"/>
                  <w:marTop w:val="0"/>
                  <w:marBottom w:val="0"/>
                  <w:divBdr>
                    <w:top w:val="none" w:sz="0" w:space="0" w:color="auto"/>
                    <w:left w:val="none" w:sz="0" w:space="0" w:color="auto"/>
                    <w:bottom w:val="none" w:sz="0" w:space="0" w:color="auto"/>
                    <w:right w:val="none" w:sz="0" w:space="0" w:color="auto"/>
                  </w:divBdr>
                  <w:divsChild>
                    <w:div w:id="35396711">
                      <w:marLeft w:val="0"/>
                      <w:marRight w:val="0"/>
                      <w:marTop w:val="0"/>
                      <w:marBottom w:val="0"/>
                      <w:divBdr>
                        <w:top w:val="none" w:sz="0" w:space="0" w:color="auto"/>
                        <w:left w:val="none" w:sz="0" w:space="0" w:color="auto"/>
                        <w:bottom w:val="none" w:sz="0" w:space="0" w:color="auto"/>
                        <w:right w:val="none" w:sz="0" w:space="0" w:color="auto"/>
                      </w:divBdr>
                      <w:divsChild>
                        <w:div w:id="804539854">
                          <w:marLeft w:val="0"/>
                          <w:marRight w:val="0"/>
                          <w:marTop w:val="0"/>
                          <w:marBottom w:val="0"/>
                          <w:divBdr>
                            <w:top w:val="none" w:sz="0" w:space="0" w:color="auto"/>
                            <w:left w:val="none" w:sz="0" w:space="0" w:color="auto"/>
                            <w:bottom w:val="none" w:sz="0" w:space="0" w:color="auto"/>
                            <w:right w:val="none" w:sz="0" w:space="0" w:color="auto"/>
                          </w:divBdr>
                          <w:divsChild>
                            <w:div w:id="1005133348">
                              <w:marLeft w:val="0"/>
                              <w:marRight w:val="0"/>
                              <w:marTop w:val="0"/>
                              <w:marBottom w:val="0"/>
                              <w:divBdr>
                                <w:top w:val="none" w:sz="0" w:space="0" w:color="auto"/>
                                <w:left w:val="none" w:sz="0" w:space="0" w:color="auto"/>
                                <w:bottom w:val="none" w:sz="0" w:space="0" w:color="auto"/>
                                <w:right w:val="none" w:sz="0" w:space="0" w:color="auto"/>
                              </w:divBdr>
                            </w:div>
                            <w:div w:id="1852791757">
                              <w:marLeft w:val="0"/>
                              <w:marRight w:val="0"/>
                              <w:marTop w:val="0"/>
                              <w:marBottom w:val="0"/>
                              <w:divBdr>
                                <w:top w:val="none" w:sz="0" w:space="0" w:color="auto"/>
                                <w:left w:val="none" w:sz="0" w:space="0" w:color="auto"/>
                                <w:bottom w:val="none" w:sz="0" w:space="0" w:color="auto"/>
                                <w:right w:val="none" w:sz="0" w:space="0" w:color="auto"/>
                              </w:divBdr>
                            </w:div>
                            <w:div w:id="1703094335">
                              <w:marLeft w:val="0"/>
                              <w:marRight w:val="0"/>
                              <w:marTop w:val="0"/>
                              <w:marBottom w:val="0"/>
                              <w:divBdr>
                                <w:top w:val="none" w:sz="0" w:space="0" w:color="auto"/>
                                <w:left w:val="none" w:sz="0" w:space="0" w:color="auto"/>
                                <w:bottom w:val="none" w:sz="0" w:space="0" w:color="auto"/>
                                <w:right w:val="none" w:sz="0" w:space="0" w:color="auto"/>
                              </w:divBdr>
                            </w:div>
                            <w:div w:id="392237446">
                              <w:marLeft w:val="0"/>
                              <w:marRight w:val="0"/>
                              <w:marTop w:val="0"/>
                              <w:marBottom w:val="0"/>
                              <w:divBdr>
                                <w:top w:val="none" w:sz="0" w:space="0" w:color="auto"/>
                                <w:left w:val="none" w:sz="0" w:space="0" w:color="auto"/>
                                <w:bottom w:val="none" w:sz="0" w:space="0" w:color="auto"/>
                                <w:right w:val="none" w:sz="0" w:space="0" w:color="auto"/>
                              </w:divBdr>
                            </w:div>
                            <w:div w:id="1195734766">
                              <w:marLeft w:val="0"/>
                              <w:marRight w:val="0"/>
                              <w:marTop w:val="0"/>
                              <w:marBottom w:val="0"/>
                              <w:divBdr>
                                <w:top w:val="none" w:sz="0" w:space="0" w:color="auto"/>
                                <w:left w:val="none" w:sz="0" w:space="0" w:color="auto"/>
                                <w:bottom w:val="none" w:sz="0" w:space="0" w:color="auto"/>
                                <w:right w:val="none" w:sz="0" w:space="0" w:color="auto"/>
                              </w:divBdr>
                            </w:div>
                            <w:div w:id="1001205086">
                              <w:marLeft w:val="0"/>
                              <w:marRight w:val="0"/>
                              <w:marTop w:val="0"/>
                              <w:marBottom w:val="0"/>
                              <w:divBdr>
                                <w:top w:val="none" w:sz="0" w:space="0" w:color="auto"/>
                                <w:left w:val="none" w:sz="0" w:space="0" w:color="auto"/>
                                <w:bottom w:val="none" w:sz="0" w:space="0" w:color="auto"/>
                                <w:right w:val="none" w:sz="0" w:space="0" w:color="auto"/>
                              </w:divBdr>
                            </w:div>
                            <w:div w:id="1103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038425">
      <w:bodyDiv w:val="1"/>
      <w:marLeft w:val="0"/>
      <w:marRight w:val="0"/>
      <w:marTop w:val="0"/>
      <w:marBottom w:val="0"/>
      <w:divBdr>
        <w:top w:val="none" w:sz="0" w:space="0" w:color="auto"/>
        <w:left w:val="none" w:sz="0" w:space="0" w:color="auto"/>
        <w:bottom w:val="none" w:sz="0" w:space="0" w:color="auto"/>
        <w:right w:val="none" w:sz="0" w:space="0" w:color="auto"/>
      </w:divBdr>
      <w:divsChild>
        <w:div w:id="623930166">
          <w:marLeft w:val="0"/>
          <w:marRight w:val="0"/>
          <w:marTop w:val="0"/>
          <w:marBottom w:val="180"/>
          <w:divBdr>
            <w:top w:val="none" w:sz="0" w:space="0" w:color="auto"/>
            <w:left w:val="none" w:sz="0" w:space="0" w:color="auto"/>
            <w:bottom w:val="none" w:sz="0" w:space="0" w:color="auto"/>
            <w:right w:val="none" w:sz="0" w:space="0" w:color="auto"/>
          </w:divBdr>
          <w:divsChild>
            <w:div w:id="379017750">
              <w:marLeft w:val="0"/>
              <w:marRight w:val="0"/>
              <w:marTop w:val="0"/>
              <w:marBottom w:val="0"/>
              <w:divBdr>
                <w:top w:val="none" w:sz="0" w:space="0" w:color="auto"/>
                <w:left w:val="none" w:sz="0" w:space="0" w:color="auto"/>
                <w:bottom w:val="none" w:sz="0" w:space="0" w:color="auto"/>
                <w:right w:val="none" w:sz="0" w:space="0" w:color="auto"/>
              </w:divBdr>
              <w:divsChild>
                <w:div w:id="545068194">
                  <w:marLeft w:val="0"/>
                  <w:marRight w:val="0"/>
                  <w:marTop w:val="0"/>
                  <w:marBottom w:val="0"/>
                  <w:divBdr>
                    <w:top w:val="none" w:sz="0" w:space="0" w:color="auto"/>
                    <w:left w:val="none" w:sz="0" w:space="0" w:color="auto"/>
                    <w:bottom w:val="none" w:sz="0" w:space="0" w:color="auto"/>
                    <w:right w:val="none" w:sz="0" w:space="0" w:color="auto"/>
                  </w:divBdr>
                  <w:divsChild>
                    <w:div w:id="1193809238">
                      <w:marLeft w:val="0"/>
                      <w:marRight w:val="0"/>
                      <w:marTop w:val="0"/>
                      <w:marBottom w:val="0"/>
                      <w:divBdr>
                        <w:top w:val="none" w:sz="0" w:space="0" w:color="auto"/>
                        <w:left w:val="none" w:sz="0" w:space="0" w:color="auto"/>
                        <w:bottom w:val="none" w:sz="0" w:space="0" w:color="auto"/>
                        <w:right w:val="none" w:sz="0" w:space="0" w:color="auto"/>
                      </w:divBdr>
                      <w:divsChild>
                        <w:div w:id="309529433">
                          <w:marLeft w:val="0"/>
                          <w:marRight w:val="0"/>
                          <w:marTop w:val="0"/>
                          <w:marBottom w:val="0"/>
                          <w:divBdr>
                            <w:top w:val="none" w:sz="0" w:space="0" w:color="auto"/>
                            <w:left w:val="none" w:sz="0" w:space="0" w:color="auto"/>
                            <w:bottom w:val="none" w:sz="0" w:space="0" w:color="auto"/>
                            <w:right w:val="none" w:sz="0" w:space="0" w:color="auto"/>
                          </w:divBdr>
                          <w:divsChild>
                            <w:div w:id="1154101242">
                              <w:marLeft w:val="0"/>
                              <w:marRight w:val="0"/>
                              <w:marTop w:val="0"/>
                              <w:marBottom w:val="0"/>
                              <w:divBdr>
                                <w:top w:val="none" w:sz="0" w:space="0" w:color="auto"/>
                                <w:left w:val="none" w:sz="0" w:space="0" w:color="auto"/>
                                <w:bottom w:val="none" w:sz="0" w:space="0" w:color="auto"/>
                                <w:right w:val="none" w:sz="0" w:space="0" w:color="auto"/>
                              </w:divBdr>
                            </w:div>
                            <w:div w:id="583998050">
                              <w:marLeft w:val="0"/>
                              <w:marRight w:val="0"/>
                              <w:marTop w:val="0"/>
                              <w:marBottom w:val="0"/>
                              <w:divBdr>
                                <w:top w:val="none" w:sz="0" w:space="0" w:color="auto"/>
                                <w:left w:val="none" w:sz="0" w:space="0" w:color="auto"/>
                                <w:bottom w:val="none" w:sz="0" w:space="0" w:color="auto"/>
                                <w:right w:val="none" w:sz="0" w:space="0" w:color="auto"/>
                              </w:divBdr>
                            </w:div>
                            <w:div w:id="851992580">
                              <w:marLeft w:val="0"/>
                              <w:marRight w:val="0"/>
                              <w:marTop w:val="0"/>
                              <w:marBottom w:val="0"/>
                              <w:divBdr>
                                <w:top w:val="none" w:sz="0" w:space="0" w:color="auto"/>
                                <w:left w:val="none" w:sz="0" w:space="0" w:color="auto"/>
                                <w:bottom w:val="none" w:sz="0" w:space="0" w:color="auto"/>
                                <w:right w:val="none" w:sz="0" w:space="0" w:color="auto"/>
                              </w:divBdr>
                            </w:div>
                            <w:div w:id="768352349">
                              <w:marLeft w:val="0"/>
                              <w:marRight w:val="0"/>
                              <w:marTop w:val="0"/>
                              <w:marBottom w:val="0"/>
                              <w:divBdr>
                                <w:top w:val="none" w:sz="0" w:space="0" w:color="auto"/>
                                <w:left w:val="none" w:sz="0" w:space="0" w:color="auto"/>
                                <w:bottom w:val="none" w:sz="0" w:space="0" w:color="auto"/>
                                <w:right w:val="none" w:sz="0" w:space="0" w:color="auto"/>
                              </w:divBdr>
                            </w:div>
                          </w:divsChild>
                        </w:div>
                        <w:div w:id="1620718829">
                          <w:marLeft w:val="0"/>
                          <w:marRight w:val="0"/>
                          <w:marTop w:val="0"/>
                          <w:marBottom w:val="0"/>
                          <w:divBdr>
                            <w:top w:val="none" w:sz="0" w:space="0" w:color="auto"/>
                            <w:left w:val="none" w:sz="0" w:space="0" w:color="auto"/>
                            <w:bottom w:val="none" w:sz="0" w:space="0" w:color="auto"/>
                            <w:right w:val="none" w:sz="0" w:space="0" w:color="auto"/>
                          </w:divBdr>
                        </w:div>
                        <w:div w:id="166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00494">
          <w:marLeft w:val="0"/>
          <w:marRight w:val="0"/>
          <w:marTop w:val="0"/>
          <w:marBottom w:val="180"/>
          <w:divBdr>
            <w:top w:val="none" w:sz="0" w:space="0" w:color="auto"/>
            <w:left w:val="none" w:sz="0" w:space="0" w:color="auto"/>
            <w:bottom w:val="none" w:sz="0" w:space="0" w:color="auto"/>
            <w:right w:val="none" w:sz="0" w:space="0" w:color="auto"/>
          </w:divBdr>
          <w:divsChild>
            <w:div w:id="259028529">
              <w:marLeft w:val="0"/>
              <w:marRight w:val="0"/>
              <w:marTop w:val="0"/>
              <w:marBottom w:val="0"/>
              <w:divBdr>
                <w:top w:val="none" w:sz="0" w:space="0" w:color="auto"/>
                <w:left w:val="none" w:sz="0" w:space="0" w:color="auto"/>
                <w:bottom w:val="none" w:sz="0" w:space="0" w:color="auto"/>
                <w:right w:val="none" w:sz="0" w:space="0" w:color="auto"/>
              </w:divBdr>
              <w:divsChild>
                <w:div w:id="136606391">
                  <w:marLeft w:val="0"/>
                  <w:marRight w:val="0"/>
                  <w:marTop w:val="0"/>
                  <w:marBottom w:val="0"/>
                  <w:divBdr>
                    <w:top w:val="none" w:sz="0" w:space="0" w:color="auto"/>
                    <w:left w:val="none" w:sz="0" w:space="0" w:color="auto"/>
                    <w:bottom w:val="none" w:sz="0" w:space="0" w:color="auto"/>
                    <w:right w:val="none" w:sz="0" w:space="0" w:color="auto"/>
                  </w:divBdr>
                  <w:divsChild>
                    <w:div w:id="249242823">
                      <w:marLeft w:val="0"/>
                      <w:marRight w:val="0"/>
                      <w:marTop w:val="0"/>
                      <w:marBottom w:val="0"/>
                      <w:divBdr>
                        <w:top w:val="none" w:sz="0" w:space="0" w:color="auto"/>
                        <w:left w:val="none" w:sz="0" w:space="0" w:color="auto"/>
                        <w:bottom w:val="none" w:sz="0" w:space="0" w:color="auto"/>
                        <w:right w:val="none" w:sz="0" w:space="0" w:color="auto"/>
                      </w:divBdr>
                      <w:divsChild>
                        <w:div w:id="1546521511">
                          <w:marLeft w:val="0"/>
                          <w:marRight w:val="0"/>
                          <w:marTop w:val="0"/>
                          <w:marBottom w:val="0"/>
                          <w:divBdr>
                            <w:top w:val="none" w:sz="0" w:space="0" w:color="auto"/>
                            <w:left w:val="none" w:sz="0" w:space="0" w:color="auto"/>
                            <w:bottom w:val="none" w:sz="0" w:space="0" w:color="auto"/>
                            <w:right w:val="none" w:sz="0" w:space="0" w:color="auto"/>
                          </w:divBdr>
                          <w:divsChild>
                            <w:div w:id="577208241">
                              <w:marLeft w:val="0"/>
                              <w:marRight w:val="0"/>
                              <w:marTop w:val="0"/>
                              <w:marBottom w:val="0"/>
                              <w:divBdr>
                                <w:top w:val="none" w:sz="0" w:space="0" w:color="auto"/>
                                <w:left w:val="none" w:sz="0" w:space="0" w:color="auto"/>
                                <w:bottom w:val="none" w:sz="0" w:space="0" w:color="auto"/>
                                <w:right w:val="none" w:sz="0" w:space="0" w:color="auto"/>
                              </w:divBdr>
                            </w:div>
                            <w:div w:id="1773747005">
                              <w:marLeft w:val="0"/>
                              <w:marRight w:val="0"/>
                              <w:marTop w:val="0"/>
                              <w:marBottom w:val="0"/>
                              <w:divBdr>
                                <w:top w:val="none" w:sz="0" w:space="0" w:color="auto"/>
                                <w:left w:val="none" w:sz="0" w:space="0" w:color="auto"/>
                                <w:bottom w:val="none" w:sz="0" w:space="0" w:color="auto"/>
                                <w:right w:val="none" w:sz="0" w:space="0" w:color="auto"/>
                              </w:divBdr>
                            </w:div>
                            <w:div w:id="725182873">
                              <w:marLeft w:val="0"/>
                              <w:marRight w:val="0"/>
                              <w:marTop w:val="0"/>
                              <w:marBottom w:val="0"/>
                              <w:divBdr>
                                <w:top w:val="none" w:sz="0" w:space="0" w:color="auto"/>
                                <w:left w:val="none" w:sz="0" w:space="0" w:color="auto"/>
                                <w:bottom w:val="none" w:sz="0" w:space="0" w:color="auto"/>
                                <w:right w:val="none" w:sz="0" w:space="0" w:color="auto"/>
                              </w:divBdr>
                            </w:div>
                            <w:div w:id="744256995">
                              <w:marLeft w:val="0"/>
                              <w:marRight w:val="0"/>
                              <w:marTop w:val="0"/>
                              <w:marBottom w:val="0"/>
                              <w:divBdr>
                                <w:top w:val="none" w:sz="0" w:space="0" w:color="auto"/>
                                <w:left w:val="none" w:sz="0" w:space="0" w:color="auto"/>
                                <w:bottom w:val="none" w:sz="0" w:space="0" w:color="auto"/>
                                <w:right w:val="none" w:sz="0" w:space="0" w:color="auto"/>
                              </w:divBdr>
                            </w:div>
                            <w:div w:id="995260984">
                              <w:marLeft w:val="0"/>
                              <w:marRight w:val="0"/>
                              <w:marTop w:val="0"/>
                              <w:marBottom w:val="0"/>
                              <w:divBdr>
                                <w:top w:val="none" w:sz="0" w:space="0" w:color="auto"/>
                                <w:left w:val="none" w:sz="0" w:space="0" w:color="auto"/>
                                <w:bottom w:val="none" w:sz="0" w:space="0" w:color="auto"/>
                                <w:right w:val="none" w:sz="0" w:space="0" w:color="auto"/>
                              </w:divBdr>
                            </w:div>
                            <w:div w:id="1514762182">
                              <w:marLeft w:val="0"/>
                              <w:marRight w:val="0"/>
                              <w:marTop w:val="0"/>
                              <w:marBottom w:val="0"/>
                              <w:divBdr>
                                <w:top w:val="none" w:sz="0" w:space="0" w:color="auto"/>
                                <w:left w:val="none" w:sz="0" w:space="0" w:color="auto"/>
                                <w:bottom w:val="none" w:sz="0" w:space="0" w:color="auto"/>
                                <w:right w:val="none" w:sz="0" w:space="0" w:color="auto"/>
                              </w:divBdr>
                            </w:div>
                            <w:div w:id="8312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180513">
      <w:bodyDiv w:val="1"/>
      <w:marLeft w:val="0"/>
      <w:marRight w:val="0"/>
      <w:marTop w:val="0"/>
      <w:marBottom w:val="0"/>
      <w:divBdr>
        <w:top w:val="none" w:sz="0" w:space="0" w:color="auto"/>
        <w:left w:val="none" w:sz="0" w:space="0" w:color="auto"/>
        <w:bottom w:val="none" w:sz="0" w:space="0" w:color="auto"/>
        <w:right w:val="none" w:sz="0" w:space="0" w:color="auto"/>
      </w:divBdr>
    </w:div>
    <w:div w:id="448087056">
      <w:bodyDiv w:val="1"/>
      <w:marLeft w:val="0"/>
      <w:marRight w:val="0"/>
      <w:marTop w:val="0"/>
      <w:marBottom w:val="0"/>
      <w:divBdr>
        <w:top w:val="none" w:sz="0" w:space="0" w:color="auto"/>
        <w:left w:val="none" w:sz="0" w:space="0" w:color="auto"/>
        <w:bottom w:val="none" w:sz="0" w:space="0" w:color="auto"/>
        <w:right w:val="none" w:sz="0" w:space="0" w:color="auto"/>
      </w:divBdr>
      <w:divsChild>
        <w:div w:id="2089493255">
          <w:marLeft w:val="0"/>
          <w:marRight w:val="0"/>
          <w:marTop w:val="15"/>
          <w:marBottom w:val="0"/>
          <w:divBdr>
            <w:top w:val="single" w:sz="48" w:space="0" w:color="auto"/>
            <w:left w:val="single" w:sz="48" w:space="0" w:color="auto"/>
            <w:bottom w:val="single" w:sz="48" w:space="0" w:color="auto"/>
            <w:right w:val="single" w:sz="48" w:space="0" w:color="auto"/>
          </w:divBdr>
          <w:divsChild>
            <w:div w:id="18382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4339">
      <w:bodyDiv w:val="1"/>
      <w:marLeft w:val="0"/>
      <w:marRight w:val="0"/>
      <w:marTop w:val="0"/>
      <w:marBottom w:val="0"/>
      <w:divBdr>
        <w:top w:val="none" w:sz="0" w:space="0" w:color="auto"/>
        <w:left w:val="none" w:sz="0" w:space="0" w:color="auto"/>
        <w:bottom w:val="none" w:sz="0" w:space="0" w:color="auto"/>
        <w:right w:val="none" w:sz="0" w:space="0" w:color="auto"/>
      </w:divBdr>
    </w:div>
    <w:div w:id="494762455">
      <w:bodyDiv w:val="1"/>
      <w:marLeft w:val="0"/>
      <w:marRight w:val="0"/>
      <w:marTop w:val="0"/>
      <w:marBottom w:val="0"/>
      <w:divBdr>
        <w:top w:val="none" w:sz="0" w:space="0" w:color="auto"/>
        <w:left w:val="none" w:sz="0" w:space="0" w:color="auto"/>
        <w:bottom w:val="none" w:sz="0" w:space="0" w:color="auto"/>
        <w:right w:val="none" w:sz="0" w:space="0" w:color="auto"/>
      </w:divBdr>
    </w:div>
    <w:div w:id="509219754">
      <w:bodyDiv w:val="1"/>
      <w:marLeft w:val="0"/>
      <w:marRight w:val="0"/>
      <w:marTop w:val="0"/>
      <w:marBottom w:val="0"/>
      <w:divBdr>
        <w:top w:val="none" w:sz="0" w:space="0" w:color="auto"/>
        <w:left w:val="none" w:sz="0" w:space="0" w:color="auto"/>
        <w:bottom w:val="none" w:sz="0" w:space="0" w:color="auto"/>
        <w:right w:val="none" w:sz="0" w:space="0" w:color="auto"/>
      </w:divBdr>
    </w:div>
    <w:div w:id="544566486">
      <w:bodyDiv w:val="1"/>
      <w:marLeft w:val="0"/>
      <w:marRight w:val="0"/>
      <w:marTop w:val="0"/>
      <w:marBottom w:val="0"/>
      <w:divBdr>
        <w:top w:val="none" w:sz="0" w:space="0" w:color="auto"/>
        <w:left w:val="none" w:sz="0" w:space="0" w:color="auto"/>
        <w:bottom w:val="none" w:sz="0" w:space="0" w:color="auto"/>
        <w:right w:val="none" w:sz="0" w:space="0" w:color="auto"/>
      </w:divBdr>
    </w:div>
    <w:div w:id="568852948">
      <w:bodyDiv w:val="1"/>
      <w:marLeft w:val="0"/>
      <w:marRight w:val="0"/>
      <w:marTop w:val="0"/>
      <w:marBottom w:val="0"/>
      <w:divBdr>
        <w:top w:val="none" w:sz="0" w:space="0" w:color="auto"/>
        <w:left w:val="none" w:sz="0" w:space="0" w:color="auto"/>
        <w:bottom w:val="none" w:sz="0" w:space="0" w:color="auto"/>
        <w:right w:val="none" w:sz="0" w:space="0" w:color="auto"/>
      </w:divBdr>
    </w:div>
    <w:div w:id="625627366">
      <w:bodyDiv w:val="1"/>
      <w:marLeft w:val="0"/>
      <w:marRight w:val="0"/>
      <w:marTop w:val="0"/>
      <w:marBottom w:val="0"/>
      <w:divBdr>
        <w:top w:val="none" w:sz="0" w:space="0" w:color="auto"/>
        <w:left w:val="none" w:sz="0" w:space="0" w:color="auto"/>
        <w:bottom w:val="none" w:sz="0" w:space="0" w:color="auto"/>
        <w:right w:val="none" w:sz="0" w:space="0" w:color="auto"/>
      </w:divBdr>
    </w:div>
    <w:div w:id="641931491">
      <w:bodyDiv w:val="1"/>
      <w:marLeft w:val="0"/>
      <w:marRight w:val="0"/>
      <w:marTop w:val="0"/>
      <w:marBottom w:val="0"/>
      <w:divBdr>
        <w:top w:val="none" w:sz="0" w:space="0" w:color="auto"/>
        <w:left w:val="none" w:sz="0" w:space="0" w:color="auto"/>
        <w:bottom w:val="none" w:sz="0" w:space="0" w:color="auto"/>
        <w:right w:val="none" w:sz="0" w:space="0" w:color="auto"/>
      </w:divBdr>
    </w:div>
    <w:div w:id="702168221">
      <w:bodyDiv w:val="1"/>
      <w:marLeft w:val="0"/>
      <w:marRight w:val="0"/>
      <w:marTop w:val="0"/>
      <w:marBottom w:val="0"/>
      <w:divBdr>
        <w:top w:val="none" w:sz="0" w:space="0" w:color="auto"/>
        <w:left w:val="none" w:sz="0" w:space="0" w:color="auto"/>
        <w:bottom w:val="none" w:sz="0" w:space="0" w:color="auto"/>
        <w:right w:val="none" w:sz="0" w:space="0" w:color="auto"/>
      </w:divBdr>
    </w:div>
    <w:div w:id="803347401">
      <w:bodyDiv w:val="1"/>
      <w:marLeft w:val="0"/>
      <w:marRight w:val="0"/>
      <w:marTop w:val="0"/>
      <w:marBottom w:val="0"/>
      <w:divBdr>
        <w:top w:val="none" w:sz="0" w:space="0" w:color="auto"/>
        <w:left w:val="none" w:sz="0" w:space="0" w:color="auto"/>
        <w:bottom w:val="none" w:sz="0" w:space="0" w:color="auto"/>
        <w:right w:val="none" w:sz="0" w:space="0" w:color="auto"/>
      </w:divBdr>
    </w:div>
    <w:div w:id="818618043">
      <w:bodyDiv w:val="1"/>
      <w:marLeft w:val="0"/>
      <w:marRight w:val="0"/>
      <w:marTop w:val="0"/>
      <w:marBottom w:val="0"/>
      <w:divBdr>
        <w:top w:val="none" w:sz="0" w:space="0" w:color="auto"/>
        <w:left w:val="none" w:sz="0" w:space="0" w:color="auto"/>
        <w:bottom w:val="none" w:sz="0" w:space="0" w:color="auto"/>
        <w:right w:val="none" w:sz="0" w:space="0" w:color="auto"/>
      </w:divBdr>
    </w:div>
    <w:div w:id="873690044">
      <w:bodyDiv w:val="1"/>
      <w:marLeft w:val="0"/>
      <w:marRight w:val="0"/>
      <w:marTop w:val="0"/>
      <w:marBottom w:val="0"/>
      <w:divBdr>
        <w:top w:val="none" w:sz="0" w:space="0" w:color="auto"/>
        <w:left w:val="none" w:sz="0" w:space="0" w:color="auto"/>
        <w:bottom w:val="none" w:sz="0" w:space="0" w:color="auto"/>
        <w:right w:val="none" w:sz="0" w:space="0" w:color="auto"/>
      </w:divBdr>
    </w:div>
    <w:div w:id="875971713">
      <w:bodyDiv w:val="1"/>
      <w:marLeft w:val="0"/>
      <w:marRight w:val="0"/>
      <w:marTop w:val="0"/>
      <w:marBottom w:val="0"/>
      <w:divBdr>
        <w:top w:val="none" w:sz="0" w:space="0" w:color="auto"/>
        <w:left w:val="none" w:sz="0" w:space="0" w:color="auto"/>
        <w:bottom w:val="none" w:sz="0" w:space="0" w:color="auto"/>
        <w:right w:val="none" w:sz="0" w:space="0" w:color="auto"/>
      </w:divBdr>
      <w:divsChild>
        <w:div w:id="1830172854">
          <w:marLeft w:val="0"/>
          <w:marRight w:val="0"/>
          <w:marTop w:val="0"/>
          <w:marBottom w:val="180"/>
          <w:divBdr>
            <w:top w:val="none" w:sz="0" w:space="0" w:color="auto"/>
            <w:left w:val="none" w:sz="0" w:space="0" w:color="auto"/>
            <w:bottom w:val="none" w:sz="0" w:space="0" w:color="auto"/>
            <w:right w:val="none" w:sz="0" w:space="0" w:color="auto"/>
          </w:divBdr>
          <w:divsChild>
            <w:div w:id="1737820660">
              <w:marLeft w:val="0"/>
              <w:marRight w:val="0"/>
              <w:marTop w:val="0"/>
              <w:marBottom w:val="0"/>
              <w:divBdr>
                <w:top w:val="none" w:sz="0" w:space="0" w:color="auto"/>
                <w:left w:val="none" w:sz="0" w:space="0" w:color="auto"/>
                <w:bottom w:val="none" w:sz="0" w:space="0" w:color="auto"/>
                <w:right w:val="none" w:sz="0" w:space="0" w:color="auto"/>
              </w:divBdr>
              <w:divsChild>
                <w:div w:id="1809660428">
                  <w:marLeft w:val="0"/>
                  <w:marRight w:val="0"/>
                  <w:marTop w:val="0"/>
                  <w:marBottom w:val="0"/>
                  <w:divBdr>
                    <w:top w:val="none" w:sz="0" w:space="0" w:color="auto"/>
                    <w:left w:val="none" w:sz="0" w:space="0" w:color="auto"/>
                    <w:bottom w:val="none" w:sz="0" w:space="0" w:color="auto"/>
                    <w:right w:val="none" w:sz="0" w:space="0" w:color="auto"/>
                  </w:divBdr>
                  <w:divsChild>
                    <w:div w:id="1818689922">
                      <w:marLeft w:val="0"/>
                      <w:marRight w:val="0"/>
                      <w:marTop w:val="0"/>
                      <w:marBottom w:val="0"/>
                      <w:divBdr>
                        <w:top w:val="none" w:sz="0" w:space="0" w:color="auto"/>
                        <w:left w:val="none" w:sz="0" w:space="0" w:color="auto"/>
                        <w:bottom w:val="none" w:sz="0" w:space="0" w:color="auto"/>
                        <w:right w:val="none" w:sz="0" w:space="0" w:color="auto"/>
                      </w:divBdr>
                      <w:divsChild>
                        <w:div w:id="1073505517">
                          <w:marLeft w:val="0"/>
                          <w:marRight w:val="0"/>
                          <w:marTop w:val="0"/>
                          <w:marBottom w:val="0"/>
                          <w:divBdr>
                            <w:top w:val="none" w:sz="0" w:space="0" w:color="auto"/>
                            <w:left w:val="none" w:sz="0" w:space="0" w:color="auto"/>
                            <w:bottom w:val="none" w:sz="0" w:space="0" w:color="auto"/>
                            <w:right w:val="none" w:sz="0" w:space="0" w:color="auto"/>
                          </w:divBdr>
                          <w:divsChild>
                            <w:div w:id="1704133427">
                              <w:marLeft w:val="0"/>
                              <w:marRight w:val="0"/>
                              <w:marTop w:val="0"/>
                              <w:marBottom w:val="0"/>
                              <w:divBdr>
                                <w:top w:val="none" w:sz="0" w:space="0" w:color="auto"/>
                                <w:left w:val="none" w:sz="0" w:space="0" w:color="auto"/>
                                <w:bottom w:val="none" w:sz="0" w:space="0" w:color="auto"/>
                                <w:right w:val="none" w:sz="0" w:space="0" w:color="auto"/>
                              </w:divBdr>
                            </w:div>
                            <w:div w:id="1068529652">
                              <w:marLeft w:val="0"/>
                              <w:marRight w:val="0"/>
                              <w:marTop w:val="0"/>
                              <w:marBottom w:val="0"/>
                              <w:divBdr>
                                <w:top w:val="none" w:sz="0" w:space="0" w:color="auto"/>
                                <w:left w:val="none" w:sz="0" w:space="0" w:color="auto"/>
                                <w:bottom w:val="none" w:sz="0" w:space="0" w:color="auto"/>
                                <w:right w:val="none" w:sz="0" w:space="0" w:color="auto"/>
                              </w:divBdr>
                            </w:div>
                            <w:div w:id="75591488">
                              <w:marLeft w:val="0"/>
                              <w:marRight w:val="0"/>
                              <w:marTop w:val="0"/>
                              <w:marBottom w:val="0"/>
                              <w:divBdr>
                                <w:top w:val="none" w:sz="0" w:space="0" w:color="auto"/>
                                <w:left w:val="none" w:sz="0" w:space="0" w:color="auto"/>
                                <w:bottom w:val="none" w:sz="0" w:space="0" w:color="auto"/>
                                <w:right w:val="none" w:sz="0" w:space="0" w:color="auto"/>
                              </w:divBdr>
                            </w:div>
                            <w:div w:id="527529787">
                              <w:marLeft w:val="0"/>
                              <w:marRight w:val="0"/>
                              <w:marTop w:val="0"/>
                              <w:marBottom w:val="0"/>
                              <w:divBdr>
                                <w:top w:val="none" w:sz="0" w:space="0" w:color="auto"/>
                                <w:left w:val="none" w:sz="0" w:space="0" w:color="auto"/>
                                <w:bottom w:val="none" w:sz="0" w:space="0" w:color="auto"/>
                                <w:right w:val="none" w:sz="0" w:space="0" w:color="auto"/>
                              </w:divBdr>
                            </w:div>
                          </w:divsChild>
                        </w:div>
                        <w:div w:id="88496">
                          <w:marLeft w:val="0"/>
                          <w:marRight w:val="0"/>
                          <w:marTop w:val="0"/>
                          <w:marBottom w:val="0"/>
                          <w:divBdr>
                            <w:top w:val="none" w:sz="0" w:space="0" w:color="auto"/>
                            <w:left w:val="none" w:sz="0" w:space="0" w:color="auto"/>
                            <w:bottom w:val="none" w:sz="0" w:space="0" w:color="auto"/>
                            <w:right w:val="none" w:sz="0" w:space="0" w:color="auto"/>
                          </w:divBdr>
                        </w:div>
                        <w:div w:id="15962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8322">
          <w:marLeft w:val="0"/>
          <w:marRight w:val="0"/>
          <w:marTop w:val="0"/>
          <w:marBottom w:val="180"/>
          <w:divBdr>
            <w:top w:val="none" w:sz="0" w:space="0" w:color="auto"/>
            <w:left w:val="none" w:sz="0" w:space="0" w:color="auto"/>
            <w:bottom w:val="none" w:sz="0" w:space="0" w:color="auto"/>
            <w:right w:val="none" w:sz="0" w:space="0" w:color="auto"/>
          </w:divBdr>
          <w:divsChild>
            <w:div w:id="349142637">
              <w:marLeft w:val="0"/>
              <w:marRight w:val="0"/>
              <w:marTop w:val="0"/>
              <w:marBottom w:val="0"/>
              <w:divBdr>
                <w:top w:val="none" w:sz="0" w:space="0" w:color="auto"/>
                <w:left w:val="none" w:sz="0" w:space="0" w:color="auto"/>
                <w:bottom w:val="none" w:sz="0" w:space="0" w:color="auto"/>
                <w:right w:val="none" w:sz="0" w:space="0" w:color="auto"/>
              </w:divBdr>
              <w:divsChild>
                <w:div w:id="1533107290">
                  <w:marLeft w:val="0"/>
                  <w:marRight w:val="0"/>
                  <w:marTop w:val="0"/>
                  <w:marBottom w:val="0"/>
                  <w:divBdr>
                    <w:top w:val="none" w:sz="0" w:space="0" w:color="auto"/>
                    <w:left w:val="none" w:sz="0" w:space="0" w:color="auto"/>
                    <w:bottom w:val="none" w:sz="0" w:space="0" w:color="auto"/>
                    <w:right w:val="none" w:sz="0" w:space="0" w:color="auto"/>
                  </w:divBdr>
                  <w:divsChild>
                    <w:div w:id="430394723">
                      <w:marLeft w:val="0"/>
                      <w:marRight w:val="0"/>
                      <w:marTop w:val="0"/>
                      <w:marBottom w:val="0"/>
                      <w:divBdr>
                        <w:top w:val="none" w:sz="0" w:space="0" w:color="auto"/>
                        <w:left w:val="none" w:sz="0" w:space="0" w:color="auto"/>
                        <w:bottom w:val="none" w:sz="0" w:space="0" w:color="auto"/>
                        <w:right w:val="none" w:sz="0" w:space="0" w:color="auto"/>
                      </w:divBdr>
                      <w:divsChild>
                        <w:div w:id="693309091">
                          <w:marLeft w:val="0"/>
                          <w:marRight w:val="0"/>
                          <w:marTop w:val="0"/>
                          <w:marBottom w:val="0"/>
                          <w:divBdr>
                            <w:top w:val="none" w:sz="0" w:space="0" w:color="auto"/>
                            <w:left w:val="none" w:sz="0" w:space="0" w:color="auto"/>
                            <w:bottom w:val="none" w:sz="0" w:space="0" w:color="auto"/>
                            <w:right w:val="none" w:sz="0" w:space="0" w:color="auto"/>
                          </w:divBdr>
                          <w:divsChild>
                            <w:div w:id="899249445">
                              <w:marLeft w:val="0"/>
                              <w:marRight w:val="0"/>
                              <w:marTop w:val="0"/>
                              <w:marBottom w:val="0"/>
                              <w:divBdr>
                                <w:top w:val="none" w:sz="0" w:space="0" w:color="auto"/>
                                <w:left w:val="none" w:sz="0" w:space="0" w:color="auto"/>
                                <w:bottom w:val="none" w:sz="0" w:space="0" w:color="auto"/>
                                <w:right w:val="none" w:sz="0" w:space="0" w:color="auto"/>
                              </w:divBdr>
                            </w:div>
                            <w:div w:id="1122647730">
                              <w:marLeft w:val="0"/>
                              <w:marRight w:val="0"/>
                              <w:marTop w:val="0"/>
                              <w:marBottom w:val="0"/>
                              <w:divBdr>
                                <w:top w:val="none" w:sz="0" w:space="0" w:color="auto"/>
                                <w:left w:val="none" w:sz="0" w:space="0" w:color="auto"/>
                                <w:bottom w:val="none" w:sz="0" w:space="0" w:color="auto"/>
                                <w:right w:val="none" w:sz="0" w:space="0" w:color="auto"/>
                              </w:divBdr>
                            </w:div>
                            <w:div w:id="1476023577">
                              <w:marLeft w:val="0"/>
                              <w:marRight w:val="0"/>
                              <w:marTop w:val="0"/>
                              <w:marBottom w:val="0"/>
                              <w:divBdr>
                                <w:top w:val="none" w:sz="0" w:space="0" w:color="auto"/>
                                <w:left w:val="none" w:sz="0" w:space="0" w:color="auto"/>
                                <w:bottom w:val="none" w:sz="0" w:space="0" w:color="auto"/>
                                <w:right w:val="none" w:sz="0" w:space="0" w:color="auto"/>
                              </w:divBdr>
                            </w:div>
                            <w:div w:id="984549015">
                              <w:marLeft w:val="0"/>
                              <w:marRight w:val="0"/>
                              <w:marTop w:val="0"/>
                              <w:marBottom w:val="0"/>
                              <w:divBdr>
                                <w:top w:val="none" w:sz="0" w:space="0" w:color="auto"/>
                                <w:left w:val="none" w:sz="0" w:space="0" w:color="auto"/>
                                <w:bottom w:val="none" w:sz="0" w:space="0" w:color="auto"/>
                                <w:right w:val="none" w:sz="0" w:space="0" w:color="auto"/>
                              </w:divBdr>
                            </w:div>
                            <w:div w:id="1641111539">
                              <w:marLeft w:val="0"/>
                              <w:marRight w:val="0"/>
                              <w:marTop w:val="0"/>
                              <w:marBottom w:val="0"/>
                              <w:divBdr>
                                <w:top w:val="none" w:sz="0" w:space="0" w:color="auto"/>
                                <w:left w:val="none" w:sz="0" w:space="0" w:color="auto"/>
                                <w:bottom w:val="none" w:sz="0" w:space="0" w:color="auto"/>
                                <w:right w:val="none" w:sz="0" w:space="0" w:color="auto"/>
                              </w:divBdr>
                            </w:div>
                            <w:div w:id="523205781">
                              <w:marLeft w:val="0"/>
                              <w:marRight w:val="0"/>
                              <w:marTop w:val="0"/>
                              <w:marBottom w:val="0"/>
                              <w:divBdr>
                                <w:top w:val="none" w:sz="0" w:space="0" w:color="auto"/>
                                <w:left w:val="none" w:sz="0" w:space="0" w:color="auto"/>
                                <w:bottom w:val="none" w:sz="0" w:space="0" w:color="auto"/>
                                <w:right w:val="none" w:sz="0" w:space="0" w:color="auto"/>
                              </w:divBdr>
                            </w:div>
                            <w:div w:id="2820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13152">
      <w:bodyDiv w:val="1"/>
      <w:marLeft w:val="0"/>
      <w:marRight w:val="0"/>
      <w:marTop w:val="0"/>
      <w:marBottom w:val="0"/>
      <w:divBdr>
        <w:top w:val="none" w:sz="0" w:space="0" w:color="auto"/>
        <w:left w:val="none" w:sz="0" w:space="0" w:color="auto"/>
        <w:bottom w:val="none" w:sz="0" w:space="0" w:color="auto"/>
        <w:right w:val="none" w:sz="0" w:space="0" w:color="auto"/>
      </w:divBdr>
    </w:div>
    <w:div w:id="954021838">
      <w:bodyDiv w:val="1"/>
      <w:marLeft w:val="0"/>
      <w:marRight w:val="0"/>
      <w:marTop w:val="0"/>
      <w:marBottom w:val="0"/>
      <w:divBdr>
        <w:top w:val="none" w:sz="0" w:space="0" w:color="auto"/>
        <w:left w:val="none" w:sz="0" w:space="0" w:color="auto"/>
        <w:bottom w:val="none" w:sz="0" w:space="0" w:color="auto"/>
        <w:right w:val="none" w:sz="0" w:space="0" w:color="auto"/>
      </w:divBdr>
    </w:div>
    <w:div w:id="1134368512">
      <w:bodyDiv w:val="1"/>
      <w:marLeft w:val="0"/>
      <w:marRight w:val="0"/>
      <w:marTop w:val="0"/>
      <w:marBottom w:val="0"/>
      <w:divBdr>
        <w:top w:val="none" w:sz="0" w:space="0" w:color="auto"/>
        <w:left w:val="none" w:sz="0" w:space="0" w:color="auto"/>
        <w:bottom w:val="none" w:sz="0" w:space="0" w:color="auto"/>
        <w:right w:val="none" w:sz="0" w:space="0" w:color="auto"/>
      </w:divBdr>
    </w:div>
    <w:div w:id="1165169190">
      <w:bodyDiv w:val="1"/>
      <w:marLeft w:val="0"/>
      <w:marRight w:val="0"/>
      <w:marTop w:val="0"/>
      <w:marBottom w:val="0"/>
      <w:divBdr>
        <w:top w:val="none" w:sz="0" w:space="0" w:color="auto"/>
        <w:left w:val="none" w:sz="0" w:space="0" w:color="auto"/>
        <w:bottom w:val="none" w:sz="0" w:space="0" w:color="auto"/>
        <w:right w:val="none" w:sz="0" w:space="0" w:color="auto"/>
      </w:divBdr>
    </w:div>
    <w:div w:id="1173685392">
      <w:bodyDiv w:val="1"/>
      <w:marLeft w:val="0"/>
      <w:marRight w:val="0"/>
      <w:marTop w:val="0"/>
      <w:marBottom w:val="0"/>
      <w:divBdr>
        <w:top w:val="none" w:sz="0" w:space="0" w:color="auto"/>
        <w:left w:val="none" w:sz="0" w:space="0" w:color="auto"/>
        <w:bottom w:val="none" w:sz="0" w:space="0" w:color="auto"/>
        <w:right w:val="none" w:sz="0" w:space="0" w:color="auto"/>
      </w:divBdr>
    </w:div>
    <w:div w:id="1182816434">
      <w:bodyDiv w:val="1"/>
      <w:marLeft w:val="0"/>
      <w:marRight w:val="0"/>
      <w:marTop w:val="0"/>
      <w:marBottom w:val="0"/>
      <w:divBdr>
        <w:top w:val="none" w:sz="0" w:space="0" w:color="auto"/>
        <w:left w:val="none" w:sz="0" w:space="0" w:color="auto"/>
        <w:bottom w:val="none" w:sz="0" w:space="0" w:color="auto"/>
        <w:right w:val="none" w:sz="0" w:space="0" w:color="auto"/>
      </w:divBdr>
    </w:div>
    <w:div w:id="1229923203">
      <w:bodyDiv w:val="1"/>
      <w:marLeft w:val="0"/>
      <w:marRight w:val="0"/>
      <w:marTop w:val="0"/>
      <w:marBottom w:val="0"/>
      <w:divBdr>
        <w:top w:val="none" w:sz="0" w:space="0" w:color="auto"/>
        <w:left w:val="none" w:sz="0" w:space="0" w:color="auto"/>
        <w:bottom w:val="none" w:sz="0" w:space="0" w:color="auto"/>
        <w:right w:val="none" w:sz="0" w:space="0" w:color="auto"/>
      </w:divBdr>
    </w:div>
    <w:div w:id="1295599387">
      <w:bodyDiv w:val="1"/>
      <w:marLeft w:val="0"/>
      <w:marRight w:val="0"/>
      <w:marTop w:val="0"/>
      <w:marBottom w:val="0"/>
      <w:divBdr>
        <w:top w:val="none" w:sz="0" w:space="0" w:color="auto"/>
        <w:left w:val="none" w:sz="0" w:space="0" w:color="auto"/>
        <w:bottom w:val="none" w:sz="0" w:space="0" w:color="auto"/>
        <w:right w:val="none" w:sz="0" w:space="0" w:color="auto"/>
      </w:divBdr>
    </w:div>
    <w:div w:id="1383941599">
      <w:bodyDiv w:val="1"/>
      <w:marLeft w:val="0"/>
      <w:marRight w:val="0"/>
      <w:marTop w:val="0"/>
      <w:marBottom w:val="0"/>
      <w:divBdr>
        <w:top w:val="none" w:sz="0" w:space="0" w:color="auto"/>
        <w:left w:val="none" w:sz="0" w:space="0" w:color="auto"/>
        <w:bottom w:val="none" w:sz="0" w:space="0" w:color="auto"/>
        <w:right w:val="none" w:sz="0" w:space="0" w:color="auto"/>
      </w:divBdr>
    </w:div>
    <w:div w:id="1389651447">
      <w:bodyDiv w:val="1"/>
      <w:marLeft w:val="0"/>
      <w:marRight w:val="0"/>
      <w:marTop w:val="0"/>
      <w:marBottom w:val="0"/>
      <w:divBdr>
        <w:top w:val="none" w:sz="0" w:space="0" w:color="auto"/>
        <w:left w:val="none" w:sz="0" w:space="0" w:color="auto"/>
        <w:bottom w:val="none" w:sz="0" w:space="0" w:color="auto"/>
        <w:right w:val="none" w:sz="0" w:space="0" w:color="auto"/>
      </w:divBdr>
    </w:div>
    <w:div w:id="1403143091">
      <w:bodyDiv w:val="1"/>
      <w:marLeft w:val="0"/>
      <w:marRight w:val="0"/>
      <w:marTop w:val="0"/>
      <w:marBottom w:val="0"/>
      <w:divBdr>
        <w:top w:val="none" w:sz="0" w:space="0" w:color="auto"/>
        <w:left w:val="none" w:sz="0" w:space="0" w:color="auto"/>
        <w:bottom w:val="none" w:sz="0" w:space="0" w:color="auto"/>
        <w:right w:val="none" w:sz="0" w:space="0" w:color="auto"/>
      </w:divBdr>
    </w:div>
    <w:div w:id="1467621399">
      <w:bodyDiv w:val="1"/>
      <w:marLeft w:val="0"/>
      <w:marRight w:val="0"/>
      <w:marTop w:val="0"/>
      <w:marBottom w:val="0"/>
      <w:divBdr>
        <w:top w:val="none" w:sz="0" w:space="0" w:color="auto"/>
        <w:left w:val="none" w:sz="0" w:space="0" w:color="auto"/>
        <w:bottom w:val="none" w:sz="0" w:space="0" w:color="auto"/>
        <w:right w:val="none" w:sz="0" w:space="0" w:color="auto"/>
      </w:divBdr>
    </w:div>
    <w:div w:id="1475483818">
      <w:bodyDiv w:val="1"/>
      <w:marLeft w:val="0"/>
      <w:marRight w:val="0"/>
      <w:marTop w:val="0"/>
      <w:marBottom w:val="0"/>
      <w:divBdr>
        <w:top w:val="none" w:sz="0" w:space="0" w:color="auto"/>
        <w:left w:val="none" w:sz="0" w:space="0" w:color="auto"/>
        <w:bottom w:val="none" w:sz="0" w:space="0" w:color="auto"/>
        <w:right w:val="none" w:sz="0" w:space="0" w:color="auto"/>
      </w:divBdr>
    </w:div>
    <w:div w:id="1476489992">
      <w:bodyDiv w:val="1"/>
      <w:marLeft w:val="0"/>
      <w:marRight w:val="0"/>
      <w:marTop w:val="0"/>
      <w:marBottom w:val="0"/>
      <w:divBdr>
        <w:top w:val="none" w:sz="0" w:space="0" w:color="auto"/>
        <w:left w:val="none" w:sz="0" w:space="0" w:color="auto"/>
        <w:bottom w:val="none" w:sz="0" w:space="0" w:color="auto"/>
        <w:right w:val="none" w:sz="0" w:space="0" w:color="auto"/>
      </w:divBdr>
    </w:div>
    <w:div w:id="1585215753">
      <w:bodyDiv w:val="1"/>
      <w:marLeft w:val="0"/>
      <w:marRight w:val="0"/>
      <w:marTop w:val="0"/>
      <w:marBottom w:val="0"/>
      <w:divBdr>
        <w:top w:val="none" w:sz="0" w:space="0" w:color="auto"/>
        <w:left w:val="none" w:sz="0" w:space="0" w:color="auto"/>
        <w:bottom w:val="none" w:sz="0" w:space="0" w:color="auto"/>
        <w:right w:val="none" w:sz="0" w:space="0" w:color="auto"/>
      </w:divBdr>
    </w:div>
    <w:div w:id="1596940962">
      <w:bodyDiv w:val="1"/>
      <w:marLeft w:val="0"/>
      <w:marRight w:val="0"/>
      <w:marTop w:val="0"/>
      <w:marBottom w:val="0"/>
      <w:divBdr>
        <w:top w:val="none" w:sz="0" w:space="0" w:color="auto"/>
        <w:left w:val="none" w:sz="0" w:space="0" w:color="auto"/>
        <w:bottom w:val="none" w:sz="0" w:space="0" w:color="auto"/>
        <w:right w:val="none" w:sz="0" w:space="0" w:color="auto"/>
      </w:divBdr>
    </w:div>
    <w:div w:id="1619137752">
      <w:bodyDiv w:val="1"/>
      <w:marLeft w:val="0"/>
      <w:marRight w:val="0"/>
      <w:marTop w:val="0"/>
      <w:marBottom w:val="0"/>
      <w:divBdr>
        <w:top w:val="none" w:sz="0" w:space="0" w:color="auto"/>
        <w:left w:val="none" w:sz="0" w:space="0" w:color="auto"/>
        <w:bottom w:val="none" w:sz="0" w:space="0" w:color="auto"/>
        <w:right w:val="none" w:sz="0" w:space="0" w:color="auto"/>
      </w:divBdr>
    </w:div>
    <w:div w:id="1625034880">
      <w:bodyDiv w:val="1"/>
      <w:marLeft w:val="0"/>
      <w:marRight w:val="0"/>
      <w:marTop w:val="0"/>
      <w:marBottom w:val="0"/>
      <w:divBdr>
        <w:top w:val="none" w:sz="0" w:space="0" w:color="auto"/>
        <w:left w:val="none" w:sz="0" w:space="0" w:color="auto"/>
        <w:bottom w:val="none" w:sz="0" w:space="0" w:color="auto"/>
        <w:right w:val="none" w:sz="0" w:space="0" w:color="auto"/>
      </w:divBdr>
    </w:div>
    <w:div w:id="1660768663">
      <w:bodyDiv w:val="1"/>
      <w:marLeft w:val="0"/>
      <w:marRight w:val="0"/>
      <w:marTop w:val="0"/>
      <w:marBottom w:val="0"/>
      <w:divBdr>
        <w:top w:val="none" w:sz="0" w:space="0" w:color="auto"/>
        <w:left w:val="none" w:sz="0" w:space="0" w:color="auto"/>
        <w:bottom w:val="none" w:sz="0" w:space="0" w:color="auto"/>
        <w:right w:val="none" w:sz="0" w:space="0" w:color="auto"/>
      </w:divBdr>
    </w:div>
    <w:div w:id="1690982782">
      <w:bodyDiv w:val="1"/>
      <w:marLeft w:val="0"/>
      <w:marRight w:val="0"/>
      <w:marTop w:val="0"/>
      <w:marBottom w:val="0"/>
      <w:divBdr>
        <w:top w:val="none" w:sz="0" w:space="0" w:color="auto"/>
        <w:left w:val="none" w:sz="0" w:space="0" w:color="auto"/>
        <w:bottom w:val="none" w:sz="0" w:space="0" w:color="auto"/>
        <w:right w:val="none" w:sz="0" w:space="0" w:color="auto"/>
      </w:divBdr>
    </w:div>
    <w:div w:id="1717505334">
      <w:bodyDiv w:val="1"/>
      <w:marLeft w:val="0"/>
      <w:marRight w:val="0"/>
      <w:marTop w:val="0"/>
      <w:marBottom w:val="0"/>
      <w:divBdr>
        <w:top w:val="none" w:sz="0" w:space="0" w:color="auto"/>
        <w:left w:val="none" w:sz="0" w:space="0" w:color="auto"/>
        <w:bottom w:val="none" w:sz="0" w:space="0" w:color="auto"/>
        <w:right w:val="none" w:sz="0" w:space="0" w:color="auto"/>
      </w:divBdr>
    </w:div>
    <w:div w:id="1734506023">
      <w:bodyDiv w:val="1"/>
      <w:marLeft w:val="0"/>
      <w:marRight w:val="0"/>
      <w:marTop w:val="0"/>
      <w:marBottom w:val="0"/>
      <w:divBdr>
        <w:top w:val="none" w:sz="0" w:space="0" w:color="auto"/>
        <w:left w:val="none" w:sz="0" w:space="0" w:color="auto"/>
        <w:bottom w:val="none" w:sz="0" w:space="0" w:color="auto"/>
        <w:right w:val="none" w:sz="0" w:space="0" w:color="auto"/>
      </w:divBdr>
    </w:div>
    <w:div w:id="1787966315">
      <w:bodyDiv w:val="1"/>
      <w:marLeft w:val="0"/>
      <w:marRight w:val="0"/>
      <w:marTop w:val="0"/>
      <w:marBottom w:val="0"/>
      <w:divBdr>
        <w:top w:val="none" w:sz="0" w:space="0" w:color="auto"/>
        <w:left w:val="none" w:sz="0" w:space="0" w:color="auto"/>
        <w:bottom w:val="none" w:sz="0" w:space="0" w:color="auto"/>
        <w:right w:val="none" w:sz="0" w:space="0" w:color="auto"/>
      </w:divBdr>
    </w:div>
    <w:div w:id="1909345257">
      <w:bodyDiv w:val="1"/>
      <w:marLeft w:val="0"/>
      <w:marRight w:val="0"/>
      <w:marTop w:val="0"/>
      <w:marBottom w:val="0"/>
      <w:divBdr>
        <w:top w:val="none" w:sz="0" w:space="0" w:color="auto"/>
        <w:left w:val="none" w:sz="0" w:space="0" w:color="auto"/>
        <w:bottom w:val="none" w:sz="0" w:space="0" w:color="auto"/>
        <w:right w:val="none" w:sz="0" w:space="0" w:color="auto"/>
      </w:divBdr>
    </w:div>
    <w:div w:id="2054695000">
      <w:bodyDiv w:val="1"/>
      <w:marLeft w:val="0"/>
      <w:marRight w:val="0"/>
      <w:marTop w:val="0"/>
      <w:marBottom w:val="0"/>
      <w:divBdr>
        <w:top w:val="none" w:sz="0" w:space="0" w:color="auto"/>
        <w:left w:val="none" w:sz="0" w:space="0" w:color="auto"/>
        <w:bottom w:val="none" w:sz="0" w:space="0" w:color="auto"/>
        <w:right w:val="none" w:sz="0" w:space="0" w:color="auto"/>
      </w:divBdr>
    </w:div>
    <w:div w:id="2056153292">
      <w:bodyDiv w:val="1"/>
      <w:marLeft w:val="0"/>
      <w:marRight w:val="0"/>
      <w:marTop w:val="0"/>
      <w:marBottom w:val="0"/>
      <w:divBdr>
        <w:top w:val="none" w:sz="0" w:space="0" w:color="auto"/>
        <w:left w:val="none" w:sz="0" w:space="0" w:color="auto"/>
        <w:bottom w:val="none" w:sz="0" w:space="0" w:color="auto"/>
        <w:right w:val="none" w:sz="0" w:space="0" w:color="auto"/>
      </w:divBdr>
    </w:div>
    <w:div w:id="20706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2D6F-4AAF-4C0B-BEF7-31FE3C6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11820</Words>
  <Characters>63952</Characters>
  <Application>Microsoft Office Word</Application>
  <DocSecurity>0</DocSecurity>
  <Lines>1048</Lines>
  <Paragraphs>230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75542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5</cp:revision>
  <dcterms:created xsi:type="dcterms:W3CDTF">2023-08-01T15:07:00Z</dcterms:created>
  <dcterms:modified xsi:type="dcterms:W3CDTF">2023-09-15T16:50:00Z</dcterms:modified>
  <cp:category/>
</cp:coreProperties>
</file>