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FB017" w14:textId="77777777" w:rsidR="00590E01" w:rsidRPr="008C4298" w:rsidRDefault="006D0F3A" w:rsidP="008C42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8C4298">
        <w:rPr>
          <w:rFonts w:ascii="Times New Roman" w:hAnsi="Times New Roman" w:cs="Times New Roman"/>
          <w:b/>
          <w:sz w:val="28"/>
          <w:szCs w:val="28"/>
          <w:lang w:val="pt-BR"/>
        </w:rPr>
        <w:t>CONTRATAÇÕES PÚBLICAS SUSTENTÁVEIS: A IMPORTÂNCIA DO COMBATE A CARTÉIS</w:t>
      </w:r>
    </w:p>
    <w:p w14:paraId="2EA29940" w14:textId="77777777" w:rsidR="00205374" w:rsidRPr="0028295F" w:rsidRDefault="00205374" w:rsidP="002829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EDDFFF3" w14:textId="77777777" w:rsidR="0028295F" w:rsidRPr="0028295F" w:rsidRDefault="00205374" w:rsidP="008601D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28295F">
        <w:rPr>
          <w:rFonts w:ascii="Times New Roman" w:hAnsi="Times New Roman" w:cs="Times New Roman"/>
          <w:b/>
          <w:sz w:val="24"/>
          <w:szCs w:val="24"/>
          <w:lang w:val="pt-BR"/>
        </w:rPr>
        <w:t>RESUMO</w:t>
      </w:r>
    </w:p>
    <w:p w14:paraId="15B0CB05" w14:textId="77777777" w:rsidR="00205374" w:rsidRPr="0028295F" w:rsidRDefault="0028295F" w:rsidP="008601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8295F">
        <w:rPr>
          <w:rFonts w:ascii="Times New Roman" w:hAnsi="Times New Roman" w:cs="Times New Roman"/>
          <w:sz w:val="24"/>
          <w:szCs w:val="24"/>
          <w:lang w:val="pt-BR"/>
        </w:rPr>
        <w:t xml:space="preserve">o tema das contratações sustentáveis tem cada vez mais importância para os governos, tanto no cenário doméstico quando em discussões internacionais. Essa importância é justificada por, pelo menos, dois fatores: a emergência da crise climática e o poder regulatório das compras públicas, considerando o alto volume e, consequentemente, o considerável impacto dessas aquisições no mercado. Como resposta a essa importância crescente, o ordenamento jurídico interno e iniciativas em âmbito internacional contam com várias previsões que determinam que a Administração, em suas compras, leve em consideração critérios de sustentabilidade. Ocorre que as compras públicas sustentáveis têm se concentrado na dimensão ambiental do conceito de sustentabilidade, sem que </w:t>
      </w:r>
      <w:r w:rsidR="00B5761B">
        <w:rPr>
          <w:rFonts w:ascii="Times New Roman" w:hAnsi="Times New Roman" w:cs="Times New Roman"/>
          <w:sz w:val="24"/>
          <w:szCs w:val="24"/>
          <w:lang w:val="pt-BR"/>
        </w:rPr>
        <w:t xml:space="preserve">a mesma ênfase seja dada aos elementos </w:t>
      </w:r>
      <w:r w:rsidRPr="0028295F">
        <w:rPr>
          <w:rFonts w:ascii="Times New Roman" w:hAnsi="Times New Roman" w:cs="Times New Roman"/>
          <w:sz w:val="24"/>
          <w:szCs w:val="24"/>
          <w:lang w:val="pt-BR"/>
        </w:rPr>
        <w:t xml:space="preserve">social e econômico. Do ponto de vista econômico, contratações sustentáveis devem ser aquelas que contem com critérios capazes de contribuir com a higidez da ordem econômica. Uma das formas de cumprir essa missão é fortalecer o combate a carteis. Neste artigo, são apresentadas medidas de aperfeiçoamento do combate a carteis especificamente destinadas à realidade da advocacia pública e que foram divididas em </w:t>
      </w:r>
      <w:r w:rsidR="000B5967">
        <w:rPr>
          <w:rFonts w:ascii="Times New Roman" w:hAnsi="Times New Roman" w:cs="Times New Roman"/>
          <w:sz w:val="24"/>
          <w:szCs w:val="24"/>
          <w:lang w:val="pt-BR"/>
        </w:rPr>
        <w:t>dois eixos</w:t>
      </w:r>
      <w:r w:rsidRPr="0028295F">
        <w:rPr>
          <w:rFonts w:ascii="Times New Roman" w:hAnsi="Times New Roman" w:cs="Times New Roman"/>
          <w:sz w:val="24"/>
          <w:szCs w:val="24"/>
          <w:lang w:val="pt-BR"/>
        </w:rPr>
        <w:t>: controle</w:t>
      </w:r>
      <w:r w:rsidR="000B5967"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r w:rsidRPr="0028295F">
        <w:rPr>
          <w:rFonts w:ascii="Times New Roman" w:hAnsi="Times New Roman" w:cs="Times New Roman"/>
          <w:sz w:val="24"/>
          <w:szCs w:val="24"/>
          <w:lang w:val="pt-BR"/>
        </w:rPr>
        <w:t>reparação de danos</w:t>
      </w:r>
      <w:r w:rsidR="000B5967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3A694C11" w14:textId="77777777" w:rsidR="00205374" w:rsidRPr="00A234C4" w:rsidRDefault="00205374" w:rsidP="00205374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74980C6D" w14:textId="77777777" w:rsidR="006D0F3A" w:rsidRDefault="00205374" w:rsidP="0028295F"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28295F">
        <w:rPr>
          <w:rFonts w:ascii="Times New Roman" w:hAnsi="Times New Roman" w:cs="Times New Roman"/>
          <w:b/>
          <w:sz w:val="24"/>
          <w:szCs w:val="24"/>
          <w:lang w:val="pt-BR"/>
        </w:rPr>
        <w:t>I</w:t>
      </w:r>
      <w:r w:rsidR="0028295F">
        <w:rPr>
          <w:rFonts w:ascii="Times New Roman" w:hAnsi="Times New Roman" w:cs="Times New Roman"/>
          <w:b/>
          <w:sz w:val="24"/>
          <w:szCs w:val="24"/>
          <w:lang w:val="pt-BR"/>
        </w:rPr>
        <w:t xml:space="preserve">NTRODUÇÃO </w:t>
      </w:r>
    </w:p>
    <w:p w14:paraId="0821B327" w14:textId="77777777" w:rsidR="000B5967" w:rsidRPr="0028295F" w:rsidRDefault="000B5967" w:rsidP="000B5967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0FE294E5" w14:textId="77777777" w:rsidR="00205374" w:rsidRDefault="00B5761B" w:rsidP="002053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Contratos públicos são um dos pilares da Administração. São esses ajustes que permitem ao Poder Público dar cabo de sua missão finalística: atender demandas da coletividade, prestar serviços públicos, manter em funcionamento o Estado. Um campo de atuação tão importante dos Governos não poderia deixar de sofrer os fortes influxos dos debates que dominam a agenda global, no caso, a busca pela sustentabilidade. É nesse contexto que os governos são chamados a responder à seguinte pergunta: como o enorme poder de compra da administração pode ser utilizado para tentar mitigar as mudanças climáticas? </w:t>
      </w:r>
    </w:p>
    <w:p w14:paraId="0276D1BD" w14:textId="77777777" w:rsidR="008601DC" w:rsidRDefault="00016972" w:rsidP="002053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Em números divulgados pela Organização para a Cooperação e Desenvolvimento Econômico, consta que, em 2018, 55% dos países da América-Latina e Caribe tinham como um dos objetivos de suas </w:t>
      </w:r>
      <w:r>
        <w:rPr>
          <w:rFonts w:ascii="Times New Roman" w:hAnsi="Times New Roman" w:cs="Times New Roman"/>
          <w:sz w:val="24"/>
          <w:szCs w:val="24"/>
          <w:lang w:val="pt-BR"/>
        </w:rPr>
        <w:lastRenderedPageBreak/>
        <w:t>compras públicas a promoção de licitações verdes, sejam elas desenvolvidas pelo governo central ou como políticas internas de determinadas entidades governamentais (OCDE, 202</w:t>
      </w:r>
      <w:r w:rsidR="002F2BFF">
        <w:rPr>
          <w:rFonts w:ascii="Times New Roman" w:hAnsi="Times New Roman" w:cs="Times New Roman"/>
          <w:sz w:val="24"/>
          <w:szCs w:val="24"/>
          <w:lang w:val="pt-BR"/>
        </w:rPr>
        <w:t>0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). O número é significativamente mais baixo que o percentual de 93% países membros da OCDE que declaram ter o mesmo tipo de política, que corresponde. Esses números chamam mais a atenção em um contexto no qual os </w:t>
      </w:r>
      <w:r w:rsidR="008601DC">
        <w:rPr>
          <w:rFonts w:ascii="Times New Roman" w:hAnsi="Times New Roman" w:cs="Times New Roman"/>
          <w:sz w:val="24"/>
          <w:szCs w:val="24"/>
          <w:lang w:val="pt-BR"/>
        </w:rPr>
        <w:t>latinos têm um percentual significativo de seus gastos destinado às compras públicas. Dados de 2017 mostram que, na média, 6% do PIB desses países é gasto com compras públicas, o que corresponde a 17,4% do total dos gastos públicos em governos da região</w:t>
      </w:r>
      <w:r w:rsidR="002F2BFF">
        <w:rPr>
          <w:rFonts w:ascii="Times New Roman" w:hAnsi="Times New Roman" w:cs="Times New Roman"/>
          <w:sz w:val="24"/>
          <w:szCs w:val="24"/>
          <w:lang w:val="pt-BR"/>
        </w:rPr>
        <w:t xml:space="preserve"> (OCDE, 2020)</w:t>
      </w:r>
      <w:r w:rsidR="008601DC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14:paraId="2358EA26" w14:textId="77777777" w:rsidR="001B1795" w:rsidRDefault="001B1795" w:rsidP="002053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Em síntese, os números mostram que, os países latinos têm em suas mãos um grande poder decorrente do volume enorme de suas compras públicas, que </w:t>
      </w:r>
      <w:r w:rsidR="008601DC">
        <w:rPr>
          <w:rFonts w:ascii="Times New Roman" w:hAnsi="Times New Roman" w:cs="Times New Roman"/>
          <w:sz w:val="24"/>
          <w:szCs w:val="24"/>
          <w:lang w:val="pt-BR"/>
        </w:rPr>
        <w:t xml:space="preserve">pode ser muito útil </w:t>
      </w:r>
      <w:r w:rsidR="004464A7">
        <w:rPr>
          <w:rFonts w:ascii="Times New Roman" w:hAnsi="Times New Roman" w:cs="Times New Roman"/>
          <w:sz w:val="24"/>
          <w:szCs w:val="24"/>
          <w:lang w:val="pt-BR"/>
        </w:rPr>
        <w:t>para robustecer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uma agenda de importância global de promoção da sustentabilidade. O direito administrativo ensina que os poderes da administração nunca são verdadeiras faculdades, cuja emprego ou não é uma decisão voluntária do agente público; na verdade, os poderes da Administração são sempre poderes-deveres, com duas faces: prerrogativa e sujeição. </w:t>
      </w:r>
    </w:p>
    <w:p w14:paraId="251B66E9" w14:textId="77777777" w:rsidR="001B1795" w:rsidRDefault="001B1795" w:rsidP="002053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É partindo dessa concepção que este artigo pretende olhar para uma dimensão do poder-dever da administração de realizar compras sustentáveis: a promoção do desenvolvimento econômico. Isso porque o conceito de sustentabilidade é multifacetado e abriga, em seu núcleo mínimo, as dimensões ambiental, social e econômica. Todas são merecedoras de igual atenção, muito embora o debate sobre compras públicas sustentáveis seja frequentemente centralizado nas discussões ambientais. </w:t>
      </w:r>
    </w:p>
    <w:p w14:paraId="2747BE7B" w14:textId="77777777" w:rsidR="001B1795" w:rsidRDefault="001B1795" w:rsidP="002053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Nesse contexto, o trabalho inicia com uma definição sobre o que são contratações sustentáveis e algumas considerações gerais sobre a dimensão econômica desse fenômeno; em seguida, será tratado o tema dos carteis, sua definição, o prejuízo causado à administração e alguns exemplos de carteis em licitações julgados recentemente. A seção final é dedicada a expor os instrumentos e/ou caminhos de que dispõe a administração para contribuir no combate a carteis, que se dividem em </w:t>
      </w:r>
      <w:r w:rsidR="000B5967">
        <w:rPr>
          <w:rFonts w:ascii="Times New Roman" w:hAnsi="Times New Roman" w:cs="Times New Roman"/>
          <w:sz w:val="24"/>
          <w:szCs w:val="24"/>
          <w:lang w:val="pt-BR"/>
        </w:rPr>
        <w:t>duas</w:t>
      </w:r>
      <w:r>
        <w:rPr>
          <w:rFonts w:ascii="Times New Roman" w:hAnsi="Times New Roman" w:cs="Times New Roman"/>
          <w:sz w:val="24"/>
          <w:szCs w:val="24"/>
          <w:lang w:val="pt-BR"/>
        </w:rPr>
        <w:t>: o controle</w:t>
      </w:r>
      <w:r w:rsidR="000B5967">
        <w:rPr>
          <w:rFonts w:ascii="Times New Roman" w:hAnsi="Times New Roman" w:cs="Times New Roman"/>
          <w:sz w:val="24"/>
          <w:szCs w:val="24"/>
          <w:lang w:val="pt-BR"/>
        </w:rPr>
        <w:t xml:space="preserve"> 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as ações de reparação de danos</w:t>
      </w:r>
      <w:r w:rsidR="000B5967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Na conclusão, destaca-se a importância de uma atuação cooperativa e coordenada de diferentes órgãos e autoridades na construção de sociedades e governos sustentáveis. </w:t>
      </w:r>
    </w:p>
    <w:p w14:paraId="06633341" w14:textId="77777777" w:rsidR="000B5967" w:rsidRDefault="000B5967" w:rsidP="000B5967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6B1EB6E" w14:textId="77777777" w:rsidR="006D0F3A" w:rsidRPr="00A234C4" w:rsidRDefault="000B5967" w:rsidP="000B5967"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A234C4">
        <w:rPr>
          <w:rFonts w:ascii="Times New Roman" w:hAnsi="Times New Roman" w:cs="Times New Roman"/>
          <w:b/>
          <w:sz w:val="24"/>
          <w:szCs w:val="24"/>
          <w:lang w:val="pt-BR"/>
        </w:rPr>
        <w:t>O QUE SÃO CONTRATAÇÕES SUSTENTÁVEIS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E COMO ENTENDER SUA DIMENSÃO ECONÔMICA</w:t>
      </w:r>
    </w:p>
    <w:p w14:paraId="12A191E3" w14:textId="77777777" w:rsidR="002F2BFF" w:rsidRDefault="002F2BFF" w:rsidP="00D603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B666A69" w14:textId="77777777" w:rsidR="00615191" w:rsidRPr="00A234C4" w:rsidRDefault="00A31BC6" w:rsidP="00D603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234C4">
        <w:rPr>
          <w:rFonts w:ascii="Times New Roman" w:hAnsi="Times New Roman" w:cs="Times New Roman"/>
          <w:sz w:val="24"/>
          <w:szCs w:val="24"/>
          <w:lang w:val="pt-BR"/>
        </w:rPr>
        <w:lastRenderedPageBreak/>
        <w:t>Contrataç</w:t>
      </w:r>
      <w:r w:rsidR="00CD33AE" w:rsidRPr="00A234C4">
        <w:rPr>
          <w:rFonts w:ascii="Times New Roman" w:hAnsi="Times New Roman" w:cs="Times New Roman"/>
          <w:sz w:val="24"/>
          <w:szCs w:val="24"/>
          <w:lang w:val="pt-BR"/>
        </w:rPr>
        <w:t>ões</w:t>
      </w:r>
      <w:r w:rsidRPr="00A234C4">
        <w:rPr>
          <w:rFonts w:ascii="Times New Roman" w:hAnsi="Times New Roman" w:cs="Times New Roman"/>
          <w:sz w:val="24"/>
          <w:szCs w:val="24"/>
          <w:lang w:val="pt-BR"/>
        </w:rPr>
        <w:t xml:space="preserve"> sustentáveis é uma das expressões </w:t>
      </w:r>
      <w:r w:rsidR="00CD33AE" w:rsidRPr="00A234C4">
        <w:rPr>
          <w:rFonts w:ascii="Times New Roman" w:hAnsi="Times New Roman" w:cs="Times New Roman"/>
          <w:sz w:val="24"/>
          <w:szCs w:val="24"/>
          <w:lang w:val="pt-BR"/>
        </w:rPr>
        <w:t xml:space="preserve">utilizadas para se referir às aquisições feitas pela </w:t>
      </w:r>
      <w:r w:rsidR="00715037" w:rsidRPr="00A234C4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CD33AE" w:rsidRPr="00A234C4">
        <w:rPr>
          <w:rFonts w:ascii="Times New Roman" w:hAnsi="Times New Roman" w:cs="Times New Roman"/>
          <w:sz w:val="24"/>
          <w:szCs w:val="24"/>
          <w:lang w:val="pt-BR"/>
        </w:rPr>
        <w:t xml:space="preserve">dministração </w:t>
      </w:r>
      <w:r w:rsidR="00715037" w:rsidRPr="00A234C4">
        <w:rPr>
          <w:rFonts w:ascii="Times New Roman" w:hAnsi="Times New Roman" w:cs="Times New Roman"/>
          <w:sz w:val="24"/>
          <w:szCs w:val="24"/>
          <w:lang w:val="pt-BR"/>
        </w:rPr>
        <w:t>P</w:t>
      </w:r>
      <w:r w:rsidR="00CD33AE" w:rsidRPr="00A234C4">
        <w:rPr>
          <w:rFonts w:ascii="Times New Roman" w:hAnsi="Times New Roman" w:cs="Times New Roman"/>
          <w:sz w:val="24"/>
          <w:szCs w:val="24"/>
          <w:lang w:val="pt-BR"/>
        </w:rPr>
        <w:t xml:space="preserve">ública que considerem, na escolha do bem ou produto a ser comprado, critérios que favoreçam a sustentabilidade. Por sua vez, a sustentabilidade </w:t>
      </w:r>
      <w:r w:rsidR="00615191" w:rsidRPr="00A234C4">
        <w:rPr>
          <w:rFonts w:ascii="Times New Roman" w:hAnsi="Times New Roman" w:cs="Times New Roman"/>
          <w:sz w:val="24"/>
          <w:szCs w:val="24"/>
          <w:lang w:val="pt-BR"/>
        </w:rPr>
        <w:t>descreve uma forma de desenvolvimento que seja capaz de garantir a disponibilidade de recursos na terra para as atuais e futuras gerações</w:t>
      </w:r>
      <w:r w:rsidR="00F4541B" w:rsidRPr="00A234C4">
        <w:rPr>
          <w:rFonts w:ascii="Times New Roman" w:hAnsi="Times New Roman" w:cs="Times New Roman"/>
          <w:sz w:val="24"/>
          <w:szCs w:val="24"/>
          <w:lang w:val="pt-BR"/>
        </w:rPr>
        <w:t xml:space="preserve"> e que tem como um núcleo mínimo as dimensões ambiental, social e econômica</w:t>
      </w:r>
      <w:r w:rsidR="008601DC">
        <w:rPr>
          <w:rFonts w:ascii="Times New Roman" w:hAnsi="Times New Roman" w:cs="Times New Roman"/>
          <w:sz w:val="24"/>
          <w:szCs w:val="24"/>
          <w:lang w:val="pt-BR"/>
        </w:rPr>
        <w:t xml:space="preserve"> (SARLET, FENSTERSEIFER p. 566)</w:t>
      </w:r>
      <w:r w:rsidR="00F4541B" w:rsidRPr="00A234C4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FC3DB3" w:rsidRPr="00A234C4">
        <w:rPr>
          <w:rFonts w:ascii="Times New Roman" w:hAnsi="Times New Roman" w:cs="Times New Roman"/>
          <w:sz w:val="24"/>
          <w:szCs w:val="24"/>
          <w:lang w:val="pt-BR"/>
        </w:rPr>
        <w:t xml:space="preserve">O conceito </w:t>
      </w:r>
      <w:r w:rsidR="008601DC">
        <w:rPr>
          <w:rFonts w:ascii="Times New Roman" w:hAnsi="Times New Roman" w:cs="Times New Roman"/>
          <w:sz w:val="24"/>
          <w:szCs w:val="24"/>
          <w:lang w:val="pt-BR"/>
        </w:rPr>
        <w:t>remonta aos trabalhos da</w:t>
      </w:r>
      <w:r w:rsidR="00FD7DCC" w:rsidRPr="00A234C4">
        <w:rPr>
          <w:rFonts w:ascii="Times New Roman" w:hAnsi="Times New Roman" w:cs="Times New Roman"/>
          <w:sz w:val="24"/>
          <w:szCs w:val="24"/>
          <w:lang w:val="pt-BR"/>
        </w:rPr>
        <w:t xml:space="preserve"> Comissão Mundial sobre Meio Ambiente e Desenvolvimento da ONU </w:t>
      </w:r>
      <w:r w:rsidR="008601DC">
        <w:rPr>
          <w:rFonts w:ascii="Times New Roman" w:hAnsi="Times New Roman" w:cs="Times New Roman"/>
          <w:sz w:val="24"/>
          <w:szCs w:val="24"/>
          <w:lang w:val="pt-BR"/>
        </w:rPr>
        <w:t xml:space="preserve">que utilizou a definição </w:t>
      </w:r>
      <w:r w:rsidR="00FD7DCC" w:rsidRPr="00A234C4">
        <w:rPr>
          <w:rFonts w:ascii="Times New Roman" w:hAnsi="Times New Roman" w:cs="Times New Roman"/>
          <w:sz w:val="24"/>
          <w:szCs w:val="24"/>
          <w:lang w:val="pt-BR"/>
        </w:rPr>
        <w:t>no Relatório Nosso Futuro Comum (1987)</w:t>
      </w:r>
      <w:r w:rsidR="00FD7DCC" w:rsidRPr="00A234C4">
        <w:rPr>
          <w:rStyle w:val="Refdenotaderodap"/>
          <w:rFonts w:ascii="Times New Roman" w:hAnsi="Times New Roman" w:cs="Times New Roman"/>
          <w:sz w:val="24"/>
          <w:szCs w:val="24"/>
          <w:lang w:val="pt-BR"/>
        </w:rPr>
        <w:footnoteReference w:id="1"/>
      </w:r>
      <w:r w:rsidR="00FD7DCC" w:rsidRPr="00A234C4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030D19C9" w14:textId="77777777" w:rsidR="00FD7DCC" w:rsidRPr="00A234C4" w:rsidRDefault="00FD7DCC" w:rsidP="00D603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234C4">
        <w:rPr>
          <w:rFonts w:ascii="Times New Roman" w:hAnsi="Times New Roman" w:cs="Times New Roman"/>
          <w:sz w:val="24"/>
          <w:szCs w:val="24"/>
          <w:lang w:val="pt-BR"/>
        </w:rPr>
        <w:t>As dimensões abrigadas no núcleo mínimo do conceito representam diferentes valores que devem ser compatibilizados e ponderados durante o desenvolvimento de atividades antrópicas. Essas atividades, que sempre terão um impacto ambiental e implicarão algum nível de degradação, devem ser capazes de propiciar o crescimento econômico socialmente adequado e ambientalmente seguro e equilibrado. Além do núcleo mínimo, os estudos mais atuais na matéria já adicionam as dimensões da cultural, ética e jurídico-política</w:t>
      </w:r>
      <w:r w:rsidR="008601DC">
        <w:rPr>
          <w:rStyle w:val="Refdenotaderodap"/>
          <w:rFonts w:ascii="Times New Roman" w:hAnsi="Times New Roman" w:cs="Times New Roman"/>
          <w:sz w:val="24"/>
          <w:szCs w:val="24"/>
          <w:lang w:val="pt-BR"/>
        </w:rPr>
        <w:footnoteReference w:id="2"/>
      </w:r>
      <w:r w:rsidRPr="00A234C4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14:paraId="28A2ED1E" w14:textId="77777777" w:rsidR="001215FB" w:rsidRPr="00A234C4" w:rsidRDefault="00FD7DCC" w:rsidP="00D603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234C4">
        <w:rPr>
          <w:rFonts w:ascii="Times New Roman" w:hAnsi="Times New Roman" w:cs="Times New Roman"/>
          <w:sz w:val="24"/>
          <w:szCs w:val="24"/>
          <w:lang w:val="pt-BR"/>
        </w:rPr>
        <w:t xml:space="preserve">Dando maior concretude ao imperativo do desenvolvimento sustentável, </w:t>
      </w:r>
      <w:r w:rsidR="001215FB" w:rsidRPr="00A234C4">
        <w:rPr>
          <w:rFonts w:ascii="Times New Roman" w:hAnsi="Times New Roman" w:cs="Times New Roman"/>
          <w:sz w:val="24"/>
          <w:szCs w:val="24"/>
          <w:lang w:val="pt-BR"/>
        </w:rPr>
        <w:t>a ONU propôs, em 2015, dentro da nova agenda de desenvolvimento sustentável, 17 objetivos de desenvolvimento sustentável (ODS)</w:t>
      </w:r>
      <w:r w:rsidR="008601DC">
        <w:rPr>
          <w:rStyle w:val="Refdenotaderodap"/>
          <w:rFonts w:ascii="Times New Roman" w:hAnsi="Times New Roman" w:cs="Times New Roman"/>
          <w:sz w:val="24"/>
          <w:szCs w:val="24"/>
          <w:lang w:val="pt-BR"/>
        </w:rPr>
        <w:footnoteReference w:id="3"/>
      </w:r>
      <w:r w:rsidR="001215FB" w:rsidRPr="00A234C4">
        <w:rPr>
          <w:rFonts w:ascii="Times New Roman" w:hAnsi="Times New Roman" w:cs="Times New Roman"/>
          <w:sz w:val="24"/>
          <w:szCs w:val="24"/>
          <w:lang w:val="pt-BR"/>
        </w:rPr>
        <w:t xml:space="preserve"> a serem cumpridos até 2030, dentre os quais consta um relacionado às contratações sustentáveis: assegurar padrões de produção e de consumo sustentáveis (objetivo 12). Cada objetivo abriga metas próprias e, no caso do objetivo 12, uma das metas é a promoção de práticas de compras públicas sustentáveis, de acordo com as políticas e prioridades nacionais (meta n° 7). </w:t>
      </w:r>
    </w:p>
    <w:p w14:paraId="0D6F5B1D" w14:textId="77777777" w:rsidR="00D60304" w:rsidRPr="00A234C4" w:rsidRDefault="00D60304" w:rsidP="00D603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234C4">
        <w:rPr>
          <w:rFonts w:ascii="Times New Roman" w:hAnsi="Times New Roman" w:cs="Times New Roman"/>
          <w:sz w:val="24"/>
          <w:szCs w:val="24"/>
          <w:lang w:val="pt-BR"/>
        </w:rPr>
        <w:t>Embora o compromisso com os ODS tenha sido confirmado por mais de 150 líderes mundiais, inclusive o Brasil, essas obrigações não possuem caráter vinculante</w:t>
      </w:r>
      <w:r w:rsidR="008601DC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r w:rsidR="004464A7">
        <w:rPr>
          <w:rFonts w:ascii="Times New Roman" w:hAnsi="Times New Roman" w:cs="Times New Roman"/>
          <w:sz w:val="24"/>
          <w:szCs w:val="24"/>
          <w:lang w:val="pt-BR"/>
        </w:rPr>
        <w:t>BARTH et. al, 2022)</w:t>
      </w:r>
      <w:r w:rsidR="008601DC">
        <w:rPr>
          <w:rStyle w:val="Refdenotaderodap"/>
          <w:rFonts w:ascii="Times New Roman" w:hAnsi="Times New Roman" w:cs="Times New Roman"/>
          <w:sz w:val="24"/>
          <w:szCs w:val="24"/>
          <w:lang w:val="pt-BR"/>
        </w:rPr>
        <w:footnoteReference w:id="4"/>
      </w:r>
      <w:r w:rsidRPr="00A234C4">
        <w:rPr>
          <w:rFonts w:ascii="Times New Roman" w:hAnsi="Times New Roman" w:cs="Times New Roman"/>
          <w:sz w:val="24"/>
          <w:szCs w:val="24"/>
          <w:lang w:val="pt-BR"/>
        </w:rPr>
        <w:t>. No caso brasileiro, o</w:t>
      </w:r>
      <w:r w:rsidR="001215FB" w:rsidRPr="00A234C4">
        <w:rPr>
          <w:rFonts w:ascii="Times New Roman" w:hAnsi="Times New Roman" w:cs="Times New Roman"/>
          <w:sz w:val="24"/>
          <w:szCs w:val="24"/>
          <w:lang w:val="pt-BR"/>
        </w:rPr>
        <w:t xml:space="preserve"> cumprimento dos ODS é acompanhado</w:t>
      </w:r>
      <w:r w:rsidRPr="00A234C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215FB" w:rsidRPr="00A234C4">
        <w:rPr>
          <w:rFonts w:ascii="Times New Roman" w:hAnsi="Times New Roman" w:cs="Times New Roman"/>
          <w:sz w:val="24"/>
          <w:szCs w:val="24"/>
          <w:lang w:val="pt-BR"/>
        </w:rPr>
        <w:t xml:space="preserve">pelo IBGE e pela Secretaria Especial de Articulação Social/Secretaria de Governo da Presidência da República, que mantém indicadores para medição de </w:t>
      </w:r>
      <w:r w:rsidR="001215FB" w:rsidRPr="00A234C4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cada objetivo. Com relação às compras públicas, o status atual é de que as medidas para </w:t>
      </w:r>
      <w:r w:rsidRPr="00A234C4">
        <w:rPr>
          <w:rFonts w:ascii="Times New Roman" w:hAnsi="Times New Roman" w:cs="Times New Roman"/>
          <w:sz w:val="24"/>
          <w:szCs w:val="24"/>
          <w:lang w:val="pt-BR"/>
        </w:rPr>
        <w:t>atendimento à meta ainda estão em análise/construção</w:t>
      </w:r>
      <w:r w:rsidR="004464A7">
        <w:rPr>
          <w:rStyle w:val="Refdenotaderodap"/>
          <w:rFonts w:ascii="Times New Roman" w:hAnsi="Times New Roman" w:cs="Times New Roman"/>
          <w:sz w:val="24"/>
          <w:szCs w:val="24"/>
          <w:lang w:val="pt-BR"/>
        </w:rPr>
        <w:footnoteReference w:id="5"/>
      </w:r>
      <w:r w:rsidRPr="00A234C4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14:paraId="04072F65" w14:textId="77777777" w:rsidR="001215FB" w:rsidRPr="00A234C4" w:rsidRDefault="001215FB" w:rsidP="00D603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234C4">
        <w:rPr>
          <w:rFonts w:ascii="Times New Roman" w:hAnsi="Times New Roman" w:cs="Times New Roman"/>
          <w:sz w:val="24"/>
          <w:szCs w:val="24"/>
          <w:lang w:val="pt-BR"/>
        </w:rPr>
        <w:t xml:space="preserve">Embora </w:t>
      </w:r>
      <w:r w:rsidR="00715037" w:rsidRPr="00A234C4">
        <w:rPr>
          <w:rFonts w:ascii="Times New Roman" w:hAnsi="Times New Roman" w:cs="Times New Roman"/>
          <w:sz w:val="24"/>
          <w:szCs w:val="24"/>
          <w:lang w:val="pt-BR"/>
        </w:rPr>
        <w:t xml:space="preserve">os Objetivos de Desenvolvimento Sustentável não tenham </w:t>
      </w:r>
      <w:r w:rsidRPr="00A234C4">
        <w:rPr>
          <w:rFonts w:ascii="Times New Roman" w:hAnsi="Times New Roman" w:cs="Times New Roman"/>
          <w:sz w:val="24"/>
          <w:szCs w:val="24"/>
          <w:lang w:val="pt-BR"/>
        </w:rPr>
        <w:t xml:space="preserve">força vinculante, há outros instrumentos jurídicos </w:t>
      </w:r>
      <w:r w:rsidR="00205374" w:rsidRPr="00A234C4">
        <w:rPr>
          <w:rFonts w:ascii="Times New Roman" w:hAnsi="Times New Roman" w:cs="Times New Roman"/>
          <w:sz w:val="24"/>
          <w:szCs w:val="24"/>
          <w:lang w:val="pt-BR"/>
        </w:rPr>
        <w:t xml:space="preserve">dotados de exigibilidade </w:t>
      </w:r>
      <w:r w:rsidRPr="00A234C4">
        <w:rPr>
          <w:rFonts w:ascii="Times New Roman" w:hAnsi="Times New Roman" w:cs="Times New Roman"/>
          <w:sz w:val="24"/>
          <w:szCs w:val="24"/>
          <w:lang w:val="pt-BR"/>
        </w:rPr>
        <w:t>que contribuem para a consecução</w:t>
      </w:r>
      <w:r w:rsidR="00205374" w:rsidRPr="00A234C4">
        <w:rPr>
          <w:rFonts w:ascii="Times New Roman" w:hAnsi="Times New Roman" w:cs="Times New Roman"/>
          <w:sz w:val="24"/>
          <w:szCs w:val="24"/>
          <w:lang w:val="pt-BR"/>
        </w:rPr>
        <w:t xml:space="preserve"> dessas metas.</w:t>
      </w:r>
      <w:r w:rsidRPr="00A234C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05E93" w:rsidRPr="00A234C4">
        <w:rPr>
          <w:rFonts w:ascii="Times New Roman" w:hAnsi="Times New Roman" w:cs="Times New Roman"/>
          <w:sz w:val="24"/>
          <w:szCs w:val="24"/>
          <w:lang w:val="pt-BR"/>
        </w:rPr>
        <w:t xml:space="preserve">No plano jurídico nacional, </w:t>
      </w:r>
      <w:r w:rsidR="000F59B8" w:rsidRPr="00A234C4">
        <w:rPr>
          <w:rFonts w:ascii="Times New Roman" w:hAnsi="Times New Roman" w:cs="Times New Roman"/>
          <w:sz w:val="24"/>
          <w:szCs w:val="24"/>
          <w:lang w:val="pt-BR"/>
        </w:rPr>
        <w:t xml:space="preserve">o art. 4°, </w:t>
      </w:r>
      <w:r w:rsidR="004464A7" w:rsidRPr="00A234C4">
        <w:rPr>
          <w:rFonts w:ascii="Times New Roman" w:hAnsi="Times New Roman" w:cs="Times New Roman"/>
          <w:sz w:val="24"/>
          <w:szCs w:val="24"/>
          <w:lang w:val="pt-BR"/>
        </w:rPr>
        <w:t>I, da</w:t>
      </w:r>
      <w:r w:rsidR="000F59B8" w:rsidRPr="00A234C4">
        <w:rPr>
          <w:rFonts w:ascii="Times New Roman" w:hAnsi="Times New Roman" w:cs="Times New Roman"/>
          <w:sz w:val="24"/>
          <w:szCs w:val="24"/>
          <w:lang w:val="pt-BR"/>
        </w:rPr>
        <w:t xml:space="preserve"> Lei n° 6.938</w:t>
      </w:r>
      <w:r w:rsidR="004464A7"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0F59B8" w:rsidRPr="00A234C4">
        <w:rPr>
          <w:rFonts w:ascii="Times New Roman" w:hAnsi="Times New Roman" w:cs="Times New Roman"/>
          <w:sz w:val="24"/>
          <w:szCs w:val="24"/>
          <w:lang w:val="pt-BR"/>
        </w:rPr>
        <w:t xml:space="preserve">1981, já previa, antes mesmo da Constituição </w:t>
      </w:r>
      <w:r w:rsidR="002F2BFF" w:rsidRPr="00A234C4">
        <w:rPr>
          <w:rFonts w:ascii="Times New Roman" w:hAnsi="Times New Roman" w:cs="Times New Roman"/>
          <w:sz w:val="24"/>
          <w:szCs w:val="24"/>
          <w:lang w:val="pt-BR"/>
        </w:rPr>
        <w:t>Federal, como</w:t>
      </w:r>
      <w:r w:rsidR="000F59B8" w:rsidRPr="00A234C4">
        <w:rPr>
          <w:rFonts w:ascii="Times New Roman" w:hAnsi="Times New Roman" w:cs="Times New Roman"/>
          <w:sz w:val="24"/>
          <w:szCs w:val="24"/>
          <w:lang w:val="pt-BR"/>
        </w:rPr>
        <w:t xml:space="preserve"> objetivo da Política Nacional de Meio Ambiente, a “compatibilização do desenvolvimento econômico-social com a preservação da qualidade do meio ambiente”</w:t>
      </w:r>
      <w:r w:rsidR="004464A7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22B1F096" w14:textId="77777777" w:rsidR="000F59B8" w:rsidRPr="00A234C4" w:rsidRDefault="000F59B8" w:rsidP="00D603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234C4">
        <w:rPr>
          <w:rFonts w:ascii="Times New Roman" w:hAnsi="Times New Roman" w:cs="Times New Roman"/>
          <w:sz w:val="24"/>
          <w:szCs w:val="24"/>
          <w:lang w:val="pt-BR"/>
        </w:rPr>
        <w:t xml:space="preserve">Na Constituição de 1988, os artigos 1°, III e IV, 3°, 225, 170 caput e VI, 174, §3, 186, II e art. 170, caput, formam o arcabouço constitucional do desenvolvimento sustentável e demonstram sua ramificação em diferentes dimensões: ora enquanto objetivo da república, ora como direito fundamental, como garantia subjetiva aos cidadãos, como baliza para as atividades econômicas do país, dentre outros. </w:t>
      </w:r>
    </w:p>
    <w:p w14:paraId="1F677B7E" w14:textId="77777777" w:rsidR="000F59B8" w:rsidRPr="00A234C4" w:rsidRDefault="000F59B8" w:rsidP="00D603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234C4">
        <w:rPr>
          <w:rFonts w:ascii="Times New Roman" w:hAnsi="Times New Roman" w:cs="Times New Roman"/>
          <w:sz w:val="24"/>
          <w:szCs w:val="24"/>
          <w:lang w:val="pt-BR"/>
        </w:rPr>
        <w:t xml:space="preserve">No plano </w:t>
      </w:r>
      <w:r w:rsidR="00FE550D" w:rsidRPr="00A234C4">
        <w:rPr>
          <w:rFonts w:ascii="Times New Roman" w:hAnsi="Times New Roman" w:cs="Times New Roman"/>
          <w:sz w:val="24"/>
          <w:szCs w:val="24"/>
          <w:lang w:val="pt-BR"/>
        </w:rPr>
        <w:t>infraconstitucional,</w:t>
      </w:r>
      <w:r w:rsidRPr="00A234C4">
        <w:rPr>
          <w:rFonts w:ascii="Times New Roman" w:hAnsi="Times New Roman" w:cs="Times New Roman"/>
          <w:sz w:val="24"/>
          <w:szCs w:val="24"/>
          <w:lang w:val="pt-BR"/>
        </w:rPr>
        <w:t xml:space="preserve"> o suporte jurídico para as contratações públicas sustentáveis também </w:t>
      </w:r>
      <w:r w:rsidR="00F77075" w:rsidRPr="00A234C4">
        <w:rPr>
          <w:rFonts w:ascii="Times New Roman" w:hAnsi="Times New Roman" w:cs="Times New Roman"/>
          <w:sz w:val="24"/>
          <w:szCs w:val="24"/>
          <w:lang w:val="pt-BR"/>
        </w:rPr>
        <w:t>é</w:t>
      </w:r>
      <w:r w:rsidRPr="00A234C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11E7C" w:rsidRPr="00A234C4">
        <w:rPr>
          <w:rFonts w:ascii="Times New Roman" w:hAnsi="Times New Roman" w:cs="Times New Roman"/>
          <w:sz w:val="24"/>
          <w:szCs w:val="24"/>
          <w:lang w:val="pt-BR"/>
        </w:rPr>
        <w:t>abundante e inclui as normas gerais para licitações e contratos (Lei n° 14.133</w:t>
      </w:r>
      <w:r w:rsidR="004464A7">
        <w:rPr>
          <w:rFonts w:ascii="Times New Roman" w:hAnsi="Times New Roman" w:cs="Times New Roman"/>
          <w:sz w:val="24"/>
          <w:szCs w:val="24"/>
          <w:lang w:val="pt-BR"/>
        </w:rPr>
        <w:t xml:space="preserve">/2021 e </w:t>
      </w:r>
      <w:r w:rsidR="00411E7C" w:rsidRPr="00A234C4">
        <w:rPr>
          <w:rFonts w:ascii="Times New Roman" w:hAnsi="Times New Roman" w:cs="Times New Roman"/>
          <w:sz w:val="24"/>
          <w:szCs w:val="24"/>
          <w:lang w:val="pt-BR"/>
        </w:rPr>
        <w:t>n° 8666</w:t>
      </w:r>
      <w:r w:rsidR="004464A7">
        <w:rPr>
          <w:rFonts w:ascii="Times New Roman" w:hAnsi="Times New Roman" w:cs="Times New Roman"/>
          <w:sz w:val="24"/>
          <w:szCs w:val="24"/>
          <w:lang w:val="pt-BR"/>
        </w:rPr>
        <w:t>/1993</w:t>
      </w:r>
      <w:r w:rsidR="00411E7C" w:rsidRPr="00A234C4">
        <w:rPr>
          <w:rFonts w:ascii="Times New Roman" w:hAnsi="Times New Roman" w:cs="Times New Roman"/>
          <w:sz w:val="24"/>
          <w:szCs w:val="24"/>
          <w:lang w:val="pt-BR"/>
        </w:rPr>
        <w:t xml:space="preserve">), seus respectivos decretos regulamentadores (com destaque para o Decreto n° 7.746/2012), e as política ambientais setoriais (por exemplo, a Lei nº 6.938/1981 – Política Nacional do Meio Ambiente,  Lei nº 12.187/2009 – Política Nacional de Mudança do Clima e Lei nº 12.305/2010 – Política Nacional de Resíduos Sólidos). </w:t>
      </w:r>
    </w:p>
    <w:p w14:paraId="5FF951CF" w14:textId="77777777" w:rsidR="00411E7C" w:rsidRPr="00A234C4" w:rsidRDefault="00411E7C" w:rsidP="00D603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234C4">
        <w:rPr>
          <w:rFonts w:ascii="Times New Roman" w:hAnsi="Times New Roman" w:cs="Times New Roman"/>
          <w:sz w:val="24"/>
          <w:szCs w:val="24"/>
          <w:lang w:val="pt-BR"/>
        </w:rPr>
        <w:t>É relevante notar que o diploma possivelmente mais importante e recente na matéria de licitações e contratos, a Lei n° 14.133/2021 foi minuciosa no tópico da sustentabilidade, demonstrando um aprimoramento e a preocupação crescente do legislador com a matéria. As menções ao tema da sustentabilidade foram sistematizadas em trabalho da Advocacia-Geral da União, no qual se identificam pelo menos 16 dispositivos que disciplinam o tema</w:t>
      </w:r>
      <w:r w:rsidR="00C30228" w:rsidRPr="00A234C4">
        <w:rPr>
          <w:rStyle w:val="Refdenotaderodap"/>
          <w:rFonts w:ascii="Times New Roman" w:hAnsi="Times New Roman" w:cs="Times New Roman"/>
          <w:sz w:val="24"/>
          <w:szCs w:val="24"/>
          <w:lang w:val="pt-BR"/>
        </w:rPr>
        <w:footnoteReference w:id="6"/>
      </w:r>
      <w:r w:rsidRPr="00A234C4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14:paraId="7AC46583" w14:textId="77777777" w:rsidR="00411E7C" w:rsidRPr="00A234C4" w:rsidRDefault="00411E7C" w:rsidP="00E655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234C4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A atenção crescente dada </w:t>
      </w:r>
      <w:r w:rsidR="004464A7">
        <w:rPr>
          <w:rFonts w:ascii="Times New Roman" w:hAnsi="Times New Roman" w:cs="Times New Roman"/>
          <w:sz w:val="24"/>
          <w:szCs w:val="24"/>
          <w:lang w:val="pt-BR"/>
        </w:rPr>
        <w:t>à matéria</w:t>
      </w:r>
      <w:r w:rsidRPr="00A234C4">
        <w:rPr>
          <w:rFonts w:ascii="Times New Roman" w:hAnsi="Times New Roman" w:cs="Times New Roman"/>
          <w:sz w:val="24"/>
          <w:szCs w:val="24"/>
          <w:lang w:val="pt-BR"/>
        </w:rPr>
        <w:t xml:space="preserve"> das contratações sustentáveis é reflexo da urgência do tema </w:t>
      </w:r>
      <w:r w:rsidR="00C30228" w:rsidRPr="00A234C4">
        <w:rPr>
          <w:rFonts w:ascii="Times New Roman" w:hAnsi="Times New Roman" w:cs="Times New Roman"/>
          <w:sz w:val="24"/>
          <w:szCs w:val="24"/>
          <w:lang w:val="pt-BR"/>
        </w:rPr>
        <w:t xml:space="preserve">da crise climática nos governos globais. Isso porque o Poder Público, enquanto um grande comprador de produtos e serviços, tem o poder de regular o mercado a partir dos critérios utilizados em suas contratações. </w:t>
      </w:r>
      <w:r w:rsidR="00E65594" w:rsidRPr="00A234C4">
        <w:rPr>
          <w:rFonts w:ascii="Times New Roman" w:hAnsi="Times New Roman" w:cs="Times New Roman"/>
          <w:sz w:val="24"/>
          <w:szCs w:val="24"/>
          <w:lang w:val="pt-BR"/>
        </w:rPr>
        <w:t>Esse fenômeno é reconhecido como a “função regulatória da licitação”</w:t>
      </w:r>
      <w:r w:rsidR="004464A7">
        <w:rPr>
          <w:rFonts w:ascii="Times New Roman" w:hAnsi="Times New Roman" w:cs="Times New Roman"/>
          <w:sz w:val="24"/>
          <w:szCs w:val="24"/>
          <w:lang w:val="pt-BR"/>
        </w:rPr>
        <w:t xml:space="preserve">, pois </w:t>
      </w:r>
      <w:r w:rsidR="00E65594" w:rsidRPr="00A234C4">
        <w:rPr>
          <w:rFonts w:ascii="Times New Roman" w:hAnsi="Times New Roman" w:cs="Times New Roman"/>
          <w:sz w:val="24"/>
          <w:szCs w:val="24"/>
          <w:lang w:val="pt-BR"/>
        </w:rPr>
        <w:t xml:space="preserve">conforme explica Rafael Carvalho Rezende de Oliveira, </w:t>
      </w:r>
      <w:r w:rsidR="004464A7">
        <w:rPr>
          <w:rFonts w:ascii="Times New Roman" w:hAnsi="Times New Roman" w:cs="Times New Roman"/>
          <w:sz w:val="24"/>
          <w:szCs w:val="24"/>
          <w:lang w:val="pt-BR"/>
        </w:rPr>
        <w:t xml:space="preserve">a realização de licitações não tem como único objetivo a busca pelo menor preço: </w:t>
      </w:r>
      <w:proofErr w:type="gramStart"/>
      <w:r w:rsidR="004464A7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="00E65594" w:rsidRPr="00A234C4">
        <w:rPr>
          <w:rFonts w:ascii="Times New Roman" w:hAnsi="Times New Roman" w:cs="Times New Roman"/>
          <w:sz w:val="24"/>
          <w:szCs w:val="24"/>
          <w:lang w:val="pt-BR"/>
        </w:rPr>
        <w:t xml:space="preserve"> o</w:t>
      </w:r>
      <w:proofErr w:type="gramEnd"/>
      <w:r w:rsidR="00E65594" w:rsidRPr="00A234C4">
        <w:rPr>
          <w:rFonts w:ascii="Times New Roman" w:hAnsi="Times New Roman" w:cs="Times New Roman"/>
          <w:sz w:val="24"/>
          <w:szCs w:val="24"/>
          <w:lang w:val="pt-BR"/>
        </w:rPr>
        <w:t xml:space="preserve"> referido instituto tem espectro mais abrangente, servindo como instrumento para o atendimento de finalidades públicas outras, consagradas constitucionalmente.”</w:t>
      </w:r>
      <w:r w:rsidR="004464A7">
        <w:rPr>
          <w:rFonts w:ascii="Times New Roman" w:hAnsi="Times New Roman" w:cs="Times New Roman"/>
          <w:sz w:val="24"/>
          <w:szCs w:val="24"/>
          <w:lang w:val="pt-BR"/>
        </w:rPr>
        <w:t xml:space="preserve"> (OLIVEIRA, 20</w:t>
      </w:r>
      <w:r w:rsidR="002F2BFF">
        <w:rPr>
          <w:rFonts w:ascii="Times New Roman" w:hAnsi="Times New Roman" w:cs="Times New Roman"/>
          <w:sz w:val="24"/>
          <w:szCs w:val="24"/>
          <w:lang w:val="pt-BR"/>
        </w:rPr>
        <w:t>21</w:t>
      </w:r>
      <w:r w:rsidR="004464A7">
        <w:rPr>
          <w:rFonts w:ascii="Times New Roman" w:hAnsi="Times New Roman" w:cs="Times New Roman"/>
          <w:sz w:val="24"/>
          <w:szCs w:val="24"/>
          <w:lang w:val="pt-BR"/>
        </w:rPr>
        <w:t xml:space="preserve">). </w:t>
      </w:r>
      <w:r w:rsidR="00E65594" w:rsidRPr="00A234C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234C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5B774155" w14:textId="77777777" w:rsidR="00DB4118" w:rsidRPr="00A234C4" w:rsidRDefault="00DB4118" w:rsidP="00DB41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234C4">
        <w:rPr>
          <w:rFonts w:ascii="Times New Roman" w:hAnsi="Times New Roman" w:cs="Times New Roman"/>
          <w:sz w:val="24"/>
          <w:szCs w:val="24"/>
          <w:lang w:val="pt-BR"/>
        </w:rPr>
        <w:t xml:space="preserve">A importância da função regulatória justifica o caráter hoje impositivo dos critérios de sustentabilidade par as contratações públicas. </w:t>
      </w:r>
      <w:r w:rsidR="00E65594" w:rsidRPr="00A234C4">
        <w:rPr>
          <w:rFonts w:ascii="Times New Roman" w:hAnsi="Times New Roman" w:cs="Times New Roman"/>
          <w:sz w:val="24"/>
          <w:szCs w:val="24"/>
          <w:lang w:val="pt-BR"/>
        </w:rPr>
        <w:t>Com efeito, em âmbito federal, a advocacia pública já reconheceu a obrigatoriedade de que a Administração adote critérios e práticas de sustentabilidade socioambiental nas contratações públicas, cabendo ao gestor o ônus da justificação no caso de não atendimento desses requisitos</w:t>
      </w:r>
      <w:r w:rsidR="00E65594" w:rsidRPr="00A234C4">
        <w:rPr>
          <w:rStyle w:val="Refdenotaderodap"/>
          <w:rFonts w:ascii="Times New Roman" w:hAnsi="Times New Roman" w:cs="Times New Roman"/>
          <w:sz w:val="24"/>
          <w:szCs w:val="24"/>
          <w:lang w:val="pt-BR"/>
        </w:rPr>
        <w:footnoteReference w:id="7"/>
      </w:r>
      <w:r w:rsidR="00E65594" w:rsidRPr="00A234C4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14:paraId="091245B4" w14:textId="77777777" w:rsidR="00DB4118" w:rsidRPr="00A234C4" w:rsidRDefault="00DB4118" w:rsidP="007E76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234C4">
        <w:rPr>
          <w:rFonts w:ascii="Times New Roman" w:hAnsi="Times New Roman" w:cs="Times New Roman"/>
          <w:sz w:val="24"/>
          <w:szCs w:val="24"/>
          <w:lang w:val="pt-BR"/>
        </w:rPr>
        <w:t>No entanto, as contratações sustentáveis caminham em ritmos diferentes quanto à três principais dimensões desse conceito. Majoritariamente, os critérios utilizados para essas compras têm relação com o elemento ambiental do conceito de sustentabilidade. Com efeito, o art. 4° do Decreto n° 7.746</w:t>
      </w:r>
      <w:r w:rsidR="004464A7">
        <w:rPr>
          <w:rFonts w:ascii="Times New Roman" w:hAnsi="Times New Roman" w:cs="Times New Roman"/>
          <w:sz w:val="24"/>
          <w:szCs w:val="24"/>
          <w:lang w:val="pt-BR"/>
        </w:rPr>
        <w:t>/</w:t>
      </w:r>
      <w:r w:rsidRPr="00A234C4">
        <w:rPr>
          <w:rFonts w:ascii="Times New Roman" w:hAnsi="Times New Roman" w:cs="Times New Roman"/>
          <w:sz w:val="24"/>
          <w:szCs w:val="24"/>
          <w:lang w:val="pt-BR"/>
        </w:rPr>
        <w:t>2012, que regulamenta o art. 3° da Lei n° 8.666/</w:t>
      </w:r>
      <w:r w:rsidR="00516DB5">
        <w:rPr>
          <w:rFonts w:ascii="Times New Roman" w:hAnsi="Times New Roman" w:cs="Times New Roman"/>
          <w:sz w:val="24"/>
          <w:szCs w:val="24"/>
          <w:lang w:val="pt-BR"/>
        </w:rPr>
        <w:t>19</w:t>
      </w:r>
      <w:r w:rsidRPr="00A234C4">
        <w:rPr>
          <w:rFonts w:ascii="Times New Roman" w:hAnsi="Times New Roman" w:cs="Times New Roman"/>
          <w:sz w:val="24"/>
          <w:szCs w:val="24"/>
          <w:lang w:val="pt-BR"/>
        </w:rPr>
        <w:t xml:space="preserve">93 (correspondente ao art. </w:t>
      </w:r>
      <w:r w:rsidR="00516DB5">
        <w:rPr>
          <w:rFonts w:ascii="Times New Roman" w:hAnsi="Times New Roman" w:cs="Times New Roman"/>
          <w:sz w:val="24"/>
          <w:szCs w:val="24"/>
          <w:lang w:val="pt-BR"/>
        </w:rPr>
        <w:t xml:space="preserve">5° </w:t>
      </w:r>
      <w:r w:rsidRPr="00A234C4">
        <w:rPr>
          <w:rFonts w:ascii="Times New Roman" w:hAnsi="Times New Roman" w:cs="Times New Roman"/>
          <w:sz w:val="24"/>
          <w:szCs w:val="24"/>
          <w:lang w:val="pt-BR"/>
        </w:rPr>
        <w:t xml:space="preserve">na Lei n° 14.133/2021), estabelece o que são considerados critérios e práticas sustentáveis. Dentre os 8 (oito) elementos </w:t>
      </w:r>
      <w:r w:rsidRPr="00A234C4">
        <w:rPr>
          <w:rFonts w:ascii="Times New Roman" w:hAnsi="Times New Roman" w:cs="Times New Roman"/>
          <w:sz w:val="24"/>
          <w:szCs w:val="24"/>
          <w:lang w:val="pt-BR"/>
        </w:rPr>
        <w:lastRenderedPageBreak/>
        <w:t>especificados, 7 têm relação preponderante com a matéria ambiental, 1 com o tema social e nenhum trata da dimensão econômica propriamente dita</w:t>
      </w:r>
      <w:r w:rsidRPr="00A234C4">
        <w:rPr>
          <w:rStyle w:val="Refdenotaderodap"/>
          <w:rFonts w:ascii="Times New Roman" w:hAnsi="Times New Roman" w:cs="Times New Roman"/>
          <w:sz w:val="24"/>
          <w:szCs w:val="24"/>
          <w:lang w:val="pt-BR"/>
        </w:rPr>
        <w:footnoteReference w:id="8"/>
      </w:r>
      <w:r w:rsidRPr="00A234C4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14:paraId="1D08CC7B" w14:textId="77777777" w:rsidR="00A31BC6" w:rsidRPr="00A234C4" w:rsidRDefault="00DB4118" w:rsidP="007E76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234C4">
        <w:rPr>
          <w:rFonts w:ascii="Times New Roman" w:hAnsi="Times New Roman" w:cs="Times New Roman"/>
          <w:sz w:val="24"/>
          <w:szCs w:val="24"/>
          <w:lang w:val="pt-BR"/>
        </w:rPr>
        <w:t xml:space="preserve">Embora a dimensão econômica também seja parte do conceito de sustentabilidade, ela ainda tem uma participação tímida nos critérios utilizados a para contratações públicas sustentáveis. Ocorre que </w:t>
      </w:r>
      <w:r w:rsidR="003442C2" w:rsidRPr="00A234C4">
        <w:rPr>
          <w:rFonts w:ascii="Times New Roman" w:hAnsi="Times New Roman" w:cs="Times New Roman"/>
          <w:sz w:val="24"/>
          <w:szCs w:val="24"/>
          <w:lang w:val="pt-BR"/>
        </w:rPr>
        <w:t>a obrigatoriedade</w:t>
      </w:r>
      <w:r w:rsidR="00E65594" w:rsidRPr="00A234C4">
        <w:rPr>
          <w:rFonts w:ascii="Times New Roman" w:hAnsi="Times New Roman" w:cs="Times New Roman"/>
          <w:sz w:val="24"/>
          <w:szCs w:val="24"/>
          <w:lang w:val="pt-BR"/>
        </w:rPr>
        <w:t xml:space="preserve"> de observância das normas de sustentabilidade nas contratações públicas significa que, também quanto à dimensão econômica, essas aquisições de bens, obras, serviços e/ou alienações, devem ser adequadas dentro da lógica de preservação de recursos para gerações futuras. Ilícitos nos processos de contratações que representem prejuízo à ordem econômica, resultando em piora na qualidade das compras públicas e/ou aumento de preço, são,</w:t>
      </w:r>
      <w:r w:rsidR="00516DB5">
        <w:rPr>
          <w:rFonts w:ascii="Times New Roman" w:hAnsi="Times New Roman" w:cs="Times New Roman"/>
          <w:sz w:val="24"/>
          <w:szCs w:val="24"/>
          <w:lang w:val="pt-BR"/>
        </w:rPr>
        <w:t xml:space="preserve"> nessa perspectiva</w:t>
      </w:r>
      <w:r w:rsidR="00E65594" w:rsidRPr="00A234C4">
        <w:rPr>
          <w:rFonts w:ascii="Times New Roman" w:hAnsi="Times New Roman" w:cs="Times New Roman"/>
          <w:sz w:val="24"/>
          <w:szCs w:val="24"/>
          <w:lang w:val="pt-BR"/>
        </w:rPr>
        <w:t xml:space="preserve">, uma violação ao primado da sustentabilidade. </w:t>
      </w:r>
    </w:p>
    <w:p w14:paraId="75994619" w14:textId="77777777" w:rsidR="00A31BC6" w:rsidRPr="00A234C4" w:rsidRDefault="007E76FD" w:rsidP="007E76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234C4">
        <w:rPr>
          <w:rFonts w:ascii="Times New Roman" w:hAnsi="Times New Roman" w:cs="Times New Roman"/>
          <w:sz w:val="24"/>
          <w:szCs w:val="24"/>
          <w:lang w:val="pt-BR"/>
        </w:rPr>
        <w:t xml:space="preserve">É necessário, portanto, reforçar a proteção a essa dimensão nas contratações sustentáveis, ou seja, garantir que as compras públicas sejam um elemento que contribui – e não prejudica – a higidez da ordem econômica. Adotando esse ponto de partida, este artigo pretende abordar como ponto central de discussão o combate a carteis em licitações públicas como uma medida de promoção das compras públicas sustentáveis e, em decorrência dessa questão central, uma pergunta adjacente: qual o papel da advocacia pública nessa tarefa. </w:t>
      </w:r>
    </w:p>
    <w:p w14:paraId="14232EDC" w14:textId="77777777" w:rsidR="007E76FD" w:rsidRPr="00A234C4" w:rsidRDefault="007E76FD" w:rsidP="00A31BC6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24C9787A" w14:textId="77777777" w:rsidR="006D0F3A" w:rsidRPr="0082692E" w:rsidRDefault="000B5967" w:rsidP="000B5967">
      <w:pPr>
        <w:pStyle w:val="PargrafodaLista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82692E">
        <w:rPr>
          <w:rFonts w:ascii="Times New Roman" w:hAnsi="Times New Roman" w:cs="Times New Roman"/>
          <w:b/>
          <w:sz w:val="24"/>
          <w:szCs w:val="24"/>
          <w:lang w:val="pt-BR"/>
        </w:rPr>
        <w:t>CARTEIS: CONCEITO, PREJUÍZO À ADMINISTRAÇÃO E IMPORTÂNCIA DO COMBATE</w:t>
      </w:r>
    </w:p>
    <w:p w14:paraId="601FAFE4" w14:textId="77777777" w:rsidR="007E76FD" w:rsidRPr="0082692E" w:rsidRDefault="007E76FD" w:rsidP="007E76FD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3AABBA49" w14:textId="77777777" w:rsidR="00542D91" w:rsidRPr="0082692E" w:rsidRDefault="003442C2" w:rsidP="00A234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2692E">
        <w:rPr>
          <w:rFonts w:ascii="Times New Roman" w:hAnsi="Times New Roman" w:cs="Times New Roman"/>
          <w:sz w:val="24"/>
          <w:szCs w:val="24"/>
          <w:lang w:val="pt-BR"/>
        </w:rPr>
        <w:t xml:space="preserve">O cartel pode ser definido como “um acordo ilícito entre concorrentes com o intuito de fixar preços ou dividir </w:t>
      </w:r>
      <w:r w:rsidR="00542D91" w:rsidRPr="0082692E">
        <w:rPr>
          <w:rFonts w:ascii="Times New Roman" w:hAnsi="Times New Roman" w:cs="Times New Roman"/>
          <w:sz w:val="24"/>
          <w:szCs w:val="24"/>
          <w:lang w:val="pt-BR"/>
        </w:rPr>
        <w:t>mercado” (</w:t>
      </w:r>
      <w:r w:rsidRPr="0082692E">
        <w:rPr>
          <w:rFonts w:ascii="Times New Roman" w:hAnsi="Times New Roman" w:cs="Times New Roman"/>
          <w:sz w:val="24"/>
          <w:szCs w:val="24"/>
          <w:lang w:val="pt-BR"/>
        </w:rPr>
        <w:t xml:space="preserve">BURNIER, 2021). No ordenamento jurídico, a prática é tipificada como ilícito administrativo pelo art. 36, I, da Lei n° 12.529, de 2011, e como ilícito penal pelo art. 4° da Lei n° 8.137, de 1990. No âmbito das contratações públicas, os carteis consiste no “conluio entre agentes econômicos </w:t>
      </w:r>
      <w:r w:rsidRPr="0082692E">
        <w:rPr>
          <w:rFonts w:ascii="Times New Roman" w:hAnsi="Times New Roman" w:cs="Times New Roman"/>
          <w:sz w:val="24"/>
          <w:szCs w:val="24"/>
          <w:lang w:val="pt-BR"/>
        </w:rPr>
        <w:lastRenderedPageBreak/>
        <w:t>com o objetivo de eliminar ou restringir a concorrência dos processos de bens e ser serviços pela Administração Pública.”</w:t>
      </w:r>
      <w:r w:rsidR="00542D91" w:rsidRPr="0082692E">
        <w:rPr>
          <w:rFonts w:ascii="Times New Roman" w:hAnsi="Times New Roman" w:cs="Times New Roman"/>
          <w:sz w:val="24"/>
          <w:szCs w:val="24"/>
          <w:lang w:val="pt-BR"/>
        </w:rPr>
        <w:t xml:space="preserve"> (CADE, 2019)</w:t>
      </w:r>
      <w:r w:rsidRPr="0082692E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14:paraId="6916510B" w14:textId="77777777" w:rsidR="00542D91" w:rsidRPr="0082692E" w:rsidRDefault="00542D91" w:rsidP="00A234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2692E">
        <w:rPr>
          <w:rFonts w:ascii="Times New Roman" w:hAnsi="Times New Roman" w:cs="Times New Roman"/>
          <w:sz w:val="24"/>
          <w:szCs w:val="24"/>
          <w:lang w:val="pt-BR"/>
        </w:rPr>
        <w:t xml:space="preserve">Como consequência desse conluio, o ente público é submetido a condições menos favoráveis em seus ajustes negociais, a exemplo de preços mais altos e/ou qualidade mais baixa para os itens adquiridos (CADE, 2019). </w:t>
      </w:r>
      <w:r w:rsidR="00A1297F" w:rsidRPr="0082692E">
        <w:rPr>
          <w:rFonts w:ascii="Times New Roman" w:hAnsi="Times New Roman" w:cs="Times New Roman"/>
          <w:spacing w:val="-4"/>
          <w:sz w:val="24"/>
          <w:szCs w:val="24"/>
          <w:lang w:val="pt-BR" w:eastAsia="ja-JP"/>
        </w:rPr>
        <w:t>Em uma perspectiva geral, envolvendo compras públicas e particulares</w:t>
      </w:r>
      <w:r w:rsidRPr="0082692E">
        <w:rPr>
          <w:rFonts w:ascii="Times New Roman" w:hAnsi="Times New Roman" w:cs="Times New Roman"/>
          <w:sz w:val="24"/>
          <w:szCs w:val="24"/>
          <w:lang w:val="pt-BR"/>
        </w:rPr>
        <w:t xml:space="preserve">, a prática de carteis </w:t>
      </w:r>
      <w:r w:rsidR="00516DB5" w:rsidRPr="0082692E">
        <w:rPr>
          <w:rFonts w:ascii="Times New Roman" w:hAnsi="Times New Roman" w:cs="Times New Roman"/>
          <w:sz w:val="24"/>
          <w:szCs w:val="24"/>
          <w:lang w:val="pt-BR"/>
        </w:rPr>
        <w:t xml:space="preserve">resulta em um sobre-preço estimado em 23% </w:t>
      </w:r>
      <w:r w:rsidRPr="0082692E">
        <w:rPr>
          <w:rFonts w:ascii="Times New Roman" w:hAnsi="Times New Roman" w:cs="Times New Roman"/>
          <w:sz w:val="24"/>
          <w:szCs w:val="24"/>
          <w:lang w:val="pt-BR"/>
        </w:rPr>
        <w:t>(CONNOR, 2014).</w:t>
      </w:r>
      <w:r w:rsidR="00516DB5" w:rsidRPr="0082692E">
        <w:rPr>
          <w:rFonts w:ascii="Times New Roman" w:hAnsi="Times New Roman" w:cs="Times New Roman"/>
          <w:sz w:val="24"/>
          <w:szCs w:val="24"/>
          <w:lang w:val="pt-BR"/>
        </w:rPr>
        <w:t xml:space="preserve"> Se considerados dados específicos da América-Latina, esse sobrepreço fica entre 5-25¨%, mas em muitos casos – cerca de 4% do total analisado – o valor pago em razão do conluio pode ser o dobro do que seria cobrado pelo mesmo bem em condições de mercado sem o cartel</w:t>
      </w:r>
      <w:r w:rsidRPr="0082692E">
        <w:rPr>
          <w:rFonts w:ascii="Times New Roman" w:hAnsi="Times New Roman" w:cs="Times New Roman"/>
          <w:sz w:val="24"/>
          <w:szCs w:val="24"/>
          <w:lang w:val="pt-BR"/>
        </w:rPr>
        <w:t xml:space="preserve"> (WB, 2021).</w:t>
      </w:r>
    </w:p>
    <w:p w14:paraId="182FFAA0" w14:textId="77777777" w:rsidR="00542D91" w:rsidRPr="0082692E" w:rsidRDefault="00542D91" w:rsidP="00A234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3AE879F" w14:textId="77777777" w:rsidR="00240E35" w:rsidRPr="0082692E" w:rsidRDefault="00542D91" w:rsidP="00A234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2692E">
        <w:rPr>
          <w:rFonts w:ascii="Times New Roman" w:hAnsi="Times New Roman" w:cs="Times New Roman"/>
          <w:sz w:val="24"/>
          <w:szCs w:val="24"/>
          <w:lang w:val="pt-BR"/>
        </w:rPr>
        <w:t xml:space="preserve">No caso dos carteis em licitação, quanto maior o volume de recursos gastos, maior é o prejuízo repassado à Administração em suas compras. </w:t>
      </w:r>
      <w:r w:rsidR="00077676" w:rsidRPr="0082692E">
        <w:rPr>
          <w:rFonts w:ascii="Times New Roman" w:hAnsi="Times New Roman" w:cs="Times New Roman"/>
          <w:sz w:val="24"/>
          <w:szCs w:val="24"/>
          <w:lang w:val="pt-BR"/>
        </w:rPr>
        <w:t>Nesse ponto,</w:t>
      </w:r>
      <w:r w:rsidR="00516DB5" w:rsidRPr="0082692E">
        <w:rPr>
          <w:rFonts w:ascii="Times New Roman" w:hAnsi="Times New Roman" w:cs="Times New Roman"/>
          <w:sz w:val="24"/>
          <w:szCs w:val="24"/>
          <w:lang w:val="pt-BR"/>
        </w:rPr>
        <w:t xml:space="preserve"> é importante conhecer a representatividade das compras pública no cenário brasileiro. D</w:t>
      </w:r>
      <w:r w:rsidR="00077676" w:rsidRPr="0082692E">
        <w:rPr>
          <w:rFonts w:ascii="Times New Roman" w:hAnsi="Times New Roman" w:cs="Times New Roman"/>
          <w:sz w:val="24"/>
          <w:szCs w:val="24"/>
          <w:lang w:val="pt-BR"/>
        </w:rPr>
        <w:t>ados de 2017 mostram que, no Brasil, cerca de 13,52</w:t>
      </w:r>
      <w:r w:rsidR="00516DB5" w:rsidRPr="0082692E">
        <w:rPr>
          <w:rFonts w:ascii="Times New Roman" w:hAnsi="Times New Roman" w:cs="Times New Roman"/>
          <w:sz w:val="24"/>
          <w:szCs w:val="24"/>
          <w:lang w:val="pt-BR"/>
        </w:rPr>
        <w:t>% do</w:t>
      </w:r>
      <w:r w:rsidR="00077676" w:rsidRPr="0082692E">
        <w:rPr>
          <w:rFonts w:ascii="Times New Roman" w:hAnsi="Times New Roman" w:cs="Times New Roman"/>
          <w:sz w:val="24"/>
          <w:szCs w:val="24"/>
          <w:lang w:val="pt-BR"/>
        </w:rPr>
        <w:t xml:space="preserve"> total de gastos é correspondente aos gastos com compras públicas. O número é menor do que o comparativo da década anterior, já que, em 2007, essas compras alcançam 21,73% de total de gastos do </w:t>
      </w:r>
      <w:r w:rsidR="00240E35" w:rsidRPr="0082692E">
        <w:rPr>
          <w:rFonts w:ascii="Times New Roman" w:hAnsi="Times New Roman" w:cs="Times New Roman"/>
          <w:sz w:val="24"/>
          <w:szCs w:val="24"/>
          <w:lang w:val="pt-BR"/>
        </w:rPr>
        <w:t>governo. Com</w:t>
      </w:r>
      <w:r w:rsidR="00077676" w:rsidRPr="0082692E">
        <w:rPr>
          <w:rFonts w:ascii="Times New Roman" w:hAnsi="Times New Roman" w:cs="Times New Roman"/>
          <w:sz w:val="24"/>
          <w:szCs w:val="24"/>
          <w:lang w:val="pt-BR"/>
        </w:rPr>
        <w:t xml:space="preserve"> relação ao PIB, o Brasil gasta 6,49% em compras públicas, um valor também menor do que o da década anterior, correspondente a 8,39%, em 2007. </w:t>
      </w:r>
    </w:p>
    <w:p w14:paraId="59959AC7" w14:textId="77777777" w:rsidR="00077676" w:rsidRPr="0082692E" w:rsidRDefault="00240E35" w:rsidP="00A234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2692E">
        <w:rPr>
          <w:rFonts w:ascii="Times New Roman" w:hAnsi="Times New Roman" w:cs="Times New Roman"/>
          <w:sz w:val="24"/>
          <w:szCs w:val="24"/>
          <w:lang w:val="pt-BR"/>
        </w:rPr>
        <w:t>Os valores são menores do que a média na américa latina, mas, ainda assim, superiores à média dos países membros da OCDE.</w:t>
      </w:r>
    </w:p>
    <w:p w14:paraId="5B5FB116" w14:textId="77777777" w:rsidR="00077676" w:rsidRDefault="00077676" w:rsidP="00A234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2692E">
        <w:rPr>
          <w:rFonts w:ascii="Times New Roman" w:hAnsi="Times New Roman" w:cs="Times New Roman"/>
          <w:noProof/>
          <w:sz w:val="24"/>
          <w:szCs w:val="24"/>
          <w:lang w:val="pt-BR"/>
        </w:rPr>
        <w:lastRenderedPageBreak/>
        <w:drawing>
          <wp:inline distT="0" distB="0" distL="0" distR="0" wp14:anchorId="4A79EE3E" wp14:editId="42B5920C">
            <wp:extent cx="5822584" cy="4599709"/>
            <wp:effectExtent l="0" t="0" r="698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33850" cy="4608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98F4F" w14:textId="77777777" w:rsidR="00433556" w:rsidRPr="00433556" w:rsidRDefault="00433556" w:rsidP="00A234C4">
      <w:pPr>
        <w:spacing w:line="360" w:lineRule="auto"/>
        <w:jc w:val="both"/>
        <w:rPr>
          <w:rFonts w:ascii="Times New Roman" w:hAnsi="Times New Roman" w:cs="Times New Roman"/>
          <w:sz w:val="18"/>
          <w:szCs w:val="18"/>
          <w:lang w:val="pt-BR"/>
        </w:rPr>
      </w:pPr>
      <w:r w:rsidRPr="00433556">
        <w:rPr>
          <w:rFonts w:ascii="Times New Roman" w:hAnsi="Times New Roman" w:cs="Times New Roman"/>
          <w:sz w:val="18"/>
          <w:szCs w:val="18"/>
        </w:rPr>
        <w:t xml:space="preserve">Fonte: OECD. Government at a Glance: Latin America and the Caribbean. </w:t>
      </w:r>
      <w:r w:rsidRPr="00433556">
        <w:rPr>
          <w:rFonts w:ascii="Times New Roman" w:hAnsi="Times New Roman" w:cs="Times New Roman"/>
          <w:sz w:val="18"/>
          <w:szCs w:val="18"/>
          <w:lang w:val="pt-BR"/>
        </w:rPr>
        <w:t>2020. Disponível em: https://doi.org/10.1787/13130fbb-en. Acesso em 31/08/2023.</w:t>
      </w:r>
    </w:p>
    <w:p w14:paraId="4C9B75E8" w14:textId="77777777" w:rsidR="00542D91" w:rsidRPr="0082692E" w:rsidRDefault="00542D91" w:rsidP="00A234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3072592" w14:textId="77777777" w:rsidR="00516DB5" w:rsidRPr="0082692E" w:rsidRDefault="00240E35" w:rsidP="00516D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2692E">
        <w:rPr>
          <w:rFonts w:ascii="Times New Roman" w:hAnsi="Times New Roman" w:cs="Times New Roman"/>
          <w:sz w:val="24"/>
          <w:szCs w:val="24"/>
          <w:lang w:val="pt-BR"/>
        </w:rPr>
        <w:t>Ao detalhar a composição desse gasto total com compras públicas, nota-se a participação significativa das compras de entes subnacionais e, em especial, dos estados. Do total gasto, a divisão é de 22,89 para o governo central, 32,53, para os governos estaduais e 44,58 para governos locai</w:t>
      </w:r>
      <w:r w:rsidR="00516DB5" w:rsidRPr="0082692E">
        <w:rPr>
          <w:rFonts w:ascii="Times New Roman" w:hAnsi="Times New Roman" w:cs="Times New Roman"/>
          <w:sz w:val="24"/>
          <w:szCs w:val="24"/>
          <w:lang w:val="pt-BR"/>
        </w:rPr>
        <w:t>s.</w:t>
      </w:r>
    </w:p>
    <w:p w14:paraId="4438FA47" w14:textId="77777777" w:rsidR="00A1297F" w:rsidRPr="0082692E" w:rsidRDefault="00240E35" w:rsidP="00516DB5">
      <w:pPr>
        <w:spacing w:line="36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pt-BR" w:eastAsia="ja-JP"/>
        </w:rPr>
      </w:pPr>
      <w:r w:rsidRPr="0082692E">
        <w:rPr>
          <w:rFonts w:ascii="Times New Roman" w:hAnsi="Times New Roman" w:cs="Times New Roman"/>
          <w:spacing w:val="-4"/>
          <w:sz w:val="24"/>
          <w:szCs w:val="24"/>
          <w:lang w:val="pt-BR" w:eastAsia="ja-JP"/>
        </w:rPr>
        <w:t xml:space="preserve">A representatividade das compras públicas no orçamento e no PIB, bem como sua distribuição proporcional entre os entes, ajudam a entender o impacto do prejuízo dos carteis para o Erário dos entes federativos. </w:t>
      </w:r>
      <w:r w:rsidR="00516DB5" w:rsidRPr="0082692E">
        <w:rPr>
          <w:rFonts w:ascii="Times New Roman" w:hAnsi="Times New Roman" w:cs="Times New Roman"/>
          <w:spacing w:val="-4"/>
          <w:sz w:val="24"/>
          <w:szCs w:val="24"/>
          <w:lang w:val="pt-BR" w:eastAsia="ja-JP"/>
        </w:rPr>
        <w:t xml:space="preserve">O aumento de preço decorrente dos carteis em licitação é de 20%, em média. No entanto, levantamentos do banco mundial detalharam esse </w:t>
      </w:r>
      <w:r w:rsidR="00310C5B" w:rsidRPr="0082692E">
        <w:rPr>
          <w:rFonts w:ascii="Times New Roman" w:hAnsi="Times New Roman" w:cs="Times New Roman"/>
          <w:spacing w:val="-4"/>
          <w:sz w:val="24"/>
          <w:szCs w:val="24"/>
          <w:lang w:val="pt-BR" w:eastAsia="ja-JP"/>
        </w:rPr>
        <w:t>sobre-preço</w:t>
      </w:r>
      <w:r w:rsidR="00516DB5" w:rsidRPr="0082692E">
        <w:rPr>
          <w:rFonts w:ascii="Times New Roman" w:hAnsi="Times New Roman" w:cs="Times New Roman"/>
          <w:spacing w:val="-4"/>
          <w:sz w:val="24"/>
          <w:szCs w:val="24"/>
          <w:lang w:val="pt-BR" w:eastAsia="ja-JP"/>
        </w:rPr>
        <w:t xml:space="preserve">, revelando que </w:t>
      </w:r>
      <w:r w:rsidR="00310C5B" w:rsidRPr="0082692E">
        <w:rPr>
          <w:rFonts w:ascii="Times New Roman" w:hAnsi="Times New Roman" w:cs="Times New Roman"/>
          <w:spacing w:val="-4"/>
          <w:sz w:val="24"/>
          <w:szCs w:val="24"/>
          <w:lang w:val="pt-BR" w:eastAsia="ja-JP"/>
        </w:rPr>
        <w:t xml:space="preserve">em pelo menos 14% dos casos o sobre-preço é superior a 100%. </w:t>
      </w:r>
      <w:r w:rsidR="00A1297F" w:rsidRPr="0082692E">
        <w:rPr>
          <w:rFonts w:ascii="Times New Roman" w:hAnsi="Times New Roman" w:cs="Times New Roman"/>
          <w:spacing w:val="-4"/>
          <w:sz w:val="24"/>
          <w:szCs w:val="24"/>
          <w:lang w:val="pt-BR" w:eastAsia="ja-JP"/>
        </w:rPr>
        <w:t xml:space="preserve"> </w:t>
      </w:r>
    </w:p>
    <w:p w14:paraId="58E63E06" w14:textId="77777777" w:rsidR="00A1297F" w:rsidRPr="0082692E" w:rsidRDefault="00A1297F" w:rsidP="00A234C4">
      <w:pPr>
        <w:pStyle w:val="Para"/>
        <w:keepNext/>
        <w:numPr>
          <w:ilvl w:val="0"/>
          <w:numId w:val="0"/>
        </w:numPr>
        <w:spacing w:line="360" w:lineRule="auto"/>
        <w:ind w:left="680"/>
        <w:rPr>
          <w:sz w:val="24"/>
          <w:szCs w:val="24"/>
          <w:lang w:val="pt-BR"/>
        </w:rPr>
      </w:pPr>
    </w:p>
    <w:p w14:paraId="13E660EC" w14:textId="77777777" w:rsidR="00A1297F" w:rsidRDefault="00516DB5" w:rsidP="000B596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92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B0A1D0" wp14:editId="753C7F07">
            <wp:extent cx="4734586" cy="3543795"/>
            <wp:effectExtent l="0" t="0" r="889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34586" cy="354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0F110" w14:textId="77777777" w:rsidR="00433556" w:rsidRPr="00B31FE5" w:rsidRDefault="00433556" w:rsidP="00433556">
      <w:pPr>
        <w:jc w:val="both"/>
        <w:rPr>
          <w:rFonts w:ascii="Times New Roman" w:hAnsi="Times New Roman" w:cs="Times New Roman"/>
          <w:sz w:val="18"/>
          <w:szCs w:val="18"/>
          <w:lang w:val="pt-BR"/>
        </w:rPr>
      </w:pPr>
      <w:r w:rsidRPr="00433556">
        <w:rPr>
          <w:rFonts w:ascii="Times New Roman" w:hAnsi="Times New Roman" w:cs="Times New Roman"/>
          <w:sz w:val="18"/>
          <w:szCs w:val="18"/>
        </w:rPr>
        <w:t xml:space="preserve">Fonte: World Bank. Fixing Markets, Not Prices. </w:t>
      </w:r>
      <w:r w:rsidRPr="00433556">
        <w:rPr>
          <w:rFonts w:ascii="Times New Roman" w:hAnsi="Times New Roman" w:cs="Times New Roman"/>
          <w:sz w:val="18"/>
          <w:szCs w:val="18"/>
          <w:lang w:val="pt-BR"/>
        </w:rPr>
        <w:t xml:space="preserve">Corporate Governance Assessment. 2021. Disponível em: </w:t>
      </w:r>
      <w:r w:rsidR="00000000">
        <w:fldChar w:fldCharType="begin"/>
      </w:r>
      <w:r w:rsidR="00000000" w:rsidRPr="00D77977">
        <w:rPr>
          <w:lang w:val="pt-BR"/>
        </w:rPr>
        <w:instrText>HYPERLINK "https://elibrary.worldbank.org/doi/abs/10.1596/35985" \t "_new"</w:instrText>
      </w:r>
      <w:r w:rsidR="00000000">
        <w:fldChar w:fldCharType="separate"/>
      </w:r>
      <w:r w:rsidRPr="00433556">
        <w:rPr>
          <w:rStyle w:val="Hyperlink"/>
          <w:rFonts w:ascii="Times New Roman" w:hAnsi="Times New Roman" w:cs="Times New Roman"/>
          <w:sz w:val="18"/>
          <w:szCs w:val="18"/>
          <w:lang w:val="pt-BR"/>
        </w:rPr>
        <w:t>https://elibrary.worldbank.org/doi/abs/10.1596/35985</w:t>
      </w:r>
      <w:r w:rsidR="00000000">
        <w:rPr>
          <w:rStyle w:val="Hyperlink"/>
          <w:rFonts w:ascii="Times New Roman" w:hAnsi="Times New Roman" w:cs="Times New Roman"/>
          <w:sz w:val="18"/>
          <w:szCs w:val="18"/>
          <w:lang w:val="pt-BR"/>
        </w:rPr>
        <w:fldChar w:fldCharType="end"/>
      </w:r>
      <w:r w:rsidRPr="00433556">
        <w:rPr>
          <w:rFonts w:ascii="Times New Roman" w:hAnsi="Times New Roman" w:cs="Times New Roman"/>
          <w:sz w:val="18"/>
          <w:szCs w:val="18"/>
          <w:lang w:val="pt-BR"/>
        </w:rPr>
        <w:t xml:space="preserve">. </w:t>
      </w:r>
      <w:r w:rsidRPr="00B31FE5">
        <w:rPr>
          <w:rFonts w:ascii="Times New Roman" w:hAnsi="Times New Roman" w:cs="Times New Roman"/>
          <w:sz w:val="18"/>
          <w:szCs w:val="18"/>
          <w:lang w:val="pt-BR"/>
        </w:rPr>
        <w:t>Acesso em 31/08/2023.</w:t>
      </w:r>
    </w:p>
    <w:p w14:paraId="72CCB68B" w14:textId="77777777" w:rsidR="00433556" w:rsidRPr="00B31FE5" w:rsidRDefault="00433556" w:rsidP="000B596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3283FA7E" w14:textId="77777777" w:rsidR="00310C5B" w:rsidRPr="0082692E" w:rsidRDefault="00310C5B" w:rsidP="000D4FA8">
      <w:pPr>
        <w:pStyle w:val="Para"/>
        <w:numPr>
          <w:ilvl w:val="0"/>
          <w:numId w:val="0"/>
        </w:numPr>
        <w:spacing w:line="360" w:lineRule="auto"/>
        <w:ind w:right="49"/>
        <w:rPr>
          <w:spacing w:val="-4"/>
          <w:sz w:val="24"/>
          <w:szCs w:val="24"/>
          <w:lang w:val="pt-BR" w:eastAsia="ja-JP"/>
        </w:rPr>
      </w:pPr>
      <w:r w:rsidRPr="0082692E">
        <w:rPr>
          <w:spacing w:val="-4"/>
          <w:sz w:val="24"/>
          <w:szCs w:val="24"/>
          <w:lang w:val="pt-BR" w:eastAsia="ja-JP"/>
        </w:rPr>
        <w:t>Os casos de cartel em licitação, do ponto de vista administrativo, são investigados e punidos pelo Conselho Administrativo de Defesa Econômica (CADE). Em 2022, foram julgados 12 casos desse tipo pelo Tribunal Administrativo do CADE, resultado na aplicação de um total de R$ 1.111.529.961,11 (um bilhão cento e onze milhões quinhentos e vinte e nove mil novecentos e sessenta e um reais e onze centavos) aplicados em multas recolhidas ao Fundo de Direitos Difusos. Do total de casos, houve conde</w:t>
      </w:r>
      <w:r w:rsidR="000D4FA8" w:rsidRPr="0082692E">
        <w:rPr>
          <w:spacing w:val="-4"/>
          <w:sz w:val="24"/>
          <w:szCs w:val="24"/>
          <w:lang w:val="pt-BR" w:eastAsia="ja-JP"/>
        </w:rPr>
        <w:t>n</w:t>
      </w:r>
      <w:r w:rsidRPr="0082692E">
        <w:rPr>
          <w:spacing w:val="-4"/>
          <w:sz w:val="24"/>
          <w:szCs w:val="24"/>
          <w:lang w:val="pt-BR" w:eastAsia="ja-JP"/>
        </w:rPr>
        <w:t>ação em 62,5%.</w:t>
      </w:r>
    </w:p>
    <w:p w14:paraId="0C2D8154" w14:textId="77777777" w:rsidR="00542D91" w:rsidRPr="0082692E" w:rsidRDefault="00310C5B" w:rsidP="000D4FA8">
      <w:pPr>
        <w:spacing w:line="360" w:lineRule="auto"/>
        <w:ind w:right="49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2692E">
        <w:rPr>
          <w:rFonts w:ascii="Times New Roman" w:hAnsi="Times New Roman" w:cs="Times New Roman"/>
          <w:sz w:val="24"/>
          <w:szCs w:val="24"/>
          <w:lang w:val="pt-BR"/>
        </w:rPr>
        <w:t>Um caso de destaque julgado em 2022, foi um cartel em licitações públicas de uniformes e kits de materiais escolares</w:t>
      </w:r>
      <w:r w:rsidR="000D4FA8" w:rsidRPr="0082692E">
        <w:rPr>
          <w:rFonts w:ascii="Times New Roman" w:hAnsi="Times New Roman" w:cs="Times New Roman"/>
          <w:sz w:val="24"/>
          <w:szCs w:val="24"/>
          <w:lang w:val="pt-BR"/>
        </w:rPr>
        <w:t>, Processo Administrativo n° 08700.008612/2012-15</w:t>
      </w:r>
      <w:r w:rsidRPr="0082692E">
        <w:rPr>
          <w:rFonts w:ascii="Times New Roman" w:hAnsi="Times New Roman" w:cs="Times New Roman"/>
          <w:sz w:val="24"/>
          <w:szCs w:val="24"/>
          <w:lang w:val="pt-BR"/>
        </w:rPr>
        <w:t xml:space="preserve">. Os conluios ocorreram em diversos Estados, incluindo São Paulo, Rio de Janeiro, Santa Catarina e Goiás, entre 2007 e </w:t>
      </w:r>
      <w:r w:rsidR="000D4FA8" w:rsidRPr="0082692E">
        <w:rPr>
          <w:rFonts w:ascii="Times New Roman" w:hAnsi="Times New Roman" w:cs="Times New Roman"/>
          <w:sz w:val="24"/>
          <w:szCs w:val="24"/>
          <w:lang w:val="pt-BR"/>
        </w:rPr>
        <w:t xml:space="preserve">2012, e ocorriam mediante a fixação de preços, divisão de mercado, subcontratações, designação prévia de vencedores, apresentação de propostas de cobertura dentre outros. </w:t>
      </w:r>
    </w:p>
    <w:p w14:paraId="48C726EB" w14:textId="77777777" w:rsidR="000D4FA8" w:rsidRPr="0082692E" w:rsidRDefault="000D4FA8" w:rsidP="00A234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2692E">
        <w:rPr>
          <w:rFonts w:ascii="Times New Roman" w:hAnsi="Times New Roman" w:cs="Times New Roman"/>
          <w:sz w:val="24"/>
          <w:szCs w:val="24"/>
          <w:lang w:val="pt-BR"/>
        </w:rPr>
        <w:t>No julgamento do caso, estimou-se que a vantagem auferida – ou seja, o sobre-preço aplicado nas contratações – em R$ 21.011.834,00 (vinte e um milhões onze mil oitocentos e trinta e quatro reais).</w:t>
      </w:r>
    </w:p>
    <w:p w14:paraId="1B2CD014" w14:textId="77777777" w:rsidR="000D4FA8" w:rsidRPr="0082692E" w:rsidRDefault="000D4FA8" w:rsidP="00A234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137466A" w14:textId="77777777" w:rsidR="006D0F3A" w:rsidRPr="0082692E" w:rsidRDefault="00A1297F" w:rsidP="000B5967"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82692E">
        <w:rPr>
          <w:rFonts w:ascii="Times New Roman" w:hAnsi="Times New Roman" w:cs="Times New Roman"/>
          <w:b/>
          <w:sz w:val="24"/>
          <w:szCs w:val="24"/>
          <w:lang w:val="pt-BR"/>
        </w:rPr>
        <w:t>O</w:t>
      </w:r>
      <w:r w:rsidR="006D0F3A" w:rsidRPr="0082692E">
        <w:rPr>
          <w:rFonts w:ascii="Times New Roman" w:hAnsi="Times New Roman" w:cs="Times New Roman"/>
          <w:b/>
          <w:sz w:val="24"/>
          <w:szCs w:val="24"/>
          <w:lang w:val="pt-BR"/>
        </w:rPr>
        <w:t xml:space="preserve"> papel da advocacia pública no combate a cartéis </w:t>
      </w:r>
    </w:p>
    <w:p w14:paraId="60951E5B" w14:textId="77777777" w:rsidR="000D4FA8" w:rsidRPr="0082692E" w:rsidRDefault="000D4FA8" w:rsidP="000D4FA8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3BA7EB2" w14:textId="77777777" w:rsidR="00A1297F" w:rsidRPr="0082692E" w:rsidRDefault="00A1297F" w:rsidP="000D4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2692E">
        <w:rPr>
          <w:rFonts w:ascii="Times New Roman" w:hAnsi="Times New Roman" w:cs="Times New Roman"/>
          <w:sz w:val="24"/>
          <w:szCs w:val="24"/>
          <w:lang w:val="pt-BR"/>
        </w:rPr>
        <w:t>A literatura especializada já tem um material substancial sobre as instruções para combater carteis em licitações. Por exemplo, a OCDE possui um manual e, com frequência, realiza revisões/avaliações do cenário de contratações públicas em determinados países. No caso do Brasi</w:t>
      </w:r>
      <w:r w:rsidR="000D4FA8" w:rsidRPr="0082692E">
        <w:rPr>
          <w:rFonts w:ascii="Times New Roman" w:hAnsi="Times New Roman" w:cs="Times New Roman"/>
          <w:sz w:val="24"/>
          <w:szCs w:val="24"/>
          <w:lang w:val="pt-BR"/>
        </w:rPr>
        <w:t>l, foi lançado em 2021 um trabalho de avaliação das compras públicas federais que resultou no relatório “Combate a carteis em licitações Públicas no Brasil: uma revisão das compras públicas federais”</w:t>
      </w:r>
      <w:r w:rsidR="000D4FA8" w:rsidRPr="0082692E">
        <w:rPr>
          <w:rStyle w:val="Refdenotaderodap"/>
          <w:rFonts w:ascii="Times New Roman" w:hAnsi="Times New Roman" w:cs="Times New Roman"/>
          <w:sz w:val="24"/>
          <w:szCs w:val="24"/>
          <w:lang w:val="pt-BR"/>
        </w:rPr>
        <w:footnoteReference w:id="9"/>
      </w:r>
      <w:r w:rsidR="000D4FA8" w:rsidRPr="0082692E">
        <w:rPr>
          <w:rFonts w:ascii="Times New Roman" w:hAnsi="Times New Roman" w:cs="Times New Roman"/>
          <w:sz w:val="24"/>
          <w:szCs w:val="24"/>
          <w:lang w:val="pt-BR"/>
        </w:rPr>
        <w:t xml:space="preserve">.  </w:t>
      </w:r>
    </w:p>
    <w:p w14:paraId="349B533F" w14:textId="77777777" w:rsidR="00A1297F" w:rsidRPr="0082692E" w:rsidRDefault="00A1297F" w:rsidP="000D4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2692E">
        <w:rPr>
          <w:rFonts w:ascii="Times New Roman" w:hAnsi="Times New Roman" w:cs="Times New Roman"/>
          <w:sz w:val="24"/>
          <w:szCs w:val="24"/>
          <w:lang w:val="pt-BR"/>
        </w:rPr>
        <w:t>No plano doméstico, o Conselho Administrativo de Defesa Econômica também possui iniciativas educativas, com a elaboração de guias sobre o tema</w:t>
      </w:r>
      <w:r w:rsidR="000D4FA8" w:rsidRPr="0082692E">
        <w:rPr>
          <w:rFonts w:ascii="Times New Roman" w:hAnsi="Times New Roman" w:cs="Times New Roman"/>
          <w:sz w:val="24"/>
          <w:szCs w:val="24"/>
          <w:lang w:val="pt-BR"/>
        </w:rPr>
        <w:t xml:space="preserve">, como o </w:t>
      </w:r>
      <w:r w:rsidR="0082692E" w:rsidRPr="0082692E">
        <w:rPr>
          <w:rFonts w:ascii="Times New Roman" w:hAnsi="Times New Roman" w:cs="Times New Roman"/>
          <w:sz w:val="24"/>
          <w:szCs w:val="24"/>
          <w:lang w:val="pt-BR"/>
        </w:rPr>
        <w:t>“Guia de Combate a carteis em licitação”</w:t>
      </w:r>
      <w:r w:rsidR="0082692E" w:rsidRPr="0082692E">
        <w:rPr>
          <w:rStyle w:val="Refdenotaderodap"/>
          <w:rFonts w:ascii="Times New Roman" w:hAnsi="Times New Roman" w:cs="Times New Roman"/>
          <w:sz w:val="24"/>
          <w:szCs w:val="24"/>
          <w:lang w:val="pt-BR"/>
        </w:rPr>
        <w:footnoteReference w:id="10"/>
      </w:r>
      <w:r w:rsidR="0082692E" w:rsidRPr="0082692E">
        <w:rPr>
          <w:rFonts w:ascii="Times New Roman" w:hAnsi="Times New Roman" w:cs="Times New Roman"/>
          <w:sz w:val="24"/>
          <w:szCs w:val="24"/>
          <w:lang w:val="pt-BR"/>
        </w:rPr>
        <w:t xml:space="preserve">, lançado em 2019. </w:t>
      </w:r>
    </w:p>
    <w:p w14:paraId="45D576E5" w14:textId="77777777" w:rsidR="00833D4F" w:rsidRPr="0082692E" w:rsidRDefault="00F56F6F" w:rsidP="000D4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2692E">
        <w:rPr>
          <w:rFonts w:ascii="Times New Roman" w:hAnsi="Times New Roman" w:cs="Times New Roman"/>
          <w:sz w:val="24"/>
          <w:szCs w:val="24"/>
          <w:lang w:val="pt-BR"/>
        </w:rPr>
        <w:t xml:space="preserve">Resta entender, diante dessas orientações já consolidadas, quais podem ser os papeis específicos desempenhados pela Advocacia Pública para contribuir com compras públicas mais sustentáveis em sua dimensão econômica. A princípio, é possível identificar </w:t>
      </w:r>
      <w:r w:rsidR="000B5967">
        <w:rPr>
          <w:rFonts w:ascii="Times New Roman" w:hAnsi="Times New Roman" w:cs="Times New Roman"/>
          <w:sz w:val="24"/>
          <w:szCs w:val="24"/>
          <w:lang w:val="pt-BR"/>
        </w:rPr>
        <w:t>duas frentes</w:t>
      </w:r>
      <w:r w:rsidRPr="0082692E">
        <w:rPr>
          <w:rFonts w:ascii="Times New Roman" w:hAnsi="Times New Roman" w:cs="Times New Roman"/>
          <w:sz w:val="24"/>
          <w:szCs w:val="24"/>
          <w:lang w:val="pt-BR"/>
        </w:rPr>
        <w:t xml:space="preserve"> de atuação:</w:t>
      </w:r>
    </w:p>
    <w:p w14:paraId="293F1552" w14:textId="77777777" w:rsidR="00F56F6F" w:rsidRDefault="00F56F6F" w:rsidP="000D4FA8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7421B45E" w14:textId="77777777" w:rsidR="00AB51DC" w:rsidRPr="0082692E" w:rsidRDefault="00F56F6F" w:rsidP="00433556">
      <w:pPr>
        <w:pStyle w:val="PargrafodaLista"/>
        <w:numPr>
          <w:ilvl w:val="0"/>
          <w:numId w:val="9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692E">
        <w:rPr>
          <w:rFonts w:ascii="Times New Roman" w:hAnsi="Times New Roman" w:cs="Times New Roman"/>
          <w:b/>
          <w:sz w:val="24"/>
          <w:szCs w:val="24"/>
        </w:rPr>
        <w:t>Controle</w:t>
      </w:r>
      <w:proofErr w:type="spellEnd"/>
      <w:r w:rsidRPr="00826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51DC" w:rsidRPr="0082692E">
        <w:rPr>
          <w:rFonts w:ascii="Times New Roman" w:hAnsi="Times New Roman" w:cs="Times New Roman"/>
          <w:b/>
          <w:sz w:val="24"/>
          <w:szCs w:val="24"/>
        </w:rPr>
        <w:t xml:space="preserve">da </w:t>
      </w:r>
      <w:proofErr w:type="spellStart"/>
      <w:r w:rsidR="00AB51DC" w:rsidRPr="0082692E">
        <w:rPr>
          <w:rFonts w:ascii="Times New Roman" w:hAnsi="Times New Roman" w:cs="Times New Roman"/>
          <w:b/>
          <w:sz w:val="24"/>
          <w:szCs w:val="24"/>
        </w:rPr>
        <w:t>Administração</w:t>
      </w:r>
      <w:proofErr w:type="spellEnd"/>
    </w:p>
    <w:p w14:paraId="4C116239" w14:textId="77777777" w:rsidR="00AB51DC" w:rsidRDefault="00AB51DC" w:rsidP="00AB51DC">
      <w:pPr>
        <w:rPr>
          <w:rFonts w:ascii="Times New Roman" w:hAnsi="Times New Roman" w:cs="Times New Roman"/>
          <w:sz w:val="24"/>
          <w:szCs w:val="24"/>
        </w:rPr>
      </w:pPr>
    </w:p>
    <w:p w14:paraId="51F20A16" w14:textId="77777777" w:rsidR="005709EF" w:rsidRPr="00A31106" w:rsidRDefault="00AB51DC" w:rsidP="008269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 controle da administração pública pode ser classificado com base em diversos critérios</w:t>
      </w:r>
      <w:r w:rsidR="00B0012E">
        <w:rPr>
          <w:rFonts w:ascii="Times New Roman" w:hAnsi="Times New Roman" w:cs="Times New Roman"/>
          <w:sz w:val="24"/>
          <w:szCs w:val="24"/>
          <w:lang w:val="pt-BR"/>
        </w:rPr>
        <w:t xml:space="preserve"> e um dos mais conhecidos é a divisão entre controle interno e externo. O controle interno é aquele efetivado pelo próprio executivo sobre suas ações</w:t>
      </w:r>
      <w:r w:rsidR="0082692E">
        <w:rPr>
          <w:rFonts w:ascii="Times New Roman" w:hAnsi="Times New Roman" w:cs="Times New Roman"/>
          <w:sz w:val="24"/>
          <w:szCs w:val="24"/>
          <w:lang w:val="pt-BR"/>
        </w:rPr>
        <w:t xml:space="preserve"> (OLIVEIRA, 2018)</w:t>
      </w:r>
      <w:r w:rsidR="00B0012E">
        <w:rPr>
          <w:rFonts w:ascii="Times New Roman" w:hAnsi="Times New Roman" w:cs="Times New Roman"/>
          <w:sz w:val="24"/>
          <w:szCs w:val="24"/>
          <w:lang w:val="pt-BR"/>
        </w:rPr>
        <w:t xml:space="preserve">. Sendo a Advocacia Pública o órgão incumbido de assessorar o Poder Executivo, com exclusividade, </w:t>
      </w:r>
      <w:r w:rsidR="00B0012E" w:rsidRPr="00A31106">
        <w:rPr>
          <w:rFonts w:ascii="Times New Roman" w:hAnsi="Times New Roman" w:cs="Times New Roman"/>
          <w:sz w:val="24"/>
          <w:szCs w:val="24"/>
          <w:lang w:val="pt-BR"/>
        </w:rPr>
        <w:t xml:space="preserve">cabe também a esta figura orientar, fiscalizar e eventualmente, corrigir a atividade administrativa garantindo sua juridicidade. </w:t>
      </w:r>
    </w:p>
    <w:p w14:paraId="4D79BE9D" w14:textId="77777777" w:rsidR="00AB51DC" w:rsidRPr="00A31106" w:rsidRDefault="005709EF" w:rsidP="008269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31106">
        <w:rPr>
          <w:rFonts w:ascii="Times New Roman" w:hAnsi="Times New Roman" w:cs="Times New Roman"/>
          <w:sz w:val="24"/>
          <w:szCs w:val="24"/>
          <w:lang w:val="pt-BR"/>
        </w:rPr>
        <w:t xml:space="preserve">Especificamente no âmbito das contratações públicas, </w:t>
      </w:r>
      <w:r w:rsidR="0082692E" w:rsidRPr="00A31106">
        <w:rPr>
          <w:rFonts w:ascii="Times New Roman" w:hAnsi="Times New Roman" w:cs="Times New Roman"/>
          <w:sz w:val="24"/>
          <w:szCs w:val="24"/>
          <w:lang w:val="pt-BR"/>
        </w:rPr>
        <w:t>o art. 169, d</w:t>
      </w:r>
      <w:r w:rsidRPr="00A31106">
        <w:rPr>
          <w:rFonts w:ascii="Times New Roman" w:hAnsi="Times New Roman" w:cs="Times New Roman"/>
          <w:sz w:val="24"/>
          <w:szCs w:val="24"/>
          <w:lang w:val="pt-BR"/>
        </w:rPr>
        <w:t xml:space="preserve">a Lei n° 14.133 atribui promeniência à atividade de controle da advocacia pública ao prever o controle das licitações em três linhas de defesa: a) primeira linha de defesa: servidores e empregados públicos, agentes de licitação e autoridades que </w:t>
      </w:r>
      <w:r w:rsidRPr="00A31106">
        <w:rPr>
          <w:rFonts w:ascii="Times New Roman" w:hAnsi="Times New Roman" w:cs="Times New Roman"/>
          <w:sz w:val="24"/>
          <w:szCs w:val="24"/>
          <w:lang w:val="pt-BR"/>
        </w:rPr>
        <w:lastRenderedPageBreak/>
        <w:t>atuam na estrutura de governança do órgão ou entidade; b) segunda linha de defesa: unidades de assessoramento jurídico e de controle interno do próprio órgão ou entidade; c) terceira linha de defesa: órgão central de controle interno da Administração e tribunal de contas.</w:t>
      </w:r>
    </w:p>
    <w:p w14:paraId="529277F5" w14:textId="77777777" w:rsidR="00AF4159" w:rsidRPr="00A31106" w:rsidRDefault="0082692E" w:rsidP="008269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31106">
        <w:rPr>
          <w:rFonts w:ascii="Times New Roman" w:hAnsi="Times New Roman" w:cs="Times New Roman"/>
          <w:sz w:val="24"/>
          <w:szCs w:val="24"/>
          <w:lang w:val="pt-BR"/>
        </w:rPr>
        <w:t>Desempenhando</w:t>
      </w:r>
      <w:r w:rsidR="00AF4159" w:rsidRPr="00A31106">
        <w:rPr>
          <w:rFonts w:ascii="Times New Roman" w:hAnsi="Times New Roman" w:cs="Times New Roman"/>
          <w:sz w:val="24"/>
          <w:szCs w:val="24"/>
          <w:lang w:val="pt-BR"/>
        </w:rPr>
        <w:t xml:space="preserve"> sua missão no controle interno, pode a Advocacia Pública orientar os gestores com base na literatura já existente sobre o combate a carteis. Nessa esteira, o CADE</w:t>
      </w:r>
      <w:r w:rsidRPr="00A31106">
        <w:rPr>
          <w:rFonts w:ascii="Times New Roman" w:hAnsi="Times New Roman" w:cs="Times New Roman"/>
          <w:sz w:val="24"/>
          <w:szCs w:val="24"/>
          <w:lang w:val="pt-BR"/>
        </w:rPr>
        <w:t xml:space="preserve"> (2019)</w:t>
      </w:r>
      <w:r w:rsidR="00AF4159" w:rsidRPr="00A31106">
        <w:rPr>
          <w:rFonts w:ascii="Times New Roman" w:hAnsi="Times New Roman" w:cs="Times New Roman"/>
          <w:sz w:val="24"/>
          <w:szCs w:val="24"/>
          <w:lang w:val="pt-BR"/>
        </w:rPr>
        <w:t>, no Guia de Combate a carteis em licitações, aponta a importância de que os editais sejam elaborados com regras pró-competitivas que, simultaneamente, “(i) reduzam a previsibilidade acerca dos principais parâmetros da contratação (tais como valor de referência, quantidade a ser contratada, divisão em lotes, critérios técnicos de habilitação, etc.) e (ii) introduzam, assim, elementos desestabilizadores em mercados nos quais há maior propensão à atuação de cartéis.”</w:t>
      </w:r>
      <w:r w:rsidRPr="00A31106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14:paraId="5810D38F" w14:textId="77777777" w:rsidR="00AF4159" w:rsidRDefault="00AF4159" w:rsidP="008269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Com essas duas finalidades, a Autarquia sumariza algumas medidas práticas que podem ser adotadas para diminuir o risco de ocorrência de carteis nos certames públicos e que, por consequência, podem constar das orientações consultivas expedidas pelos membros da Advocacia Pública</w:t>
      </w:r>
      <w:r w:rsidR="00A31106">
        <w:rPr>
          <w:rFonts w:ascii="Times New Roman" w:hAnsi="Times New Roman" w:cs="Times New Roman"/>
          <w:sz w:val="24"/>
          <w:szCs w:val="24"/>
          <w:lang w:val="pt-BR"/>
        </w:rPr>
        <w:t xml:space="preserve"> (BARTH et. al, 2022):</w:t>
      </w:r>
    </w:p>
    <w:p w14:paraId="189101D3" w14:textId="77777777" w:rsidR="00AF4159" w:rsidRDefault="00AF4159" w:rsidP="00AF4159">
      <w:pPr>
        <w:spacing w:after="0" w:line="240" w:lineRule="auto"/>
        <w:jc w:val="both"/>
        <w:rPr>
          <w:sz w:val="20"/>
          <w:szCs w:val="20"/>
          <w:lang w:val="pt-BR"/>
        </w:rPr>
      </w:pPr>
    </w:p>
    <w:p w14:paraId="0DFFAC36" w14:textId="77777777" w:rsidR="00AF4159" w:rsidRPr="00AF4159" w:rsidRDefault="00AF4159" w:rsidP="0082692E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AF4159">
        <w:rPr>
          <w:b/>
          <w:sz w:val="20"/>
          <w:szCs w:val="20"/>
          <w:lang w:val="pt-BR"/>
        </w:rPr>
        <w:t>(I) Recomendações gerais:</w:t>
      </w:r>
    </w:p>
    <w:p w14:paraId="247E3BB5" w14:textId="77777777" w:rsidR="00AF4159" w:rsidRPr="00AF4159" w:rsidRDefault="00AF4159" w:rsidP="0082692E">
      <w:pPr>
        <w:spacing w:after="0" w:line="240" w:lineRule="auto"/>
        <w:ind w:left="2268"/>
        <w:jc w:val="both"/>
        <w:rPr>
          <w:sz w:val="20"/>
          <w:szCs w:val="20"/>
          <w:lang w:val="pt-BR"/>
        </w:rPr>
      </w:pPr>
      <w:r w:rsidRPr="00AF4159">
        <w:rPr>
          <w:sz w:val="20"/>
          <w:szCs w:val="20"/>
          <w:lang w:val="pt-BR"/>
        </w:rPr>
        <w:t xml:space="preserve">•Adoção da Declaração de Elaboração Independente de Proposta, nos termos da Instrução Normativa do Ministério do Planejamento, Orçamento e Gestão nº 02, de 16 de setembro de 2009, de forma a exigir que cada licitante garanta, por intermédio de documento assinado por seu representante legal, que sua proposta comercial e lances tenham sido elaborados sem qualquer tipo de compartilhamento de informação comercial sensível com empresa concorrente. </w:t>
      </w:r>
    </w:p>
    <w:p w14:paraId="19C5490D" w14:textId="77777777" w:rsidR="00AF4159" w:rsidRPr="00AF4159" w:rsidRDefault="00AF4159" w:rsidP="0082692E">
      <w:pPr>
        <w:spacing w:after="0" w:line="240" w:lineRule="auto"/>
        <w:ind w:left="2268"/>
        <w:jc w:val="both"/>
        <w:rPr>
          <w:sz w:val="20"/>
          <w:szCs w:val="20"/>
          <w:lang w:val="pt-BR"/>
        </w:rPr>
      </w:pPr>
      <w:r w:rsidRPr="00AF4159">
        <w:rPr>
          <w:sz w:val="20"/>
          <w:szCs w:val="20"/>
          <w:lang w:val="pt-BR"/>
        </w:rPr>
        <w:t>• Vedação da divulgação do valor de reserva/valor de referência, nos moldes do Regime Diferenciado de Contratação (RDC), conforme Lei nº 12.462, de 4 de agosto de 2011. [com a nova lei de licitações e contratos, a regra passa a ser não divulgação de valores, mas a orientação permanece útil diante da ressalva constante do [ARTIGO].</w:t>
      </w:r>
    </w:p>
    <w:p w14:paraId="40903756" w14:textId="77777777" w:rsidR="00AF4159" w:rsidRPr="00AF4159" w:rsidRDefault="00AF4159" w:rsidP="0082692E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AF4159">
        <w:rPr>
          <w:sz w:val="20"/>
          <w:szCs w:val="20"/>
          <w:lang w:val="pt-BR"/>
        </w:rPr>
        <w:t xml:space="preserve">• Avaliar a pertinência da adoção de leilões simultâneos - quando houver mais de uma concessão relativa a objeto semelhante – de forma a dificultar a divisão de mercado (estratégia facilitada pela eventual adoção de leilões sequenciais). • Planejamento de leilões simultâneos que busquem licitar projetos complementares – seja complementaridade </w:t>
      </w:r>
      <w:proofErr w:type="spellStart"/>
      <w:r w:rsidRPr="00AF4159">
        <w:rPr>
          <w:sz w:val="20"/>
          <w:szCs w:val="20"/>
          <w:lang w:val="pt-BR"/>
        </w:rPr>
        <w:t>intra-leilão</w:t>
      </w:r>
      <w:proofErr w:type="spellEnd"/>
      <w:r w:rsidRPr="00AF4159">
        <w:rPr>
          <w:sz w:val="20"/>
          <w:szCs w:val="20"/>
          <w:lang w:val="pt-BR"/>
        </w:rPr>
        <w:t>, seja com projetos já licitados anteriormente – de maneira a possibilitar que seja(m) criada(s) situação(</w:t>
      </w:r>
      <w:proofErr w:type="spellStart"/>
      <w:r w:rsidRPr="00AF4159">
        <w:rPr>
          <w:sz w:val="20"/>
          <w:szCs w:val="20"/>
          <w:lang w:val="pt-BR"/>
        </w:rPr>
        <w:t>ões</w:t>
      </w:r>
      <w:proofErr w:type="spellEnd"/>
      <w:r w:rsidRPr="00AF4159">
        <w:rPr>
          <w:sz w:val="20"/>
          <w:szCs w:val="20"/>
          <w:lang w:val="pt-BR"/>
        </w:rPr>
        <w:t xml:space="preserve">) de valoração </w:t>
      </w:r>
      <w:proofErr w:type="spellStart"/>
      <w:r w:rsidRPr="00AF4159">
        <w:rPr>
          <w:sz w:val="20"/>
          <w:szCs w:val="20"/>
          <w:lang w:val="pt-BR"/>
        </w:rPr>
        <w:t>super-aditiva</w:t>
      </w:r>
      <w:proofErr w:type="spellEnd"/>
      <w:r w:rsidRPr="00AF4159">
        <w:rPr>
          <w:sz w:val="20"/>
          <w:szCs w:val="20"/>
          <w:lang w:val="pt-BR"/>
        </w:rPr>
        <w:t xml:space="preserve"> nos leilões, atraindo tanto empresas já atuantes no mercado, quanto possíveis entrantes.</w:t>
      </w:r>
    </w:p>
    <w:p w14:paraId="77A7C03F" w14:textId="77777777" w:rsidR="00AF4159" w:rsidRPr="00AF4159" w:rsidRDefault="00AF4159" w:rsidP="0082692E">
      <w:pPr>
        <w:spacing w:after="0" w:line="240" w:lineRule="auto"/>
        <w:ind w:left="2268"/>
        <w:jc w:val="both"/>
        <w:rPr>
          <w:sz w:val="20"/>
          <w:szCs w:val="20"/>
          <w:lang w:val="pt-BR"/>
        </w:rPr>
      </w:pPr>
      <w:r w:rsidRPr="00AF4159">
        <w:rPr>
          <w:sz w:val="20"/>
          <w:szCs w:val="20"/>
          <w:lang w:val="pt-BR"/>
        </w:rPr>
        <w:t xml:space="preserve">• Avaliar possibilidade de utilizar desenhos híbridos de leilão, nos moldes do “modo combinado de disputa” do Regime Diferenciado de Contratação (RDC), conforme artigos 23 e 24 do Decreto nº 7.581, de 11 de outubro de 2011. </w:t>
      </w:r>
    </w:p>
    <w:p w14:paraId="79872133" w14:textId="77777777" w:rsidR="00AF4159" w:rsidRPr="00AF4159" w:rsidRDefault="00AF4159" w:rsidP="0082692E">
      <w:pPr>
        <w:spacing w:after="0" w:line="240" w:lineRule="auto"/>
        <w:ind w:left="2268"/>
        <w:jc w:val="both"/>
        <w:rPr>
          <w:sz w:val="20"/>
          <w:szCs w:val="20"/>
          <w:lang w:val="pt-BR"/>
        </w:rPr>
      </w:pPr>
      <w:r w:rsidRPr="00AF4159">
        <w:rPr>
          <w:sz w:val="20"/>
          <w:szCs w:val="20"/>
          <w:lang w:val="pt-BR"/>
        </w:rPr>
        <w:t>• Garantir que os esclarecimentos relacionados ao Edital – prestados aos interessados na fase que antecede a apresentação das propostas – sejam realizados em ambiente virtual, de forma a não permitir a identificação das empresas.</w:t>
      </w:r>
    </w:p>
    <w:p w14:paraId="5011AC85" w14:textId="77777777" w:rsidR="00AF4159" w:rsidRPr="00AF4159" w:rsidRDefault="00AF4159" w:rsidP="0082692E">
      <w:pPr>
        <w:spacing w:after="0" w:line="240" w:lineRule="auto"/>
        <w:ind w:left="2268"/>
        <w:jc w:val="both"/>
        <w:rPr>
          <w:sz w:val="20"/>
          <w:szCs w:val="20"/>
          <w:lang w:val="pt-BR"/>
        </w:rPr>
      </w:pPr>
      <w:r w:rsidRPr="00AF4159">
        <w:rPr>
          <w:sz w:val="20"/>
          <w:szCs w:val="20"/>
          <w:lang w:val="pt-BR"/>
        </w:rPr>
        <w:t xml:space="preserve"> • Evitar, tanto na fase interna quanto na fase externa, que existam oportunidades para que representantes das eventuais empresas interessadas se encontrem presencialmente.</w:t>
      </w:r>
    </w:p>
    <w:p w14:paraId="5114420F" w14:textId="77777777" w:rsidR="00AF4159" w:rsidRPr="00AF4159" w:rsidRDefault="00AF4159" w:rsidP="0082692E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14:paraId="113707D4" w14:textId="77777777" w:rsidR="00AF4159" w:rsidRPr="00AF4159" w:rsidRDefault="00AF4159" w:rsidP="0082692E">
      <w:pPr>
        <w:spacing w:after="0" w:line="240" w:lineRule="auto"/>
        <w:ind w:left="2268"/>
        <w:jc w:val="both"/>
        <w:rPr>
          <w:b/>
          <w:sz w:val="20"/>
          <w:szCs w:val="20"/>
          <w:lang w:val="pt-BR"/>
        </w:rPr>
      </w:pPr>
      <w:r w:rsidRPr="00AF4159">
        <w:rPr>
          <w:b/>
          <w:sz w:val="20"/>
          <w:szCs w:val="20"/>
          <w:lang w:val="pt-BR"/>
        </w:rPr>
        <w:t xml:space="preserve">(II) Recomendações para desenho de editais: </w:t>
      </w:r>
    </w:p>
    <w:p w14:paraId="07340358" w14:textId="77777777" w:rsidR="00AF4159" w:rsidRPr="00AF4159" w:rsidRDefault="00AF4159" w:rsidP="0082692E">
      <w:pPr>
        <w:spacing w:after="0" w:line="240" w:lineRule="auto"/>
        <w:ind w:left="2268"/>
        <w:jc w:val="both"/>
        <w:rPr>
          <w:sz w:val="20"/>
          <w:szCs w:val="20"/>
          <w:lang w:val="pt-BR"/>
        </w:rPr>
      </w:pPr>
      <w:r w:rsidRPr="00AF4159">
        <w:rPr>
          <w:sz w:val="20"/>
          <w:szCs w:val="20"/>
          <w:lang w:val="pt-BR"/>
        </w:rPr>
        <w:t xml:space="preserve">• Consórcios: avaliar a adoção de critérios que estimulem a competitividade, de forma a incentivar a participação de “entrantes” no mercado e evitar que tal instituto seja utilizado para “redução estratégica da demanda” (fato prejudicial para a valoração do ativo, na perspectiva </w:t>
      </w:r>
      <w:proofErr w:type="gramStart"/>
      <w:r w:rsidRPr="00AF4159">
        <w:rPr>
          <w:sz w:val="20"/>
          <w:szCs w:val="20"/>
          <w:lang w:val="pt-BR"/>
        </w:rPr>
        <w:t>do concedente</w:t>
      </w:r>
      <w:proofErr w:type="gramEnd"/>
      <w:r w:rsidRPr="00AF4159">
        <w:rPr>
          <w:sz w:val="20"/>
          <w:szCs w:val="20"/>
          <w:lang w:val="pt-BR"/>
        </w:rPr>
        <w:t xml:space="preserve">). </w:t>
      </w:r>
    </w:p>
    <w:p w14:paraId="71710AB4" w14:textId="77777777" w:rsidR="00AF4159" w:rsidRPr="00AF4159" w:rsidRDefault="00AF4159" w:rsidP="0082692E">
      <w:pPr>
        <w:spacing w:after="0" w:line="240" w:lineRule="auto"/>
        <w:ind w:left="2268"/>
        <w:jc w:val="both"/>
        <w:rPr>
          <w:sz w:val="20"/>
          <w:szCs w:val="20"/>
          <w:lang w:val="pt-BR"/>
        </w:rPr>
      </w:pPr>
      <w:r w:rsidRPr="00AF4159">
        <w:rPr>
          <w:sz w:val="20"/>
          <w:szCs w:val="20"/>
          <w:lang w:val="pt-BR"/>
        </w:rPr>
        <w:t xml:space="preserve">• Subcontratação: estabelecer critério para controle e cadastro de empresas subcontratadas, com registro obrigatório, a fim de evitar a utilização do instituto como forma de pagamento lateral e cartelização. </w:t>
      </w:r>
    </w:p>
    <w:p w14:paraId="18B47D06" w14:textId="77777777" w:rsidR="00AF4159" w:rsidRPr="00AF4159" w:rsidRDefault="00AF4159" w:rsidP="0082692E">
      <w:pPr>
        <w:spacing w:after="0" w:line="240" w:lineRule="auto"/>
        <w:ind w:left="2268"/>
        <w:jc w:val="both"/>
        <w:rPr>
          <w:sz w:val="20"/>
          <w:szCs w:val="20"/>
          <w:lang w:val="pt-BR"/>
        </w:rPr>
      </w:pPr>
      <w:r w:rsidRPr="00AF4159">
        <w:rPr>
          <w:sz w:val="20"/>
          <w:szCs w:val="20"/>
          <w:lang w:val="pt-BR"/>
        </w:rPr>
        <w:t xml:space="preserve">• Criação de incentivos para empresas “entrantes” no que tange aos critérios de pontuação para avaliação técnica das propostas. </w:t>
      </w:r>
    </w:p>
    <w:p w14:paraId="5F2D1CBB" w14:textId="77777777" w:rsidR="00AF4159" w:rsidRPr="00AF4159" w:rsidRDefault="00AF4159" w:rsidP="0082692E">
      <w:pPr>
        <w:spacing w:after="0" w:line="240" w:lineRule="auto"/>
        <w:ind w:left="2268"/>
        <w:jc w:val="both"/>
        <w:rPr>
          <w:sz w:val="20"/>
          <w:szCs w:val="20"/>
          <w:lang w:val="pt-BR"/>
        </w:rPr>
      </w:pPr>
      <w:r w:rsidRPr="00AF4159">
        <w:rPr>
          <w:sz w:val="20"/>
          <w:szCs w:val="20"/>
          <w:lang w:val="pt-BR"/>
        </w:rPr>
        <w:t>• Exigências diferenciadas quanto ao seguro-garantia (Agência Brasileira Gestora de Fundos Garantidores e Garantias S.A. e Fundo Garantidor de Infraestrutura), de forma a incentivar a competitividade nos leilões.</w:t>
      </w:r>
    </w:p>
    <w:p w14:paraId="60B40BB2" w14:textId="77777777" w:rsidR="00AF4159" w:rsidRPr="00AF4159" w:rsidRDefault="00AF4159" w:rsidP="0082692E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14:paraId="76319CBA" w14:textId="77777777" w:rsidR="00AF4159" w:rsidRPr="00AF4159" w:rsidRDefault="00AF4159" w:rsidP="0082692E">
      <w:pPr>
        <w:spacing w:after="0" w:line="240" w:lineRule="auto"/>
        <w:ind w:left="2268"/>
        <w:jc w:val="both"/>
        <w:rPr>
          <w:b/>
          <w:sz w:val="20"/>
          <w:szCs w:val="20"/>
          <w:lang w:val="pt-BR"/>
        </w:rPr>
      </w:pPr>
      <w:r w:rsidRPr="00AF4159">
        <w:rPr>
          <w:b/>
          <w:sz w:val="20"/>
          <w:szCs w:val="20"/>
          <w:lang w:val="pt-BR"/>
        </w:rPr>
        <w:t xml:space="preserve">(III) Recomendações para durante o certame: </w:t>
      </w:r>
    </w:p>
    <w:p w14:paraId="68568F71" w14:textId="77777777" w:rsidR="00AF4159" w:rsidRPr="00AF4159" w:rsidRDefault="00AF4159" w:rsidP="0082692E">
      <w:pPr>
        <w:spacing w:after="0" w:line="240" w:lineRule="auto"/>
        <w:ind w:left="2268"/>
        <w:jc w:val="both"/>
        <w:rPr>
          <w:sz w:val="20"/>
          <w:szCs w:val="20"/>
          <w:lang w:val="pt-BR"/>
        </w:rPr>
      </w:pPr>
      <w:r w:rsidRPr="00AF4159">
        <w:rPr>
          <w:sz w:val="20"/>
          <w:szCs w:val="20"/>
          <w:lang w:val="pt-BR"/>
        </w:rPr>
        <w:t>• Utilizar sistema informatizado específico para realização do leilão, que contemple as especificidades das regras42, de forma a garantir:</w:t>
      </w:r>
    </w:p>
    <w:p w14:paraId="5BC9D643" w14:textId="77777777" w:rsidR="00AF4159" w:rsidRPr="00AF4159" w:rsidRDefault="00AF4159" w:rsidP="0082692E">
      <w:pPr>
        <w:spacing w:after="0" w:line="240" w:lineRule="auto"/>
        <w:ind w:left="2268"/>
        <w:jc w:val="both"/>
        <w:rPr>
          <w:sz w:val="20"/>
          <w:szCs w:val="20"/>
          <w:lang w:val="pt-BR"/>
        </w:rPr>
      </w:pPr>
      <w:r w:rsidRPr="00AF4159">
        <w:rPr>
          <w:sz w:val="20"/>
          <w:szCs w:val="20"/>
          <w:lang w:val="pt-BR"/>
        </w:rPr>
        <w:t xml:space="preserve">o Ambiente de teste para simular o leilão. </w:t>
      </w:r>
    </w:p>
    <w:p w14:paraId="692DBDFA" w14:textId="77777777" w:rsidR="00AF4159" w:rsidRPr="00AF4159" w:rsidRDefault="00AF4159" w:rsidP="0082692E">
      <w:pPr>
        <w:spacing w:after="0" w:line="240" w:lineRule="auto"/>
        <w:ind w:left="2268"/>
        <w:jc w:val="both"/>
        <w:rPr>
          <w:sz w:val="20"/>
          <w:szCs w:val="20"/>
          <w:lang w:val="pt-BR"/>
        </w:rPr>
      </w:pPr>
      <w:r w:rsidRPr="00AF4159">
        <w:rPr>
          <w:sz w:val="20"/>
          <w:szCs w:val="20"/>
          <w:lang w:val="pt-BR"/>
        </w:rPr>
        <w:t>o Sigilo em relação aos participantes e aos lances apresentados.</w:t>
      </w:r>
    </w:p>
    <w:p w14:paraId="1ADE0068" w14:textId="77777777" w:rsidR="00AF4159" w:rsidRDefault="00AF4159" w:rsidP="0082692E">
      <w:pPr>
        <w:spacing w:after="0" w:line="240" w:lineRule="auto"/>
        <w:ind w:left="2268"/>
        <w:jc w:val="both"/>
        <w:rPr>
          <w:sz w:val="20"/>
          <w:szCs w:val="20"/>
          <w:lang w:val="pt-BR"/>
        </w:rPr>
      </w:pPr>
      <w:r w:rsidRPr="00AF4159">
        <w:rPr>
          <w:sz w:val="20"/>
          <w:szCs w:val="20"/>
          <w:lang w:val="pt-BR"/>
        </w:rPr>
        <w:t>• Evitar que existam momentos presenciais, de forma a impedir que representantes das empresas participantes se encontrem durante o leilão.</w:t>
      </w:r>
    </w:p>
    <w:p w14:paraId="51C24E6D" w14:textId="77777777" w:rsidR="00AF4159" w:rsidRPr="00AF4159" w:rsidRDefault="00AF4159" w:rsidP="0082692E">
      <w:pPr>
        <w:spacing w:after="0" w:line="240" w:lineRule="auto"/>
        <w:ind w:left="2268"/>
        <w:jc w:val="both"/>
        <w:rPr>
          <w:sz w:val="20"/>
          <w:szCs w:val="20"/>
          <w:lang w:val="pt-BR"/>
        </w:rPr>
      </w:pPr>
    </w:p>
    <w:p w14:paraId="264791BA" w14:textId="77777777" w:rsidR="00AF4159" w:rsidRPr="00AF4159" w:rsidRDefault="00AF4159" w:rsidP="0082692E">
      <w:pPr>
        <w:spacing w:after="0" w:line="240" w:lineRule="auto"/>
        <w:ind w:left="2268"/>
        <w:jc w:val="both"/>
        <w:rPr>
          <w:b/>
          <w:sz w:val="20"/>
          <w:szCs w:val="20"/>
          <w:lang w:val="pt-BR"/>
        </w:rPr>
      </w:pPr>
      <w:r w:rsidRPr="00AF4159">
        <w:rPr>
          <w:b/>
          <w:sz w:val="20"/>
          <w:szCs w:val="20"/>
          <w:lang w:val="pt-BR"/>
        </w:rPr>
        <w:t xml:space="preserve">(IV) Recomendações sobre a especificidade de cada mercado e certame: </w:t>
      </w:r>
    </w:p>
    <w:p w14:paraId="22AE5627" w14:textId="77777777" w:rsidR="00AF4159" w:rsidRPr="00AF4159" w:rsidRDefault="00AF4159" w:rsidP="0082692E">
      <w:pPr>
        <w:spacing w:after="0" w:line="240" w:lineRule="auto"/>
        <w:ind w:left="2268"/>
        <w:jc w:val="both"/>
        <w:rPr>
          <w:sz w:val="20"/>
          <w:szCs w:val="20"/>
          <w:lang w:val="pt-BR"/>
        </w:rPr>
      </w:pPr>
      <w:r w:rsidRPr="00AF4159">
        <w:rPr>
          <w:sz w:val="20"/>
          <w:szCs w:val="20"/>
          <w:lang w:val="pt-BR"/>
        </w:rPr>
        <w:t xml:space="preserve">• Cada mercado possui especificidades, regulamentações e necessidades que podem impactar, de forma distinta, o desenho licitatório. A título de exemplo, necessidades regulatórias, técnicas, de qualidade, de segurança e até mesmo de concorrência no mercado durante o período de concessão devem ser sopesados em face da necessidade de estímulo à concorrência no processo licitatório em si, a fim de se atingir um equilíbrio ideal para o desenho da concessão e do edital. </w:t>
      </w:r>
    </w:p>
    <w:p w14:paraId="152BD7E2" w14:textId="77777777" w:rsidR="00AF4159" w:rsidRPr="00AF4159" w:rsidRDefault="00AF4159" w:rsidP="0082692E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AF4159">
        <w:rPr>
          <w:sz w:val="20"/>
          <w:szCs w:val="20"/>
          <w:lang w:val="pt-BR"/>
        </w:rPr>
        <w:t>• Ter uma base de dados que consolide informações relevantes sobre licitações é essencial para uma persecução a cartéis em licitações efetiva, seja por parte dos órgãos licitantes, seja por parte de outras autoridades. Isso porque, o efetivo monitoramento dos procedimentos licitatórios pode ter um efeito dissuasório, além de facilitar a detecção de cartéis.</w:t>
      </w:r>
    </w:p>
    <w:p w14:paraId="4E05B80A" w14:textId="77777777" w:rsidR="00AF4159" w:rsidRDefault="00AF4159" w:rsidP="0082692E">
      <w:pPr>
        <w:ind w:left="2268"/>
        <w:rPr>
          <w:rFonts w:ascii="Times New Roman" w:hAnsi="Times New Roman" w:cs="Times New Roman"/>
          <w:sz w:val="24"/>
          <w:szCs w:val="24"/>
          <w:lang w:val="pt-BR"/>
        </w:rPr>
      </w:pPr>
    </w:p>
    <w:p w14:paraId="4C7247A6" w14:textId="77777777" w:rsidR="00F56F6F" w:rsidRPr="002340A3" w:rsidRDefault="00582AEA" w:rsidP="008269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340A3">
        <w:rPr>
          <w:rFonts w:ascii="Times New Roman" w:hAnsi="Times New Roman" w:cs="Times New Roman"/>
          <w:sz w:val="24"/>
          <w:szCs w:val="24"/>
          <w:lang w:val="pt-BR"/>
        </w:rPr>
        <w:t>Além da aplicação de orientações já existentes, a advocacia pública também pode contribuir para o combate a carteis utilizando os meios de comunicação de possíveis ilícitos às autoridades compentetes. Hoje, a prática de carteis em licitação gera responsabilidade administrativa</w:t>
      </w:r>
      <w:r w:rsidR="0082692E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2340A3">
        <w:rPr>
          <w:rFonts w:ascii="Times New Roman" w:hAnsi="Times New Roman" w:cs="Times New Roman"/>
          <w:sz w:val="24"/>
          <w:szCs w:val="24"/>
          <w:lang w:val="pt-BR"/>
        </w:rPr>
        <w:t xml:space="preserve"> criminal</w:t>
      </w:r>
      <w:r w:rsidR="0082692E">
        <w:rPr>
          <w:rFonts w:ascii="Times New Roman" w:hAnsi="Times New Roman" w:cs="Times New Roman"/>
          <w:sz w:val="24"/>
          <w:szCs w:val="24"/>
          <w:lang w:val="pt-BR"/>
        </w:rPr>
        <w:t xml:space="preserve"> e cível.</w:t>
      </w:r>
    </w:p>
    <w:p w14:paraId="57339A59" w14:textId="77777777" w:rsidR="00582AEA" w:rsidRPr="002340A3" w:rsidRDefault="00582AEA" w:rsidP="008269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340A3">
        <w:rPr>
          <w:rFonts w:ascii="Times New Roman" w:hAnsi="Times New Roman" w:cs="Times New Roman"/>
          <w:sz w:val="24"/>
          <w:szCs w:val="24"/>
          <w:lang w:val="pt-BR"/>
        </w:rPr>
        <w:t xml:space="preserve">Do ponto de vista administrativo, compete ao Conselho Administrativo de Defesa Econômica realizar a repressão aos ilícitos econômicos, com atividade investigativa e punitiva de pessoas físicas ou jurídicas envolvidas em condutas anticompetitivas. Os meios acessíveis à Advocacia Pública são as representações e o clique denuncia disponibilizados pelo CADE. </w:t>
      </w:r>
    </w:p>
    <w:p w14:paraId="71B52983" w14:textId="77777777" w:rsidR="00582AEA" w:rsidRPr="002340A3" w:rsidRDefault="00582AEA" w:rsidP="008269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340A3">
        <w:rPr>
          <w:rFonts w:ascii="Times New Roman" w:hAnsi="Times New Roman" w:cs="Times New Roman"/>
          <w:sz w:val="24"/>
          <w:szCs w:val="24"/>
          <w:lang w:val="pt-BR"/>
        </w:rPr>
        <w:t xml:space="preserve">As representações podem ser feitas por qualquer interessado diante da existência de indício de infração contra a ordem econômica (artigo 66, § 1º da Lei nº 12.529/2011). Já o clique denúncia é uma ferramenta </w:t>
      </w:r>
      <w:r w:rsidRPr="002340A3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disponibilizada no sítio eletrônico da autarquia e por meio telefônico pela qualquer </w:t>
      </w:r>
      <w:r w:rsidR="00177F6D" w:rsidRPr="002340A3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2340A3">
        <w:rPr>
          <w:rFonts w:ascii="Times New Roman" w:hAnsi="Times New Roman" w:cs="Times New Roman"/>
          <w:sz w:val="24"/>
          <w:szCs w:val="24"/>
          <w:lang w:val="pt-BR"/>
        </w:rPr>
        <w:t>idadão pode realizar uma denúncia, dispensada a formalidade da representação</w:t>
      </w:r>
      <w:r w:rsidR="0082692E">
        <w:rPr>
          <w:rStyle w:val="Refdenotaderodap"/>
          <w:rFonts w:ascii="Times New Roman" w:hAnsi="Times New Roman" w:cs="Times New Roman"/>
          <w:sz w:val="24"/>
          <w:szCs w:val="24"/>
          <w:lang w:val="pt-BR"/>
        </w:rPr>
        <w:footnoteReference w:id="11"/>
      </w:r>
      <w:r w:rsidRPr="002340A3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14:paraId="4E0676FB" w14:textId="77777777" w:rsidR="00177F6D" w:rsidRPr="002340A3" w:rsidRDefault="00177F6D" w:rsidP="008269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340A3">
        <w:rPr>
          <w:rFonts w:ascii="Times New Roman" w:hAnsi="Times New Roman" w:cs="Times New Roman"/>
          <w:sz w:val="24"/>
          <w:szCs w:val="24"/>
          <w:lang w:val="pt-BR"/>
        </w:rPr>
        <w:t xml:space="preserve">Ainda no âmbito administrativo, </w:t>
      </w:r>
      <w:r w:rsidR="00DF4EEC" w:rsidRPr="002340A3">
        <w:rPr>
          <w:rFonts w:ascii="Times New Roman" w:hAnsi="Times New Roman" w:cs="Times New Roman"/>
          <w:sz w:val="24"/>
          <w:szCs w:val="24"/>
          <w:lang w:val="pt-BR"/>
        </w:rPr>
        <w:t xml:space="preserve">também é cabível a comunicação para órgãos de controle interno, caso das </w:t>
      </w:r>
      <w:r w:rsidR="0082692E">
        <w:rPr>
          <w:rFonts w:ascii="Times New Roman" w:hAnsi="Times New Roman" w:cs="Times New Roman"/>
          <w:sz w:val="24"/>
          <w:szCs w:val="24"/>
          <w:lang w:val="pt-BR"/>
        </w:rPr>
        <w:t>Co</w:t>
      </w:r>
      <w:r w:rsidR="00DF4EEC" w:rsidRPr="002340A3">
        <w:rPr>
          <w:rFonts w:ascii="Times New Roman" w:hAnsi="Times New Roman" w:cs="Times New Roman"/>
          <w:sz w:val="24"/>
          <w:szCs w:val="24"/>
          <w:lang w:val="pt-BR"/>
        </w:rPr>
        <w:t>ntroladorias</w:t>
      </w:r>
      <w:r w:rsidR="0082692E">
        <w:rPr>
          <w:rFonts w:ascii="Times New Roman" w:hAnsi="Times New Roman" w:cs="Times New Roman"/>
          <w:sz w:val="24"/>
          <w:szCs w:val="24"/>
          <w:lang w:val="pt-BR"/>
        </w:rPr>
        <w:t>-Gerais dos Estado</w:t>
      </w:r>
      <w:r w:rsidR="00DF4EEC" w:rsidRPr="002340A3">
        <w:rPr>
          <w:rFonts w:ascii="Times New Roman" w:hAnsi="Times New Roman" w:cs="Times New Roman"/>
          <w:sz w:val="24"/>
          <w:szCs w:val="24"/>
          <w:lang w:val="pt-BR"/>
        </w:rPr>
        <w:t>s, que, em regra, são incumbid</w:t>
      </w:r>
      <w:r w:rsidR="0082692E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DF4EEC" w:rsidRPr="002340A3">
        <w:rPr>
          <w:rFonts w:ascii="Times New Roman" w:hAnsi="Times New Roman" w:cs="Times New Roman"/>
          <w:sz w:val="24"/>
          <w:szCs w:val="24"/>
          <w:lang w:val="pt-BR"/>
        </w:rPr>
        <w:t>s da competência de apurar, processar e julgar os ilícitos que atentam contra o patrimônio público, dentre os quais encontra-se a tentativa de frustrar ou fraudar o caráter competitivo da licitação. Exemplo disso é o que ocorre no caso da União, com a Controladoria-Geral da União conforme previsão dos artigos 5º, inciso IV e 9º da Lei nº 12.846/2013.</w:t>
      </w:r>
    </w:p>
    <w:p w14:paraId="690F66B4" w14:textId="77777777" w:rsidR="00F56F6F" w:rsidRPr="002340A3" w:rsidRDefault="00177F6D" w:rsidP="008269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340A3">
        <w:rPr>
          <w:rFonts w:ascii="Times New Roman" w:hAnsi="Times New Roman" w:cs="Times New Roman"/>
          <w:sz w:val="24"/>
          <w:szCs w:val="24"/>
          <w:lang w:val="pt-BR"/>
        </w:rPr>
        <w:t>Quanto às repercussões criminais, cabe à comunicação aos órgãos de persecução penal, Ministério Público e Polícia. Nesse ponto, vale lembrar que os carteis em licitação caracterizam tipo específico, diante da previsão</w:t>
      </w:r>
      <w:r w:rsidR="0082692E">
        <w:rPr>
          <w:rFonts w:ascii="Times New Roman" w:hAnsi="Times New Roman" w:cs="Times New Roman"/>
          <w:sz w:val="24"/>
          <w:szCs w:val="24"/>
          <w:lang w:val="pt-BR"/>
        </w:rPr>
        <w:t xml:space="preserve"> dos artigos 337-E e seguintes, agora inscritos no Código Penal</w:t>
      </w:r>
      <w:proofErr w:type="gramStart"/>
      <w:r w:rsidR="0082692E">
        <w:rPr>
          <w:rFonts w:ascii="Times New Roman" w:hAnsi="Times New Roman" w:cs="Times New Roman"/>
          <w:sz w:val="24"/>
          <w:szCs w:val="24"/>
          <w:lang w:val="pt-BR"/>
        </w:rPr>
        <w:t>. .</w:t>
      </w:r>
      <w:proofErr w:type="gramEnd"/>
      <w:r w:rsidR="0082692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F4EEC" w:rsidRPr="002340A3">
        <w:rPr>
          <w:rFonts w:ascii="Times New Roman" w:hAnsi="Times New Roman" w:cs="Times New Roman"/>
          <w:sz w:val="24"/>
          <w:szCs w:val="24"/>
          <w:lang w:val="pt-BR"/>
        </w:rPr>
        <w:t>P</w:t>
      </w:r>
      <w:r w:rsidRPr="002340A3">
        <w:rPr>
          <w:rFonts w:ascii="Times New Roman" w:hAnsi="Times New Roman" w:cs="Times New Roman"/>
          <w:sz w:val="24"/>
          <w:szCs w:val="24"/>
          <w:lang w:val="pt-BR"/>
        </w:rPr>
        <w:t>or fim, o cartel em licitações frequentemente é associado com outros ilícitos, notadamente a corrupção ativa e passiva</w:t>
      </w:r>
      <w:r w:rsidR="00DF4EEC" w:rsidRPr="002340A3">
        <w:rPr>
          <w:rFonts w:ascii="Times New Roman" w:hAnsi="Times New Roman" w:cs="Times New Roman"/>
          <w:sz w:val="24"/>
          <w:szCs w:val="24"/>
          <w:lang w:val="pt-BR"/>
        </w:rPr>
        <w:t xml:space="preserve">, que também podem ser investigados pelas autoridades de persecução penal. </w:t>
      </w:r>
      <w:r w:rsidRPr="002340A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0EE3FA55" w14:textId="77777777" w:rsidR="00F56F6F" w:rsidRPr="002340A3" w:rsidRDefault="00F56F6F" w:rsidP="002340A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pt-BR"/>
        </w:rPr>
      </w:pPr>
    </w:p>
    <w:p w14:paraId="5B075AC8" w14:textId="77777777" w:rsidR="00F56F6F" w:rsidRPr="00433556" w:rsidRDefault="00F56F6F" w:rsidP="00433556">
      <w:pPr>
        <w:pStyle w:val="PargrafodaLista"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4335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Ação de reparação de danos </w:t>
      </w:r>
    </w:p>
    <w:p w14:paraId="44328492" w14:textId="77777777" w:rsidR="000B5967" w:rsidRPr="000B5967" w:rsidRDefault="000B5967" w:rsidP="000B5967">
      <w:pPr>
        <w:pStyle w:val="PargrafodaLista"/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6114ADAD" w14:textId="77777777" w:rsidR="00646293" w:rsidRPr="002340A3" w:rsidRDefault="00646293" w:rsidP="0082692E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340A3">
        <w:rPr>
          <w:rFonts w:ascii="Times New Roman" w:hAnsi="Times New Roman" w:cs="Times New Roman"/>
          <w:sz w:val="24"/>
          <w:szCs w:val="24"/>
          <w:lang w:val="pt-BR"/>
        </w:rPr>
        <w:t xml:space="preserve">Os danos causados pelo cartel também pode ser objeto de reparação cível. </w:t>
      </w:r>
      <w:r w:rsidR="002340A3" w:rsidRPr="002340A3">
        <w:rPr>
          <w:rFonts w:ascii="Times New Roman" w:hAnsi="Times New Roman" w:cs="Times New Roman"/>
          <w:sz w:val="24"/>
          <w:szCs w:val="24"/>
          <w:lang w:val="pt-BR"/>
        </w:rPr>
        <w:t xml:space="preserve">Em primeiro lugar, </w:t>
      </w:r>
      <w:r w:rsidRPr="002340A3">
        <w:rPr>
          <w:rFonts w:ascii="Times New Roman" w:hAnsi="Times New Roman" w:cs="Times New Roman"/>
          <w:sz w:val="24"/>
          <w:szCs w:val="24"/>
          <w:lang w:val="pt-BR"/>
        </w:rPr>
        <w:t xml:space="preserve">há o dano à coletividade, considerando que o art. 1°, da Lei n° 7.347, de 1985, prevê que as ações de responsabilidade por danos morais e patrimoniais causados pela prática de infrações contra a ordem econômica podem ser tuteladas pela ação civil pública. Com efeito, os Estados são legitimados ativos para o manejo dessas ações, com fundamento art. 5°, III da Lei n° 7.347, de 1985. </w:t>
      </w:r>
    </w:p>
    <w:p w14:paraId="7157C17A" w14:textId="77777777" w:rsidR="00646293" w:rsidRDefault="00646293" w:rsidP="0082692E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340A3">
        <w:rPr>
          <w:rFonts w:ascii="Times New Roman" w:hAnsi="Times New Roman" w:cs="Times New Roman"/>
          <w:sz w:val="24"/>
          <w:szCs w:val="24"/>
          <w:lang w:val="pt-BR"/>
        </w:rPr>
        <w:t>Além do dano à coletividade, há o dano causado ao ente público que tenha realizado suas contratações em licitações nas quais houve a colusão. Nesse caso, o dano pode ser alegado em ação própria, para a reparação do ente prejudicado</w:t>
      </w:r>
      <w:r w:rsidR="0082692E">
        <w:rPr>
          <w:rFonts w:ascii="Times New Roman" w:hAnsi="Times New Roman" w:cs="Times New Roman"/>
          <w:sz w:val="24"/>
          <w:szCs w:val="24"/>
          <w:lang w:val="pt-BR"/>
        </w:rPr>
        <w:t xml:space="preserve">, com os mesmos fundamentos utilizados em ações de responsabilidade civil (em regra, a combinação dos </w:t>
      </w:r>
      <w:proofErr w:type="spellStart"/>
      <w:r w:rsidR="0082692E">
        <w:rPr>
          <w:rFonts w:ascii="Times New Roman" w:hAnsi="Times New Roman" w:cs="Times New Roman"/>
          <w:sz w:val="24"/>
          <w:szCs w:val="24"/>
          <w:lang w:val="pt-BR"/>
        </w:rPr>
        <w:t>arts</w:t>
      </w:r>
      <w:proofErr w:type="spellEnd"/>
      <w:r w:rsidR="0082692E">
        <w:rPr>
          <w:rFonts w:ascii="Times New Roman" w:hAnsi="Times New Roman" w:cs="Times New Roman"/>
          <w:sz w:val="24"/>
          <w:szCs w:val="24"/>
          <w:lang w:val="pt-BR"/>
        </w:rPr>
        <w:t xml:space="preserve">. 186 e 927 e ss. do Código Civil). </w:t>
      </w:r>
    </w:p>
    <w:p w14:paraId="4EA65A48" w14:textId="77777777" w:rsidR="0082692E" w:rsidRDefault="0082692E" w:rsidP="008269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Para dimensionar os danos a extensão da indenização, é possível utilizar a técnica já aplicada pelo CADE para cálculo de sobre</w:t>
      </w:r>
      <w:r w:rsidR="00A31106">
        <w:rPr>
          <w:rFonts w:ascii="Times New Roman" w:hAnsi="Times New Roman" w:cs="Times New Roman"/>
          <w:sz w:val="24"/>
          <w:szCs w:val="24"/>
          <w:lang w:val="pt-BR"/>
        </w:rPr>
        <w:t>-</w:t>
      </w:r>
      <w:r>
        <w:rPr>
          <w:rFonts w:ascii="Times New Roman" w:hAnsi="Times New Roman" w:cs="Times New Roman"/>
          <w:sz w:val="24"/>
          <w:szCs w:val="24"/>
          <w:lang w:val="pt-BR"/>
        </w:rPr>
        <w:t>preço e vantagem auferida nos carteis</w:t>
      </w:r>
      <w:r w:rsidR="00A31106">
        <w:rPr>
          <w:rFonts w:ascii="Times New Roman" w:hAnsi="Times New Roman" w:cs="Times New Roman"/>
          <w:sz w:val="24"/>
          <w:szCs w:val="24"/>
          <w:lang w:val="pt-BR"/>
        </w:rPr>
        <w:t xml:space="preserve"> e, nessas ações, o valor da indenização será </w:t>
      </w:r>
      <w:r w:rsidR="00A31106">
        <w:rPr>
          <w:rFonts w:ascii="Times New Roman" w:hAnsi="Times New Roman" w:cs="Times New Roman"/>
          <w:sz w:val="24"/>
          <w:szCs w:val="24"/>
          <w:lang w:val="pt-BR"/>
        </w:rPr>
        <w:lastRenderedPageBreak/>
        <w:t>o dobro do prejuízo demonstrado (art. 47, §1° da Lei n° 12.529/2011)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. No exemplo apresentado do cartel em licitação de kits escolares, o valor estimado de sobre-preço foi de 20%, o que permitiu uma estimação da vantagem auferida em </w:t>
      </w:r>
      <w:r w:rsidRPr="0082692E">
        <w:rPr>
          <w:rFonts w:ascii="Times New Roman" w:hAnsi="Times New Roman" w:cs="Times New Roman"/>
          <w:sz w:val="24"/>
          <w:szCs w:val="24"/>
          <w:lang w:val="pt-BR"/>
        </w:rPr>
        <w:t>R$ 21.011.834,00 (vinte e um milhões onze mil oitocentos e trinta e quatro reais).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No caso de ações de reparação propostas pelos entes públicos, o cálculo do dano deve ser feito de acordo com o valor das compras públicas de que participaram os sujeitos condenados pelo cartel. </w:t>
      </w:r>
    </w:p>
    <w:p w14:paraId="5EE26AD3" w14:textId="77777777" w:rsidR="000B5967" w:rsidRDefault="0082692E" w:rsidP="008269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Além disso, as ações de reparação podem ser instruídas com provas obtidas durante o processo administrativo que deu origem à condenação perante o CADE. Embora o tema ainda seja bastante novo, não existindo notícia de nenhum ente público que tenha buscado esse tipo de reparação, </w:t>
      </w:r>
      <w:r w:rsidR="000B5967">
        <w:rPr>
          <w:rFonts w:ascii="Times New Roman" w:hAnsi="Times New Roman" w:cs="Times New Roman"/>
          <w:sz w:val="24"/>
          <w:szCs w:val="24"/>
          <w:lang w:val="pt-BR"/>
        </w:rPr>
        <w:t>a matéria já está regulamentada em lei. Com efeito, a Lei n° 14.470/2022, alterou a Lei n° 12.529/2011, para pre</w:t>
      </w:r>
      <w:r w:rsidR="00A31106">
        <w:rPr>
          <w:rFonts w:ascii="Times New Roman" w:hAnsi="Times New Roman" w:cs="Times New Roman"/>
          <w:sz w:val="24"/>
          <w:szCs w:val="24"/>
          <w:lang w:val="pt-BR"/>
        </w:rPr>
        <w:t>ver toda a disciplina aplicável aos pedidos de reparação de dano:</w:t>
      </w:r>
      <w:r w:rsidR="000B596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2F29055B" w14:textId="77777777" w:rsidR="000B5967" w:rsidRDefault="000B5967" w:rsidP="000B5967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14:paraId="53BF52B1" w14:textId="77777777" w:rsidR="000B5967" w:rsidRPr="000B5967" w:rsidRDefault="000B5967" w:rsidP="000B5967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0B5967">
        <w:rPr>
          <w:rFonts w:ascii="Times New Roman" w:hAnsi="Times New Roman" w:cs="Times New Roman"/>
          <w:sz w:val="20"/>
          <w:szCs w:val="20"/>
          <w:lang w:val="pt-BR"/>
        </w:rPr>
        <w:t>Art. 1º A Lei nº 12.529, de 30 de novembro de 2011 (Lei de Defesa da Concorrência), passa a vigorar com as seguintes alterações:</w:t>
      </w:r>
    </w:p>
    <w:p w14:paraId="6DD439F2" w14:textId="77777777" w:rsidR="000B5967" w:rsidRPr="000B5967" w:rsidRDefault="000B5967" w:rsidP="000B5967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0B5967">
        <w:rPr>
          <w:rFonts w:ascii="Times New Roman" w:hAnsi="Times New Roman" w:cs="Times New Roman"/>
          <w:sz w:val="20"/>
          <w:szCs w:val="20"/>
          <w:lang w:val="pt-BR"/>
        </w:rPr>
        <w:t>§ 1º Os prejudicados terão direito a ressarcimento em dobro pelos prejuízos sofridos em razão de infrações à ordem econômica previstas nos incisos I e II do § 3º do art. 36 desta Lei, sem prejuízo das sanções aplicadas nas esferas administrativa e penal.</w:t>
      </w:r>
    </w:p>
    <w:p w14:paraId="01BFFD77" w14:textId="77777777" w:rsidR="000B5967" w:rsidRPr="000B5967" w:rsidRDefault="000B5967" w:rsidP="000B5967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0B5967">
        <w:rPr>
          <w:rFonts w:ascii="Times New Roman" w:hAnsi="Times New Roman" w:cs="Times New Roman"/>
          <w:sz w:val="20"/>
          <w:szCs w:val="20"/>
          <w:lang w:val="pt-BR"/>
        </w:rPr>
        <w:t xml:space="preserve">§ 2º Não se aplica o disposto no § 1º deste artigo aos coautores de infração à ordem econômica que tenham celebrado acordo de leniência ou termo de compromisso de cessação de prática cujo cumprimento tenha sido declarado pelo </w:t>
      </w:r>
      <w:proofErr w:type="spellStart"/>
      <w:r w:rsidRPr="000B5967">
        <w:rPr>
          <w:rFonts w:ascii="Times New Roman" w:hAnsi="Times New Roman" w:cs="Times New Roman"/>
          <w:sz w:val="20"/>
          <w:szCs w:val="20"/>
          <w:lang w:val="pt-BR"/>
        </w:rPr>
        <w:t>Cade</w:t>
      </w:r>
      <w:proofErr w:type="spellEnd"/>
      <w:r w:rsidRPr="000B5967">
        <w:rPr>
          <w:rFonts w:ascii="Times New Roman" w:hAnsi="Times New Roman" w:cs="Times New Roman"/>
          <w:sz w:val="20"/>
          <w:szCs w:val="20"/>
          <w:lang w:val="pt-BR"/>
        </w:rPr>
        <w:t>, os quais responderão somente pelos prejuízos causados aos prejudicados.</w:t>
      </w:r>
    </w:p>
    <w:p w14:paraId="3D6B7E25" w14:textId="77777777" w:rsidR="000B5967" w:rsidRPr="000B5967" w:rsidRDefault="000B5967" w:rsidP="000B5967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0B5967">
        <w:rPr>
          <w:rFonts w:ascii="Times New Roman" w:hAnsi="Times New Roman" w:cs="Times New Roman"/>
          <w:sz w:val="20"/>
          <w:szCs w:val="20"/>
          <w:lang w:val="pt-BR"/>
        </w:rPr>
        <w:t>§ 3º Os signatários do acordo de leniência e do termo de compromisso de cessação de prática são responsáveis apenas pelo dano que causaram aos prejudicados, não incidindo sobre eles responsabilidade solidária pelos danos causados pelos demais autores da infração à ordem econômica.</w:t>
      </w:r>
    </w:p>
    <w:p w14:paraId="5FD328F5" w14:textId="77777777" w:rsidR="000B5967" w:rsidRPr="000B5967" w:rsidRDefault="000B5967" w:rsidP="000B5967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0B5967">
        <w:rPr>
          <w:rFonts w:ascii="Times New Roman" w:hAnsi="Times New Roman" w:cs="Times New Roman"/>
          <w:sz w:val="20"/>
          <w:szCs w:val="20"/>
          <w:lang w:val="pt-BR"/>
        </w:rPr>
        <w:t>§ 4º Não se presume o repasse de sobrepreço nos casos das infrações à ordem econômica previstas nos incisos I e II do § 3º do art. 36 desta Lei, cabendo a prova ao réu que o alegar." (NR)</w:t>
      </w:r>
    </w:p>
    <w:p w14:paraId="42D735D7" w14:textId="77777777" w:rsidR="000B5967" w:rsidRPr="000B5967" w:rsidRDefault="000B5967" w:rsidP="000B5967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0B5967">
        <w:rPr>
          <w:rFonts w:ascii="Times New Roman" w:hAnsi="Times New Roman" w:cs="Times New Roman"/>
          <w:sz w:val="20"/>
          <w:szCs w:val="20"/>
          <w:lang w:val="pt-BR"/>
        </w:rPr>
        <w:t xml:space="preserve">Art. 2º A Lei nº 12.529, de 30 de novembro de 2011 (Lei de Defesa da Concorrência), passa a vigorar acrescida dos seguintes </w:t>
      </w:r>
      <w:proofErr w:type="spellStart"/>
      <w:r w:rsidRPr="000B5967">
        <w:rPr>
          <w:rFonts w:ascii="Times New Roman" w:hAnsi="Times New Roman" w:cs="Times New Roman"/>
          <w:sz w:val="20"/>
          <w:szCs w:val="20"/>
          <w:lang w:val="pt-BR"/>
        </w:rPr>
        <w:t>arts</w:t>
      </w:r>
      <w:proofErr w:type="spellEnd"/>
      <w:r w:rsidRPr="000B5967">
        <w:rPr>
          <w:rFonts w:ascii="Times New Roman" w:hAnsi="Times New Roman" w:cs="Times New Roman"/>
          <w:sz w:val="20"/>
          <w:szCs w:val="20"/>
          <w:lang w:val="pt-BR"/>
        </w:rPr>
        <w:t>. 46-A e 47-A, incluídos, respectivamente, nos Capítulos IV e V do Título V:</w:t>
      </w:r>
    </w:p>
    <w:p w14:paraId="55395617" w14:textId="77777777" w:rsidR="000B5967" w:rsidRPr="000B5967" w:rsidRDefault="000B5967" w:rsidP="000B5967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0B5967">
        <w:rPr>
          <w:rFonts w:ascii="Times New Roman" w:hAnsi="Times New Roman" w:cs="Times New Roman"/>
          <w:sz w:val="20"/>
          <w:szCs w:val="20"/>
          <w:lang w:val="pt-BR"/>
        </w:rPr>
        <w:t xml:space="preserve">"Art. 46-A. Quando a ação de indenização por perdas e danos originar-se do direito previsto no art. 47 desta Lei, não correrá a prescrição durante o curso do inquérito ou do processo administrativo no âmbito do </w:t>
      </w:r>
      <w:proofErr w:type="spellStart"/>
      <w:r w:rsidRPr="000B5967">
        <w:rPr>
          <w:rFonts w:ascii="Times New Roman" w:hAnsi="Times New Roman" w:cs="Times New Roman"/>
          <w:sz w:val="20"/>
          <w:szCs w:val="20"/>
          <w:lang w:val="pt-BR"/>
        </w:rPr>
        <w:t>Cade</w:t>
      </w:r>
      <w:proofErr w:type="spellEnd"/>
      <w:r w:rsidRPr="000B5967">
        <w:rPr>
          <w:rFonts w:ascii="Times New Roman" w:hAnsi="Times New Roman" w:cs="Times New Roman"/>
          <w:sz w:val="20"/>
          <w:szCs w:val="20"/>
          <w:lang w:val="pt-BR"/>
        </w:rPr>
        <w:t>.</w:t>
      </w:r>
    </w:p>
    <w:p w14:paraId="13A89A28" w14:textId="77777777" w:rsidR="000B5967" w:rsidRPr="000B5967" w:rsidRDefault="000B5967" w:rsidP="000B5967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0B5967">
        <w:rPr>
          <w:rFonts w:ascii="Times New Roman" w:hAnsi="Times New Roman" w:cs="Times New Roman"/>
          <w:sz w:val="20"/>
          <w:szCs w:val="20"/>
          <w:lang w:val="pt-BR"/>
        </w:rPr>
        <w:t>§ 1º Prescreve em 5 (cinco) anos a pretensão à reparação pelos danos causados pelas infrações à ordem econômica previstas no art. 36 desta Lei, iniciando-se sua contagem a partir da ciência inequívoca do ilícito.</w:t>
      </w:r>
    </w:p>
    <w:p w14:paraId="462EB64A" w14:textId="77777777" w:rsidR="000B5967" w:rsidRPr="000B5967" w:rsidRDefault="000B5967" w:rsidP="000B5967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0B5967">
        <w:rPr>
          <w:rFonts w:ascii="Times New Roman" w:hAnsi="Times New Roman" w:cs="Times New Roman"/>
          <w:sz w:val="20"/>
          <w:szCs w:val="20"/>
          <w:lang w:val="pt-BR"/>
        </w:rPr>
        <w:t xml:space="preserve">§ 2º Considera-se ocorrida a ciência inequívoca do ilícito por ocasião da publicação do julgamento final do processo administrativo pelo </w:t>
      </w:r>
      <w:proofErr w:type="spellStart"/>
      <w:r w:rsidRPr="000B5967">
        <w:rPr>
          <w:rFonts w:ascii="Times New Roman" w:hAnsi="Times New Roman" w:cs="Times New Roman"/>
          <w:sz w:val="20"/>
          <w:szCs w:val="20"/>
          <w:lang w:val="pt-BR"/>
        </w:rPr>
        <w:t>Cade</w:t>
      </w:r>
      <w:proofErr w:type="spellEnd"/>
      <w:r w:rsidRPr="000B5967">
        <w:rPr>
          <w:rFonts w:ascii="Times New Roman" w:hAnsi="Times New Roman" w:cs="Times New Roman"/>
          <w:sz w:val="20"/>
          <w:szCs w:val="20"/>
          <w:lang w:val="pt-BR"/>
        </w:rPr>
        <w:t>."</w:t>
      </w:r>
    </w:p>
    <w:p w14:paraId="091412D9" w14:textId="77777777" w:rsidR="000B5967" w:rsidRPr="000B5967" w:rsidRDefault="000B5967" w:rsidP="000B5967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0B5967">
        <w:rPr>
          <w:rFonts w:ascii="Times New Roman" w:hAnsi="Times New Roman" w:cs="Times New Roman"/>
          <w:sz w:val="20"/>
          <w:szCs w:val="20"/>
          <w:lang w:val="pt-BR"/>
        </w:rPr>
        <w:t>"Art. 47-A. A decisão do Plenário do Tribunal referida no art. 93 desta Lei é apta a fundamentar a concessão de tutela da evidência, permitindo ao juiz decidir liminarmente nas ações previstas no art. 47 desta Lei."</w:t>
      </w:r>
    </w:p>
    <w:p w14:paraId="6223B9C4" w14:textId="77777777" w:rsidR="00646293" w:rsidRPr="002340A3" w:rsidRDefault="00646293" w:rsidP="002340A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pt-BR"/>
        </w:rPr>
      </w:pPr>
    </w:p>
    <w:p w14:paraId="0F9A711E" w14:textId="77777777" w:rsidR="000B5967" w:rsidRDefault="000B5967" w:rsidP="002340A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pt-BR"/>
        </w:rPr>
      </w:pPr>
    </w:p>
    <w:p w14:paraId="32F2485E" w14:textId="77777777" w:rsidR="000B5967" w:rsidRPr="002F2BFF" w:rsidRDefault="000B5967" w:rsidP="00A31106">
      <w:pPr>
        <w:pStyle w:val="PargrafodaLista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2F2BFF">
        <w:rPr>
          <w:rFonts w:ascii="Times New Roman" w:hAnsi="Times New Roman" w:cs="Times New Roman"/>
          <w:b/>
          <w:sz w:val="24"/>
          <w:szCs w:val="24"/>
          <w:lang w:val="pt-BR"/>
        </w:rPr>
        <w:t>CONCLUSÃO</w:t>
      </w:r>
    </w:p>
    <w:p w14:paraId="13CF0808" w14:textId="77777777" w:rsidR="00A31106" w:rsidRDefault="00A31106" w:rsidP="000B59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873D222" w14:textId="77777777" w:rsidR="000B5967" w:rsidRDefault="000B5967" w:rsidP="000B59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A dimensão econômica da sustentabilidade não pode ser ignorada e sua inclusão nos critérios utilizados nas contratações sustentáveis tem benefícios significativos: compra de produtos com maior qualidade, menor preço, impacto na qualidade dos serviços prestados pelo poder público e, por consequência, melhora na qualidade e na eficiência da administração. Se, por um lado, a Advocacia Pública não é o único – e possivelmente, nem mesmo o mais importante – agente envolvido nessa missão, suas contribuições não podem ser desprezadas. </w:t>
      </w:r>
    </w:p>
    <w:p w14:paraId="5E5110CE" w14:textId="77777777" w:rsidR="000B5967" w:rsidRDefault="000B5967" w:rsidP="000B59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Enquanto função essencial à justiça que atua de forma mais próxima aos gestores e executores de políticas públicas, os advogados públicos podem influenciar de forma significativa os processos de contratação dentro da Administração. Sem prejuízo, a cooperação com outros órgãos e entidades públicos e privad</w:t>
      </w:r>
      <w:r w:rsidR="002F2BFF">
        <w:rPr>
          <w:rFonts w:ascii="Times New Roman" w:hAnsi="Times New Roman" w:cs="Times New Roman"/>
          <w:sz w:val="24"/>
          <w:szCs w:val="24"/>
          <w:lang w:val="pt-BR"/>
        </w:rPr>
        <w:t>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s é também um fator relevante para a </w:t>
      </w:r>
      <w:r w:rsidR="002F2BFF">
        <w:rPr>
          <w:rFonts w:ascii="Times New Roman" w:hAnsi="Times New Roman" w:cs="Times New Roman"/>
          <w:sz w:val="24"/>
          <w:szCs w:val="24"/>
          <w:lang w:val="pt-BR"/>
        </w:rPr>
        <w:t xml:space="preserve">busca dos objetivos do Estado, incluindo a promoção da sustentabilidade. </w:t>
      </w:r>
    </w:p>
    <w:p w14:paraId="66FEA05A" w14:textId="77777777" w:rsidR="00433556" w:rsidRDefault="00433556" w:rsidP="00433556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515A7DA7" w14:textId="77777777" w:rsidR="002F2BFF" w:rsidRPr="00B31FE5" w:rsidRDefault="002F2BFF" w:rsidP="00433556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433556">
        <w:rPr>
          <w:rFonts w:ascii="Times New Roman" w:hAnsi="Times New Roman" w:cs="Times New Roman"/>
          <w:b/>
          <w:sz w:val="24"/>
          <w:szCs w:val="24"/>
          <w:lang w:val="pt-BR"/>
        </w:rPr>
        <w:t>REFERÊNCIAS</w:t>
      </w:r>
    </w:p>
    <w:p w14:paraId="17934B29" w14:textId="77777777" w:rsidR="00433556" w:rsidRPr="00B31FE5" w:rsidRDefault="00433556" w:rsidP="0043355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8B70F0F" w14:textId="77777777" w:rsidR="00433556" w:rsidRPr="00B31FE5" w:rsidRDefault="00433556" w:rsidP="0043355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31FE5">
        <w:rPr>
          <w:rFonts w:ascii="Times New Roman" w:hAnsi="Times New Roman" w:cs="Times New Roman"/>
          <w:sz w:val="24"/>
          <w:szCs w:val="24"/>
          <w:lang w:val="pt-BR"/>
        </w:rPr>
        <w:t>BRASIL. Advocacia-Geral da União. Guia Nacional de Contratações Sustentáveis. 5. ed. Brasília: AGU, julho de 2022. Autores: BARTH, Maria Leticia B. G; CABRAL, Flávio G.; CARVALHO, Flávia G. de; CLARE, Celso V.; FERNANDES, Viviane V. S.; PAZ E SILVA FILHO, Manoel; GOMES, Patricia M.; PASSOS, Cynthia R. L; PEREIRA, Rodrigo M.; VILLAC, Teresa.</w:t>
      </w:r>
    </w:p>
    <w:p w14:paraId="71C95789" w14:textId="77777777" w:rsidR="00433556" w:rsidRPr="00B31FE5" w:rsidRDefault="00433556" w:rsidP="0043355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31FE5">
        <w:rPr>
          <w:rFonts w:ascii="Times New Roman" w:hAnsi="Times New Roman" w:cs="Times New Roman"/>
          <w:sz w:val="24"/>
          <w:szCs w:val="24"/>
          <w:lang w:val="pt-BR"/>
        </w:rPr>
        <w:t>BRASIL. Decreto n° 7.746, de 5 de junho de 2012. Diário Oficial da União, Brasília, DF, 6 jun. 2012. Disponível em: [URL]. Acesso em 31/08/2023.</w:t>
      </w:r>
    </w:p>
    <w:p w14:paraId="54301F99" w14:textId="77777777" w:rsidR="00433556" w:rsidRPr="00B31FE5" w:rsidRDefault="00433556" w:rsidP="0043355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31FE5">
        <w:rPr>
          <w:rFonts w:ascii="Times New Roman" w:hAnsi="Times New Roman" w:cs="Times New Roman"/>
          <w:sz w:val="24"/>
          <w:szCs w:val="24"/>
          <w:lang w:val="pt-BR"/>
        </w:rPr>
        <w:t>BRASIL. Lei n° 14.133, de 1º de abril de 2021. Diário Oficial da União, Brasília, DF, 2 abr. 2021. Disponível em: [URL]. Acesso em 31/08/2023.</w:t>
      </w:r>
    </w:p>
    <w:p w14:paraId="55392219" w14:textId="77777777" w:rsidR="00433556" w:rsidRPr="00B31FE5" w:rsidRDefault="00433556" w:rsidP="0043355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31FE5">
        <w:rPr>
          <w:rFonts w:ascii="Times New Roman" w:hAnsi="Times New Roman" w:cs="Times New Roman"/>
          <w:sz w:val="24"/>
          <w:szCs w:val="24"/>
          <w:lang w:val="pt-BR"/>
        </w:rPr>
        <w:t>BRASIL. Lei n° 8.666, de 21 de junho de 1993. Diário Oficial da União, Brasília, DF, 22 jun. 1993. Disponível em: [URL]. Acesso em 31/08/2023.</w:t>
      </w:r>
    </w:p>
    <w:p w14:paraId="0BDDFA0B" w14:textId="77777777" w:rsidR="00433556" w:rsidRPr="00433556" w:rsidRDefault="00433556" w:rsidP="0043355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31FE5">
        <w:rPr>
          <w:rFonts w:ascii="Times New Roman" w:hAnsi="Times New Roman" w:cs="Times New Roman"/>
          <w:sz w:val="24"/>
          <w:szCs w:val="24"/>
          <w:lang w:val="pt-BR"/>
        </w:rPr>
        <w:t xml:space="preserve">BURNIER, Paulo. Direito da Concorrência. </w:t>
      </w:r>
      <w:r w:rsidRPr="00433556">
        <w:rPr>
          <w:rFonts w:ascii="Times New Roman" w:hAnsi="Times New Roman" w:cs="Times New Roman"/>
          <w:sz w:val="24"/>
          <w:szCs w:val="24"/>
          <w:lang w:val="pt-BR"/>
        </w:rPr>
        <w:t xml:space="preserve">Rio de Janeiro: forense. 2021. </w:t>
      </w:r>
    </w:p>
    <w:p w14:paraId="5DCE2D1E" w14:textId="77777777" w:rsidR="00433556" w:rsidRPr="00433556" w:rsidRDefault="00433556" w:rsidP="00433556">
      <w:pPr>
        <w:jc w:val="both"/>
        <w:rPr>
          <w:rFonts w:ascii="Times New Roman" w:hAnsi="Times New Roman" w:cs="Times New Roman"/>
          <w:sz w:val="24"/>
          <w:szCs w:val="24"/>
        </w:rPr>
      </w:pPr>
      <w:r w:rsidRPr="00433556">
        <w:rPr>
          <w:rFonts w:ascii="Times New Roman" w:hAnsi="Times New Roman" w:cs="Times New Roman"/>
          <w:sz w:val="24"/>
          <w:szCs w:val="24"/>
          <w:lang w:val="pt-BR"/>
        </w:rPr>
        <w:t xml:space="preserve">CONSELHO ADMINISTRATIVO DE DEFESA ECONÔMICA – CADE. </w:t>
      </w:r>
      <w:r w:rsidRPr="00B31FE5">
        <w:rPr>
          <w:rFonts w:ascii="Times New Roman" w:hAnsi="Times New Roman" w:cs="Times New Roman"/>
          <w:sz w:val="24"/>
          <w:szCs w:val="24"/>
          <w:lang w:val="pt-BR"/>
        </w:rPr>
        <w:t xml:space="preserve">Guia de Combate a Cartéis em Licitação. Brasília: CADE, 2019. Disponível em: </w:t>
      </w:r>
      <w:hyperlink r:id="rId10" w:history="1">
        <w:r w:rsidRPr="00B31FE5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https://cdn.cade.gov.br/Portal/centrais-de-conteudo/publicacoes/guias-do-cade/guia-de-combate-a-carteis-em-licitacao-versao-final-1.pdf</w:t>
        </w:r>
      </w:hyperlink>
      <w:r w:rsidRPr="00B31FE5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proofErr w:type="spellStart"/>
      <w:r w:rsidRPr="00433556">
        <w:rPr>
          <w:rFonts w:ascii="Times New Roman" w:hAnsi="Times New Roman" w:cs="Times New Roman"/>
          <w:sz w:val="24"/>
          <w:szCs w:val="24"/>
        </w:rPr>
        <w:t>Acesso</w:t>
      </w:r>
      <w:proofErr w:type="spellEnd"/>
      <w:r w:rsidRPr="00433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5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33556">
        <w:rPr>
          <w:rFonts w:ascii="Times New Roman" w:hAnsi="Times New Roman" w:cs="Times New Roman"/>
          <w:sz w:val="24"/>
          <w:szCs w:val="24"/>
        </w:rPr>
        <w:t xml:space="preserve"> 31/08/2023.</w:t>
      </w:r>
    </w:p>
    <w:p w14:paraId="49A5CFC9" w14:textId="77777777" w:rsidR="00433556" w:rsidRPr="00433556" w:rsidRDefault="00433556" w:rsidP="0043355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33556">
        <w:rPr>
          <w:rFonts w:ascii="Times New Roman" w:hAnsi="Times New Roman" w:cs="Times New Roman"/>
          <w:sz w:val="24"/>
          <w:szCs w:val="24"/>
        </w:rPr>
        <w:t xml:space="preserve">OECD. Government at a Glance: Latin America and the Caribbean. </w:t>
      </w:r>
      <w:r w:rsidRPr="00B31FE5">
        <w:rPr>
          <w:rFonts w:ascii="Times New Roman" w:hAnsi="Times New Roman" w:cs="Times New Roman"/>
          <w:sz w:val="24"/>
          <w:szCs w:val="24"/>
          <w:lang w:val="pt-BR"/>
        </w:rPr>
        <w:t xml:space="preserve">2020. </w:t>
      </w:r>
      <w:r w:rsidRPr="00433556">
        <w:rPr>
          <w:rFonts w:ascii="Times New Roman" w:hAnsi="Times New Roman" w:cs="Times New Roman"/>
          <w:sz w:val="24"/>
          <w:szCs w:val="24"/>
          <w:lang w:val="pt-BR"/>
        </w:rPr>
        <w:t xml:space="preserve">Disponível em: </w:t>
      </w:r>
      <w:hyperlink r:id="rId11" w:tgtFrame="_new" w:history="1">
        <w:r w:rsidRPr="00433556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https://doi.org/10.1787/13130fbb-en</w:t>
        </w:r>
      </w:hyperlink>
      <w:r w:rsidRPr="00433556">
        <w:rPr>
          <w:rFonts w:ascii="Times New Roman" w:hAnsi="Times New Roman" w:cs="Times New Roman"/>
          <w:sz w:val="24"/>
          <w:szCs w:val="24"/>
          <w:lang w:val="pt-BR"/>
        </w:rPr>
        <w:t>. Acesso em 31/08/2023.</w:t>
      </w:r>
    </w:p>
    <w:p w14:paraId="79211D78" w14:textId="77777777" w:rsidR="00433556" w:rsidRPr="00B31FE5" w:rsidRDefault="00433556" w:rsidP="0043355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33556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OLIVEIRA, Rafael. </w:t>
      </w:r>
      <w:r w:rsidRPr="00B31FE5">
        <w:rPr>
          <w:rFonts w:ascii="Times New Roman" w:hAnsi="Times New Roman" w:cs="Times New Roman"/>
          <w:sz w:val="24"/>
          <w:szCs w:val="24"/>
          <w:lang w:val="pt-BR"/>
        </w:rPr>
        <w:t>Curso de Direito Administrativo. 11. ed. 2021.</w:t>
      </w:r>
    </w:p>
    <w:p w14:paraId="0674816E" w14:textId="77777777" w:rsidR="00433556" w:rsidRPr="00433556" w:rsidRDefault="00433556" w:rsidP="00433556">
      <w:pPr>
        <w:jc w:val="both"/>
        <w:rPr>
          <w:rFonts w:ascii="Times New Roman" w:hAnsi="Times New Roman" w:cs="Times New Roman"/>
          <w:sz w:val="24"/>
          <w:szCs w:val="24"/>
        </w:rPr>
      </w:pPr>
      <w:r w:rsidRPr="00B31FE5">
        <w:rPr>
          <w:rFonts w:ascii="Times New Roman" w:hAnsi="Times New Roman" w:cs="Times New Roman"/>
          <w:sz w:val="24"/>
          <w:szCs w:val="24"/>
          <w:lang w:val="pt-BR"/>
        </w:rPr>
        <w:t xml:space="preserve">SARLET, Ingo Wolfgang; FENSTERSEIFER, Tiago. Curso de Direito Ambiental. 2. ed. </w:t>
      </w:r>
      <w:r w:rsidRPr="00433556">
        <w:rPr>
          <w:rFonts w:ascii="Times New Roman" w:hAnsi="Times New Roman" w:cs="Times New Roman"/>
          <w:sz w:val="24"/>
          <w:szCs w:val="24"/>
        </w:rPr>
        <w:t xml:space="preserve">Rio de Janeiro: </w:t>
      </w:r>
      <w:proofErr w:type="spellStart"/>
      <w:r w:rsidRPr="00433556">
        <w:rPr>
          <w:rFonts w:ascii="Times New Roman" w:hAnsi="Times New Roman" w:cs="Times New Roman"/>
          <w:sz w:val="24"/>
          <w:szCs w:val="24"/>
        </w:rPr>
        <w:t>Forense</w:t>
      </w:r>
      <w:proofErr w:type="spellEnd"/>
      <w:r w:rsidRPr="00433556">
        <w:rPr>
          <w:rFonts w:ascii="Times New Roman" w:hAnsi="Times New Roman" w:cs="Times New Roman"/>
          <w:sz w:val="24"/>
          <w:szCs w:val="24"/>
        </w:rPr>
        <w:t>, 2021.</w:t>
      </w:r>
    </w:p>
    <w:p w14:paraId="3E95FDC0" w14:textId="77777777" w:rsidR="00433556" w:rsidRPr="00433556" w:rsidRDefault="00433556" w:rsidP="00433556">
      <w:pPr>
        <w:jc w:val="both"/>
        <w:rPr>
          <w:rFonts w:ascii="Times New Roman" w:hAnsi="Times New Roman" w:cs="Times New Roman"/>
          <w:sz w:val="24"/>
          <w:szCs w:val="24"/>
        </w:rPr>
      </w:pPr>
      <w:r w:rsidRPr="00433556">
        <w:rPr>
          <w:rFonts w:ascii="Times New Roman" w:hAnsi="Times New Roman" w:cs="Times New Roman"/>
          <w:sz w:val="24"/>
          <w:szCs w:val="24"/>
        </w:rPr>
        <w:t xml:space="preserve">WORLD BANK. Fixing Markets, Not Prices. </w:t>
      </w:r>
      <w:r w:rsidRPr="00B31FE5">
        <w:rPr>
          <w:rFonts w:ascii="Times New Roman" w:hAnsi="Times New Roman" w:cs="Times New Roman"/>
          <w:sz w:val="24"/>
          <w:szCs w:val="24"/>
          <w:lang w:val="pt-BR"/>
        </w:rPr>
        <w:t xml:space="preserve">Corporate Governance Assessment. 2021. Disponível em: </w:t>
      </w:r>
      <w:hyperlink r:id="rId12" w:tgtFrame="_new" w:history="1">
        <w:r w:rsidRPr="00B31FE5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https://elibrary.worldbank.org/doi/abs/10.1596/35985</w:t>
        </w:r>
      </w:hyperlink>
      <w:r w:rsidRPr="00B31FE5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proofErr w:type="spellStart"/>
      <w:r w:rsidRPr="00433556">
        <w:rPr>
          <w:rFonts w:ascii="Times New Roman" w:hAnsi="Times New Roman" w:cs="Times New Roman"/>
          <w:sz w:val="24"/>
          <w:szCs w:val="24"/>
        </w:rPr>
        <w:t>Acesso</w:t>
      </w:r>
      <w:proofErr w:type="spellEnd"/>
      <w:r w:rsidRPr="00433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5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33556">
        <w:rPr>
          <w:rFonts w:ascii="Times New Roman" w:hAnsi="Times New Roman" w:cs="Times New Roman"/>
          <w:sz w:val="24"/>
          <w:szCs w:val="24"/>
        </w:rPr>
        <w:t xml:space="preserve"> 31/08/2023.</w:t>
      </w:r>
    </w:p>
    <w:p w14:paraId="1B348FB6" w14:textId="77777777" w:rsidR="00A31106" w:rsidRPr="00433556" w:rsidRDefault="00A31106" w:rsidP="00433556"/>
    <w:sectPr w:rsidR="00A31106" w:rsidRPr="00433556" w:rsidSect="00B31FE5">
      <w:pgSz w:w="12240" w:h="15840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2E344" w14:textId="77777777" w:rsidR="005A4F2C" w:rsidRDefault="005A4F2C" w:rsidP="00FD7DCC">
      <w:pPr>
        <w:spacing w:after="0" w:line="240" w:lineRule="auto"/>
      </w:pPr>
      <w:r>
        <w:separator/>
      </w:r>
    </w:p>
  </w:endnote>
  <w:endnote w:type="continuationSeparator" w:id="0">
    <w:p w14:paraId="15CF6430" w14:textId="77777777" w:rsidR="005A4F2C" w:rsidRDefault="005A4F2C" w:rsidP="00FD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3AB52" w14:textId="77777777" w:rsidR="005A4F2C" w:rsidRDefault="005A4F2C" w:rsidP="00FD7DCC">
      <w:pPr>
        <w:spacing w:after="0" w:line="240" w:lineRule="auto"/>
      </w:pPr>
      <w:r>
        <w:separator/>
      </w:r>
    </w:p>
  </w:footnote>
  <w:footnote w:type="continuationSeparator" w:id="0">
    <w:p w14:paraId="4CDBC7C7" w14:textId="77777777" w:rsidR="005A4F2C" w:rsidRDefault="005A4F2C" w:rsidP="00FD7DCC">
      <w:pPr>
        <w:spacing w:after="0" w:line="240" w:lineRule="auto"/>
      </w:pPr>
      <w:r>
        <w:continuationSeparator/>
      </w:r>
    </w:p>
  </w:footnote>
  <w:footnote w:id="1">
    <w:p w14:paraId="505DF755" w14:textId="77777777" w:rsidR="00A31106" w:rsidRPr="00516DB5" w:rsidRDefault="00A31106" w:rsidP="00516DB5">
      <w:pPr>
        <w:pStyle w:val="Textodenotaderodap"/>
        <w:jc w:val="both"/>
        <w:rPr>
          <w:rFonts w:ascii="Times New Roman" w:hAnsi="Times New Roman" w:cs="Times New Roman"/>
          <w:lang w:val="pt-BR"/>
        </w:rPr>
      </w:pPr>
      <w:r w:rsidRPr="00516DB5">
        <w:rPr>
          <w:rStyle w:val="Refdenotaderodap"/>
          <w:rFonts w:ascii="Times New Roman" w:hAnsi="Times New Roman" w:cs="Times New Roman"/>
        </w:rPr>
        <w:footnoteRef/>
      </w:r>
      <w:r w:rsidRPr="00516DB5">
        <w:rPr>
          <w:rFonts w:ascii="Times New Roman" w:hAnsi="Times New Roman" w:cs="Times New Roman"/>
          <w:lang w:val="pt-BR"/>
        </w:rPr>
        <w:t xml:space="preserve">  Nessa perspectiva, desenvolvimento sustentável seria “(...) aquele que atende às necessidades do presente sem comprometer a possibilidade de as gerações futuras atenderem a suas próprias necessidades”</w:t>
      </w:r>
    </w:p>
  </w:footnote>
  <w:footnote w:id="2">
    <w:p w14:paraId="3FE66247" w14:textId="77777777" w:rsidR="00A31106" w:rsidRPr="00516DB5" w:rsidRDefault="00A31106" w:rsidP="00516DB5">
      <w:pPr>
        <w:pStyle w:val="Textodenotaderodap"/>
        <w:jc w:val="both"/>
        <w:rPr>
          <w:rFonts w:ascii="Times New Roman" w:hAnsi="Times New Roman" w:cs="Times New Roman"/>
          <w:lang w:val="pt-BR"/>
        </w:rPr>
      </w:pPr>
      <w:r w:rsidRPr="00516DB5">
        <w:rPr>
          <w:rStyle w:val="Refdenotaderodap"/>
          <w:rFonts w:ascii="Times New Roman" w:hAnsi="Times New Roman" w:cs="Times New Roman"/>
        </w:rPr>
        <w:footnoteRef/>
      </w:r>
      <w:r w:rsidRPr="00516DB5">
        <w:rPr>
          <w:rFonts w:ascii="Times New Roman" w:hAnsi="Times New Roman" w:cs="Times New Roman"/>
          <w:lang w:val="pt-BR"/>
        </w:rPr>
        <w:t xml:space="preserve"> Essa concepção é trabalhada no Guia Nacional de Contratações Sustentáveis. 5ª ed. Barth, Maria Leticia B. G; Cabral, Flávio. </w:t>
      </w:r>
      <w:proofErr w:type="gramStart"/>
      <w:r w:rsidRPr="00516DB5">
        <w:rPr>
          <w:rFonts w:ascii="Times New Roman" w:hAnsi="Times New Roman" w:cs="Times New Roman"/>
          <w:lang w:val="pt-BR"/>
        </w:rPr>
        <w:t>G. ;</w:t>
      </w:r>
      <w:proofErr w:type="gramEnd"/>
      <w:r w:rsidRPr="00516DB5">
        <w:rPr>
          <w:rFonts w:ascii="Times New Roman" w:hAnsi="Times New Roman" w:cs="Times New Roman"/>
          <w:lang w:val="pt-BR"/>
        </w:rPr>
        <w:t xml:space="preserve"> Carvalho, Flávia G. de; Clare, Celso V.; Fernandes, Viviane V. S. ; Paz e Silva Filho, Manoel; Gomes, Patricia M.; Passos, Cynthia R. L; Pereira, Rodrigo M.; </w:t>
      </w:r>
      <w:proofErr w:type="spellStart"/>
      <w:r w:rsidRPr="00516DB5">
        <w:rPr>
          <w:rFonts w:ascii="Times New Roman" w:hAnsi="Times New Roman" w:cs="Times New Roman"/>
          <w:lang w:val="pt-BR"/>
        </w:rPr>
        <w:t>Villac</w:t>
      </w:r>
      <w:proofErr w:type="spellEnd"/>
      <w:r w:rsidRPr="00516DB5">
        <w:rPr>
          <w:rFonts w:ascii="Times New Roman" w:hAnsi="Times New Roman" w:cs="Times New Roman"/>
          <w:lang w:val="pt-BR"/>
        </w:rPr>
        <w:t xml:space="preserve">, Teresa. Brasília: AGU, julho de 2022. </w:t>
      </w:r>
    </w:p>
  </w:footnote>
  <w:footnote w:id="3">
    <w:p w14:paraId="045514F0" w14:textId="77777777" w:rsidR="00A31106" w:rsidRPr="00516DB5" w:rsidRDefault="00A31106" w:rsidP="00516DB5">
      <w:pPr>
        <w:pStyle w:val="Textodenotaderodap"/>
        <w:jc w:val="both"/>
        <w:rPr>
          <w:rFonts w:ascii="Times New Roman" w:hAnsi="Times New Roman" w:cs="Times New Roman"/>
          <w:lang w:val="pt-BR"/>
        </w:rPr>
      </w:pPr>
      <w:r w:rsidRPr="00516DB5">
        <w:rPr>
          <w:rStyle w:val="Refdenotaderodap"/>
          <w:rFonts w:ascii="Times New Roman" w:hAnsi="Times New Roman" w:cs="Times New Roman"/>
        </w:rPr>
        <w:footnoteRef/>
      </w:r>
      <w:r w:rsidRPr="00516DB5">
        <w:rPr>
          <w:rFonts w:ascii="Times New Roman" w:hAnsi="Times New Roman" w:cs="Times New Roman"/>
          <w:lang w:val="pt-BR"/>
        </w:rPr>
        <w:t xml:space="preserve"> A lista completa dos Objetivos de Desenvolvimento Sustentável pode ser encontrada em: &lt;https://brasil.un.org/</w:t>
      </w:r>
      <w:proofErr w:type="spellStart"/>
      <w:r w:rsidRPr="00516DB5">
        <w:rPr>
          <w:rFonts w:ascii="Times New Roman" w:hAnsi="Times New Roman" w:cs="Times New Roman"/>
          <w:lang w:val="pt-BR"/>
        </w:rPr>
        <w:t>pt-br</w:t>
      </w:r>
      <w:proofErr w:type="spellEnd"/>
      <w:r w:rsidRPr="00516DB5">
        <w:rPr>
          <w:rFonts w:ascii="Times New Roman" w:hAnsi="Times New Roman" w:cs="Times New Roman"/>
          <w:lang w:val="pt-BR"/>
        </w:rPr>
        <w:t>/</w:t>
      </w:r>
      <w:proofErr w:type="spellStart"/>
      <w:r w:rsidRPr="00516DB5">
        <w:rPr>
          <w:rFonts w:ascii="Times New Roman" w:hAnsi="Times New Roman" w:cs="Times New Roman"/>
          <w:lang w:val="pt-BR"/>
        </w:rPr>
        <w:t>sdgs</w:t>
      </w:r>
      <w:proofErr w:type="spellEnd"/>
      <w:r w:rsidRPr="00516DB5">
        <w:rPr>
          <w:rFonts w:ascii="Times New Roman" w:hAnsi="Times New Roman" w:cs="Times New Roman"/>
          <w:lang w:val="pt-BR"/>
        </w:rPr>
        <w:t>&gt;</w:t>
      </w:r>
    </w:p>
  </w:footnote>
  <w:footnote w:id="4">
    <w:p w14:paraId="4F10F82E" w14:textId="77777777" w:rsidR="00A31106" w:rsidRPr="00516DB5" w:rsidRDefault="00A31106" w:rsidP="00516DB5">
      <w:pPr>
        <w:pStyle w:val="Textodenotaderodap"/>
        <w:jc w:val="both"/>
        <w:rPr>
          <w:rFonts w:ascii="Times New Roman" w:hAnsi="Times New Roman" w:cs="Times New Roman"/>
          <w:lang w:val="pt-BR"/>
        </w:rPr>
      </w:pPr>
      <w:r w:rsidRPr="00516DB5">
        <w:rPr>
          <w:rStyle w:val="Refdenotaderodap"/>
          <w:rFonts w:ascii="Times New Roman" w:hAnsi="Times New Roman" w:cs="Times New Roman"/>
        </w:rPr>
        <w:footnoteRef/>
      </w:r>
      <w:r w:rsidRPr="00516DB5">
        <w:rPr>
          <w:rFonts w:ascii="Times New Roman" w:hAnsi="Times New Roman" w:cs="Times New Roman"/>
          <w:lang w:val="pt-BR"/>
        </w:rPr>
        <w:t xml:space="preserve"> No Guia Nacional de Contratações Sustentáveis (2022), cita-se que essa foi a interpretação estabelecida pelo PARECER n. 00067/2019/DECOR/CGU/AGU, aprovado pelo Excelentíssimo Advogado-Geral da União pelo r. DESPACHO n. 00801/2019/GAB/CGU/AGU, de 09/09/19, nos termos do Despacho do Consultor-Geral da União nº 00801/2019/GAB/CGU/AGU e do Despacho nº 00564/2019/DECOR/CGU/AGU</w:t>
      </w:r>
    </w:p>
  </w:footnote>
  <w:footnote w:id="5">
    <w:p w14:paraId="590DD101" w14:textId="77777777" w:rsidR="00A31106" w:rsidRPr="004464A7" w:rsidRDefault="00A31106" w:rsidP="00516DB5">
      <w:pPr>
        <w:pStyle w:val="Textodenotaderodap"/>
        <w:jc w:val="both"/>
        <w:rPr>
          <w:lang w:val="pt-BR"/>
        </w:rPr>
      </w:pPr>
      <w:r w:rsidRPr="00516DB5">
        <w:rPr>
          <w:rStyle w:val="Refdenotaderodap"/>
          <w:rFonts w:ascii="Times New Roman" w:hAnsi="Times New Roman" w:cs="Times New Roman"/>
        </w:rPr>
        <w:footnoteRef/>
      </w:r>
      <w:r w:rsidRPr="00516DB5">
        <w:rPr>
          <w:rFonts w:ascii="Times New Roman" w:hAnsi="Times New Roman" w:cs="Times New Roman"/>
          <w:lang w:val="pt-BR"/>
        </w:rPr>
        <w:t xml:space="preserve"> Mais informações disponíveis em: &lt;https://odsbrasil.gov.br/&gt;</w:t>
      </w:r>
    </w:p>
  </w:footnote>
  <w:footnote w:id="6">
    <w:p w14:paraId="0217FA78" w14:textId="77777777" w:rsidR="00A31106" w:rsidRPr="00516DB5" w:rsidRDefault="00A31106" w:rsidP="00C30228">
      <w:pPr>
        <w:pStyle w:val="Textodenotaderodap"/>
        <w:jc w:val="both"/>
        <w:rPr>
          <w:rFonts w:ascii="Times New Roman" w:hAnsi="Times New Roman" w:cs="Times New Roman"/>
          <w:lang w:val="pt-BR"/>
        </w:rPr>
      </w:pPr>
      <w:r w:rsidRPr="00516DB5">
        <w:rPr>
          <w:rStyle w:val="Refdenotaderodap"/>
          <w:rFonts w:ascii="Times New Roman" w:hAnsi="Times New Roman" w:cs="Times New Roman"/>
        </w:rPr>
        <w:footnoteRef/>
      </w:r>
      <w:r w:rsidRPr="00516DB5">
        <w:rPr>
          <w:rFonts w:ascii="Times New Roman" w:hAnsi="Times New Roman" w:cs="Times New Roman"/>
          <w:lang w:val="pt-BR"/>
        </w:rPr>
        <w:t xml:space="preserve"> “Art. 5º que ratifica o desenvolvimento nacional sustentável como princípio nas licitações e contratações públicas; Art. 6º, incisos XII, XVIII, alínea "h", XXIII, alínea "c", XXIV, alínea "e", XXV e XXV, alínea "a" que incorporam o tema em diversas conceituações essenciais; Art. 11, inciso IV e parágrafo único impondo o desenvolvimento nacional sustentável como finalidade a ser buscada; Art. 18, §1º, inciso XII, que, já na fase preparatória, estabelece a necessidade de avaliação prévia dos aspectos de sustentabilidade ali relacionados; Art. 25, §5º, inciso I e §6º e 115, §4º, que tratam do licenciamento ambiental; Art. 26, inciso II, que admite o estabelecimento de margem de preferência para de bens reciclados, recicláveis ou biodegradáveis; Art. 34, §1º, que permite a inclusão de custos decorrentes dos impactos ambientais na precificação do objeto, sempre que objetivamente mensuráveis, embora isso ainda precise ser regulamentado; Art. 42, inciso III, que inclui a avaliação do aspecto ambiental na comprovação da qualidade e conformidade do produto ofertado; Art. 45, incisos I a VI, contendo um rol amplo de requisitos de sustentabilidade a serem observados nas contratações de obras e serviços de engenharia; Art. 74, inciso III, alínea "h", que estabelece a inexigibilidade de licitação para serviços técnicos especializados de natureza predominantemente intelectual com interessados que realizem "controles de qualidade e tecnológico, análises, testes e ensaios de campo e laboratoriais, instrumentação e monitoramento de parâmetros específicos de obras e do meio ambiente".; Art. 75, inciso III, alínea "j" que assegura a dispensa de licitação para contratação de associações ou cooperativas catadores de materiais recicláveis; Art. 92, XVII, e 116, dando efetividade a políticas públicas de inclusão social; Art. 124, §2º e 137, inciso VI e §2º, inciso V, que permitem o reequilíbrio do contrato devido ao atraso na conclusão de procedimentos de desapropriação, desocupação, servidão administrativa ou licenciamento ambiental por circunstâncias alheias ao contratado bem como a extinção contratual; Art. 144, caput, contendo incentivos à competitividade mediante o estabelecimento de remuneração variável com base em critérios de sustentabilidade ambiental vinculada ao desempenho do contratado; Art. 147, incisos II e III, que condicionam a decisão sobre a suspensão da execução ou sobre a declaração de nulidade do contrato à avaliação, entre outros motivos, de aspectos de sustentabilidade socioambiental; Art. 178 que introduz crime específico de Omissão grave de dado ou de informação por projetista, por meio do Art. 337-O no qual seu §1º resta assim qualificado: “Consideram-se condição de contorno as informações e os levantamentos suficientes e necessários para a definição da solução de projeto e dos respectivos preços pelo licitante, incluídos sondagens, topografia, estudos de demanda, condições ambientais e demais elementos ambientais impactantes, considerados requisitos mínimos ou obrigatórios em normas técnicas que orientam a elaboração de projetos.”</w:t>
      </w:r>
    </w:p>
  </w:footnote>
  <w:footnote w:id="7">
    <w:p w14:paraId="6CF07EAB" w14:textId="77777777" w:rsidR="00A31106" w:rsidRPr="00516DB5" w:rsidRDefault="00A31106" w:rsidP="00516DB5">
      <w:pPr>
        <w:pStyle w:val="Textodenotaderodap"/>
        <w:jc w:val="both"/>
        <w:rPr>
          <w:rFonts w:ascii="Times New Roman" w:hAnsi="Times New Roman" w:cs="Times New Roman"/>
          <w:lang w:val="pt-BR"/>
        </w:rPr>
      </w:pPr>
      <w:r w:rsidRPr="00516DB5">
        <w:rPr>
          <w:rStyle w:val="Refdenotaderodap"/>
          <w:rFonts w:ascii="Times New Roman" w:hAnsi="Times New Roman" w:cs="Times New Roman"/>
        </w:rPr>
        <w:footnoteRef/>
      </w:r>
      <w:r w:rsidRPr="00516DB5">
        <w:rPr>
          <w:rFonts w:ascii="Times New Roman" w:hAnsi="Times New Roman" w:cs="Times New Roman"/>
          <w:lang w:val="pt-BR"/>
        </w:rPr>
        <w:t xml:space="preserve"> PARECER n. 00001/2021/CNS/CGU/AGU: EMENTA: I. Os órgãos e entidades que compõem a administração pública são obrigados a adotar critérios e práticas de sustentabilidade socioambiental e de acessibilidade nas contratações públicas, nas fases de planejamento, seleção de fornecedor, execução contratual, fiscalização e na gestão dos resíduos sólidos; II. A impossibilidade de adoção de tais critérios e práticas de sustentabilidade nas contratações públicas deverá ser justificada pelo gestor competente nos autos do processo administrativo, com a indicação das pertinentes razões de fato e/ou direito; III. Recomenda-se aos agentes da administração pública federal encarregados de realizar contratações públicas, que, no exercício de suas atribuições funcionais, consultem o Guia Nacional de Contratações Sustentáveis da Advocacia-Geral da União.</w:t>
      </w:r>
    </w:p>
  </w:footnote>
  <w:footnote w:id="8">
    <w:p w14:paraId="6138655A" w14:textId="77777777" w:rsidR="00A31106" w:rsidRPr="00516DB5" w:rsidRDefault="00A31106" w:rsidP="00516D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r w:rsidRPr="00516DB5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516DB5">
        <w:rPr>
          <w:rFonts w:ascii="Times New Roman" w:hAnsi="Times New Roman" w:cs="Times New Roman"/>
          <w:sz w:val="20"/>
          <w:szCs w:val="20"/>
          <w:lang w:val="pt-BR"/>
        </w:rPr>
        <w:t xml:space="preserve"> Art. 4º Para os fins do disposto no art. 2º , são considerados critérios e práticas sustentáveis, entre outras:    I - baixo impacto sobre recursos naturais como flora, fauna, ar, solo e água;</w:t>
      </w:r>
      <w:r w:rsidRPr="00B31FE5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516DB5">
        <w:rPr>
          <w:rFonts w:ascii="Times New Roman" w:hAnsi="Times New Roman" w:cs="Times New Roman"/>
          <w:sz w:val="20"/>
          <w:szCs w:val="20"/>
          <w:lang w:val="pt-BR"/>
        </w:rPr>
        <w:t>II – preferência para materiais, tecnologias e matérias-primas de origem local;</w:t>
      </w:r>
      <w:r w:rsidRPr="00B31FE5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516DB5">
        <w:rPr>
          <w:rFonts w:ascii="Times New Roman" w:hAnsi="Times New Roman" w:cs="Times New Roman"/>
          <w:sz w:val="20"/>
          <w:szCs w:val="20"/>
          <w:lang w:val="pt-BR"/>
        </w:rPr>
        <w:t>III – maior eficiência na utilização de recursos naturais como água e energia;</w:t>
      </w:r>
      <w:r w:rsidRPr="00B31FE5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516DB5">
        <w:rPr>
          <w:rFonts w:ascii="Times New Roman" w:hAnsi="Times New Roman" w:cs="Times New Roman"/>
          <w:sz w:val="20"/>
          <w:szCs w:val="20"/>
          <w:lang w:val="pt-BR"/>
        </w:rPr>
        <w:t>IV – maior geração de empregos, preferencialmente com mão de obra local;</w:t>
      </w:r>
      <w:r w:rsidRPr="00B31FE5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516DB5">
        <w:rPr>
          <w:rFonts w:ascii="Times New Roman" w:hAnsi="Times New Roman" w:cs="Times New Roman"/>
          <w:sz w:val="20"/>
          <w:szCs w:val="20"/>
          <w:lang w:val="pt-BR"/>
        </w:rPr>
        <w:t>V – maior vida útil e menor custo de manutenção do bem e da obra; VI - uso de inovações que reduzam a pressão sobre recursos naturais; VII - origem sustentável dos recursos naturais utilizados nos bens, nos serviços e nas obras; VIII - utilização de produtos florestais madeireiros e não madeireiros originários de manejo florestal sustentável ou de reflorestamento. </w:t>
      </w:r>
    </w:p>
    <w:p w14:paraId="4B950895" w14:textId="77777777" w:rsidR="00A31106" w:rsidRPr="00DB4118" w:rsidRDefault="00A31106">
      <w:pPr>
        <w:pStyle w:val="Textodenotaderodap"/>
        <w:rPr>
          <w:lang w:val="pt-BR"/>
        </w:rPr>
      </w:pPr>
    </w:p>
  </w:footnote>
  <w:footnote w:id="9">
    <w:p w14:paraId="2F7722A2" w14:textId="77777777" w:rsidR="00A31106" w:rsidRPr="000D4FA8" w:rsidRDefault="00A31106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0D4FA8">
        <w:rPr>
          <w:lang w:val="pt-BR"/>
        </w:rPr>
        <w:t xml:space="preserve"> </w:t>
      </w:r>
      <w:r>
        <w:rPr>
          <w:lang w:val="pt-BR"/>
        </w:rPr>
        <w:t>Disponível em &lt;</w:t>
      </w:r>
      <w:r w:rsidRPr="000D4FA8">
        <w:rPr>
          <w:lang w:val="pt-BR"/>
        </w:rPr>
        <w:t xml:space="preserve"> https://www.oecd.org/daf/competition/Highlights-OECD-Report-Fighting-Bid-Rigging-in-Brazil-2021-pt.pdf</w:t>
      </w:r>
      <w:r>
        <w:rPr>
          <w:lang w:val="pt-BR"/>
        </w:rPr>
        <w:t>&gt;</w:t>
      </w:r>
    </w:p>
  </w:footnote>
  <w:footnote w:id="10">
    <w:p w14:paraId="087866EA" w14:textId="77777777" w:rsidR="00A31106" w:rsidRPr="0082692E" w:rsidRDefault="00A31106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82692E">
        <w:rPr>
          <w:lang w:val="pt-BR"/>
        </w:rPr>
        <w:t xml:space="preserve"> </w:t>
      </w:r>
      <w:r>
        <w:rPr>
          <w:lang w:val="pt-BR"/>
        </w:rPr>
        <w:t>Disponível em &lt;</w:t>
      </w:r>
      <w:r w:rsidRPr="0082692E">
        <w:rPr>
          <w:lang w:val="pt-BR"/>
        </w:rPr>
        <w:t xml:space="preserve"> https://cdn.cade.gov.br/Portal/Not%C3%ADcias/2019/Cade%20publica%20Guia%20de%20Combate%20a%20Cart%C3%A9is%20em%20Licita%C3%A7%C3%A3o__guia-de-combate-a-carteis-em-licitacao-versao-final-1.pdf</w:t>
      </w:r>
      <w:r>
        <w:rPr>
          <w:lang w:val="pt-BR"/>
        </w:rPr>
        <w:t>&gt;</w:t>
      </w:r>
    </w:p>
  </w:footnote>
  <w:footnote w:id="11">
    <w:p w14:paraId="0E10CC1E" w14:textId="77777777" w:rsidR="00A31106" w:rsidRPr="0082692E" w:rsidRDefault="00A31106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82692E">
        <w:rPr>
          <w:lang w:val="pt-BR"/>
        </w:rPr>
        <w:t xml:space="preserve"> </w:t>
      </w:r>
      <w:r>
        <w:rPr>
          <w:lang w:val="pt-BR"/>
        </w:rPr>
        <w:t>Disponível em: &lt;</w:t>
      </w:r>
      <w:r w:rsidRPr="0082692E">
        <w:rPr>
          <w:lang w:val="pt-BR"/>
        </w:rPr>
        <w:t>https://www.gov.br/cade/pt-br/canais_atendimento/clique-denuncia</w:t>
      </w:r>
      <w:r>
        <w:rPr>
          <w:lang w:val="pt-BR"/>
        </w:rPr>
        <w:t>&gt;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2697"/>
    <w:multiLevelType w:val="hybridMultilevel"/>
    <w:tmpl w:val="EAE4B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87868"/>
    <w:multiLevelType w:val="hybridMultilevel"/>
    <w:tmpl w:val="FBC2C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1E8C"/>
    <w:multiLevelType w:val="multilevel"/>
    <w:tmpl w:val="1CBCA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D80372"/>
    <w:multiLevelType w:val="hybridMultilevel"/>
    <w:tmpl w:val="885225FC"/>
    <w:lvl w:ilvl="0" w:tplc="16B4584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02754"/>
    <w:multiLevelType w:val="hybridMultilevel"/>
    <w:tmpl w:val="F1DE5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E516C"/>
    <w:multiLevelType w:val="hybridMultilevel"/>
    <w:tmpl w:val="E3DAA15C"/>
    <w:lvl w:ilvl="0" w:tplc="6EF66F78">
      <w:start w:val="1"/>
      <w:numFmt w:val="decimal"/>
      <w:pStyle w:val="Para"/>
      <w:lvlText w:val="%1."/>
      <w:lvlJc w:val="left"/>
      <w:pPr>
        <w:ind w:left="680" w:hanging="340"/>
      </w:pPr>
      <w:rPr>
        <w:rFonts w:hint="default"/>
      </w:rPr>
    </w:lvl>
    <w:lvl w:ilvl="1" w:tplc="0DA27B04">
      <w:start w:val="1"/>
      <w:numFmt w:val="lowerLetter"/>
      <w:lvlText w:val="%2.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2" w:tplc="AF249572">
      <w:start w:val="1"/>
      <w:numFmt w:val="lowerRoman"/>
      <w:lvlText w:val="%3."/>
      <w:lvlJc w:val="right"/>
      <w:pPr>
        <w:ind w:left="1361" w:hanging="227"/>
      </w:pPr>
      <w:rPr>
        <w:rFonts w:hint="default"/>
      </w:rPr>
    </w:lvl>
    <w:lvl w:ilvl="3" w:tplc="6DA6E442">
      <w:start w:val="1"/>
      <w:numFmt w:val="lowerLetter"/>
      <w:lvlText w:val="%4)"/>
      <w:lvlJc w:val="left"/>
      <w:pPr>
        <w:tabs>
          <w:tab w:val="num" w:pos="1361"/>
        </w:tabs>
        <w:ind w:left="1701" w:hanging="340"/>
      </w:pPr>
      <w:rPr>
        <w:rFonts w:hint="default"/>
      </w:rPr>
    </w:lvl>
    <w:lvl w:ilvl="4" w:tplc="1BA86D40">
      <w:start w:val="1"/>
      <w:numFmt w:val="decimal"/>
      <w:lvlText w:val="%5)"/>
      <w:lvlJc w:val="left"/>
      <w:pPr>
        <w:tabs>
          <w:tab w:val="num" w:pos="1701"/>
        </w:tabs>
        <w:ind w:left="2041" w:hanging="34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C37E20"/>
    <w:multiLevelType w:val="hybridMultilevel"/>
    <w:tmpl w:val="B30EB5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46168"/>
    <w:multiLevelType w:val="hybridMultilevel"/>
    <w:tmpl w:val="7AA21AC6"/>
    <w:lvl w:ilvl="0" w:tplc="4AD2C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72AEE7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44A91"/>
    <w:multiLevelType w:val="hybridMultilevel"/>
    <w:tmpl w:val="B30C604E"/>
    <w:lvl w:ilvl="0" w:tplc="4AD2C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72AEE7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94DFF"/>
    <w:multiLevelType w:val="hybridMultilevel"/>
    <w:tmpl w:val="666E0748"/>
    <w:lvl w:ilvl="0" w:tplc="E3828F7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925908">
    <w:abstractNumId w:val="0"/>
  </w:num>
  <w:num w:numId="2" w16cid:durableId="1660692813">
    <w:abstractNumId w:val="3"/>
  </w:num>
  <w:num w:numId="3" w16cid:durableId="992222795">
    <w:abstractNumId w:val="7"/>
  </w:num>
  <w:num w:numId="4" w16cid:durableId="645470313">
    <w:abstractNumId w:val="8"/>
  </w:num>
  <w:num w:numId="5" w16cid:durableId="1059865438">
    <w:abstractNumId w:val="1"/>
  </w:num>
  <w:num w:numId="6" w16cid:durableId="1869949405">
    <w:abstractNumId w:val="4"/>
  </w:num>
  <w:num w:numId="7" w16cid:durableId="994988894">
    <w:abstractNumId w:val="9"/>
  </w:num>
  <w:num w:numId="8" w16cid:durableId="1457336245">
    <w:abstractNumId w:val="5"/>
  </w:num>
  <w:num w:numId="9" w16cid:durableId="2052339827">
    <w:abstractNumId w:val="6"/>
  </w:num>
  <w:num w:numId="10" w16cid:durableId="158891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E01"/>
    <w:rsid w:val="00005E93"/>
    <w:rsid w:val="00016972"/>
    <w:rsid w:val="00077676"/>
    <w:rsid w:val="000B5967"/>
    <w:rsid w:val="000C4FB7"/>
    <w:rsid w:val="000D4FA8"/>
    <w:rsid w:val="000F59B8"/>
    <w:rsid w:val="001215FB"/>
    <w:rsid w:val="00177F6D"/>
    <w:rsid w:val="001B1795"/>
    <w:rsid w:val="00205374"/>
    <w:rsid w:val="002340A3"/>
    <w:rsid w:val="00240E35"/>
    <w:rsid w:val="0028295F"/>
    <w:rsid w:val="002F2BFF"/>
    <w:rsid w:val="00310C5B"/>
    <w:rsid w:val="003442C2"/>
    <w:rsid w:val="00411E7C"/>
    <w:rsid w:val="00433556"/>
    <w:rsid w:val="004464A7"/>
    <w:rsid w:val="00516DB5"/>
    <w:rsid w:val="00542D91"/>
    <w:rsid w:val="005709EF"/>
    <w:rsid w:val="00582AEA"/>
    <w:rsid w:val="00590E01"/>
    <w:rsid w:val="005A4F2C"/>
    <w:rsid w:val="005D7C33"/>
    <w:rsid w:val="00615191"/>
    <w:rsid w:val="00646293"/>
    <w:rsid w:val="006D0F3A"/>
    <w:rsid w:val="00715037"/>
    <w:rsid w:val="007E76FD"/>
    <w:rsid w:val="0082692E"/>
    <w:rsid w:val="00833D4F"/>
    <w:rsid w:val="008507B8"/>
    <w:rsid w:val="008601DC"/>
    <w:rsid w:val="008C4298"/>
    <w:rsid w:val="008F2ABC"/>
    <w:rsid w:val="00A1297F"/>
    <w:rsid w:val="00A234C4"/>
    <w:rsid w:val="00A31106"/>
    <w:rsid w:val="00A31BC6"/>
    <w:rsid w:val="00AB51DC"/>
    <w:rsid w:val="00AF4159"/>
    <w:rsid w:val="00B0012E"/>
    <w:rsid w:val="00B31FE5"/>
    <w:rsid w:val="00B45D37"/>
    <w:rsid w:val="00B5761B"/>
    <w:rsid w:val="00C30228"/>
    <w:rsid w:val="00CD33AE"/>
    <w:rsid w:val="00D60304"/>
    <w:rsid w:val="00D76644"/>
    <w:rsid w:val="00D77977"/>
    <w:rsid w:val="00D940A0"/>
    <w:rsid w:val="00DB4118"/>
    <w:rsid w:val="00DF4EEC"/>
    <w:rsid w:val="00E65594"/>
    <w:rsid w:val="00EA687F"/>
    <w:rsid w:val="00F4541B"/>
    <w:rsid w:val="00F56F6F"/>
    <w:rsid w:val="00F77075"/>
    <w:rsid w:val="00FC3DB3"/>
    <w:rsid w:val="00FD7DCC"/>
    <w:rsid w:val="00FE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F96C9"/>
  <w15:chartTrackingRefBased/>
  <w15:docId w15:val="{629E09A3-FEBA-4017-926A-CA293B8B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D0F3A"/>
    <w:pPr>
      <w:ind w:left="720"/>
      <w:contextualSpacing/>
    </w:pPr>
  </w:style>
  <w:style w:type="paragraph" w:customStyle="1" w:styleId="Default">
    <w:name w:val="Default"/>
    <w:rsid w:val="005D7C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D7DC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D7DC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D7DCC"/>
    <w:rPr>
      <w:vertAlign w:val="superscript"/>
    </w:rPr>
  </w:style>
  <w:style w:type="paragraph" w:customStyle="1" w:styleId="Para">
    <w:name w:val="Para #"/>
    <w:basedOn w:val="Normal"/>
    <w:link w:val="ParaChar"/>
    <w:uiPriority w:val="4"/>
    <w:qFormat/>
    <w:rsid w:val="00542D91"/>
    <w:pPr>
      <w:numPr>
        <w:numId w:val="8"/>
      </w:numPr>
      <w:tabs>
        <w:tab w:val="left" w:pos="1361"/>
      </w:tabs>
      <w:spacing w:before="120" w:after="120" w:line="240" w:lineRule="auto"/>
      <w:ind w:right="680"/>
      <w:jc w:val="both"/>
    </w:pPr>
    <w:rPr>
      <w:rFonts w:ascii="Times New Roman" w:eastAsia="SimSun" w:hAnsi="Times New Roman" w:cs="Times New Roman"/>
      <w:lang w:val="en-GB"/>
    </w:rPr>
  </w:style>
  <w:style w:type="character" w:styleId="Hyperlink">
    <w:name w:val="Hyperlink"/>
    <w:basedOn w:val="Fontepargpadro"/>
    <w:uiPriority w:val="99"/>
    <w:unhideWhenUsed/>
    <w:rsid w:val="00542D91"/>
    <w:rPr>
      <w:color w:val="0563C1" w:themeColor="hyperlink"/>
      <w:u w:val="single"/>
    </w:rPr>
  </w:style>
  <w:style w:type="character" w:customStyle="1" w:styleId="ParaChar">
    <w:name w:val="Para # Char"/>
    <w:basedOn w:val="Fontepargpadro"/>
    <w:link w:val="Para"/>
    <w:uiPriority w:val="4"/>
    <w:rsid w:val="00542D91"/>
    <w:rPr>
      <w:rFonts w:ascii="Times New Roman" w:eastAsia="SimSun" w:hAnsi="Times New Roman" w:cs="Times New Roman"/>
      <w:lang w:val="en-GB"/>
    </w:rPr>
  </w:style>
  <w:style w:type="character" w:styleId="Refdenotadefim">
    <w:name w:val="endnote reference"/>
    <w:basedOn w:val="Fontepargpadro"/>
    <w:uiPriority w:val="99"/>
    <w:unhideWhenUsed/>
    <w:qFormat/>
    <w:rsid w:val="00542D91"/>
    <w:rPr>
      <w:rFonts w:ascii="Times New Roman" w:hAnsi="Times New Roman"/>
      <w:i w:val="0"/>
      <w:position w:val="0"/>
      <w:sz w:val="22"/>
      <w:vertAlign w:val="superscript"/>
    </w:rPr>
  </w:style>
  <w:style w:type="paragraph" w:styleId="Textodenotadefim">
    <w:name w:val="endnote text"/>
    <w:basedOn w:val="Textodenotaderodap"/>
    <w:link w:val="TextodenotadefimChar"/>
    <w:uiPriority w:val="99"/>
    <w:unhideWhenUsed/>
    <w:qFormat/>
    <w:rsid w:val="00542D91"/>
    <w:pPr>
      <w:spacing w:after="120"/>
      <w:ind w:left="680" w:right="680"/>
      <w:jc w:val="both"/>
    </w:pPr>
    <w:rPr>
      <w:rFonts w:ascii="Times New Roman" w:eastAsia="SimSun" w:hAnsi="Times New Roman" w:cs="Times New Roman"/>
      <w:szCs w:val="22"/>
      <w:lang w:val="en-GB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542D91"/>
    <w:rPr>
      <w:rFonts w:ascii="Times New Roman" w:eastAsia="SimSun" w:hAnsi="Times New Roman" w:cs="Times New Roman"/>
      <w:sz w:val="20"/>
      <w:lang w:val="en-GB"/>
    </w:rPr>
  </w:style>
  <w:style w:type="character" w:styleId="MenoPendente">
    <w:name w:val="Unresolved Mention"/>
    <w:basedOn w:val="Fontepargpadro"/>
    <w:uiPriority w:val="99"/>
    <w:semiHidden/>
    <w:unhideWhenUsed/>
    <w:rsid w:val="002F2BF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31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2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library.worldbank.org/doi/abs/10.1596/359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787/13130fbb-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dn.cade.gov.br/Portal/centrais-de-conteudo/publicacoes/guias-do-cade/guia-de-combate-a-carteis-em-licitacao-versao-final-1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2ECF4-7F45-41AE-86E9-72533CE19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2988</TotalTime>
  <Pages>16</Pages>
  <Words>4893</Words>
  <Characters>27549</Characters>
  <Application>Microsoft Office Word</Application>
  <DocSecurity>0</DocSecurity>
  <Lines>417</Lines>
  <Paragraphs>116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32326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Mateus Rocha</cp:lastModifiedBy>
  <cp:revision>5</cp:revision>
  <dcterms:created xsi:type="dcterms:W3CDTF">2023-08-23T17:17:00Z</dcterms:created>
  <dcterms:modified xsi:type="dcterms:W3CDTF">2023-09-15T15:08:00Z</dcterms:modified>
  <cp:category/>
</cp:coreProperties>
</file>