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FB017" w14:textId="77777777" w:rsidR="00590E01" w:rsidRPr="008C4298" w:rsidRDefault="006D0F3A" w:rsidP="008C42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8C4298">
        <w:rPr>
          <w:rFonts w:ascii="Times New Roman" w:hAnsi="Times New Roman" w:cs="Times New Roman"/>
          <w:b/>
          <w:sz w:val="28"/>
          <w:szCs w:val="28"/>
          <w:lang w:val="pt-BR"/>
        </w:rPr>
        <w:t>CONTRATAÇÕES PÚBLICAS SUSTENTÁVEIS: A IMPORTÂNCIA DO COMBATE A CARTÉIS</w:t>
      </w:r>
    </w:p>
    <w:p w14:paraId="2EA29940" w14:textId="77777777" w:rsidR="00205374" w:rsidRPr="0028295F" w:rsidRDefault="00205374" w:rsidP="002829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EDDFFF3" w14:textId="77777777" w:rsidR="0028295F" w:rsidRPr="0028295F" w:rsidRDefault="00205374" w:rsidP="008601D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8295F">
        <w:rPr>
          <w:rFonts w:ascii="Times New Roman" w:hAnsi="Times New Roman" w:cs="Times New Roman"/>
          <w:b/>
          <w:sz w:val="24"/>
          <w:szCs w:val="24"/>
          <w:lang w:val="pt-BR"/>
        </w:rPr>
        <w:t>RESUMO</w:t>
      </w:r>
    </w:p>
    <w:p w14:paraId="15B0CB05" w14:textId="77777777" w:rsidR="00205374" w:rsidRPr="0028295F" w:rsidRDefault="0028295F" w:rsidP="008601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8295F">
        <w:rPr>
          <w:rFonts w:ascii="Times New Roman" w:hAnsi="Times New Roman" w:cs="Times New Roman"/>
          <w:sz w:val="24"/>
          <w:szCs w:val="24"/>
          <w:lang w:val="pt-BR"/>
        </w:rPr>
        <w:t xml:space="preserve">o tema das contratações sustentáveis tem cada vez mais importância para os governos, tanto no cenário doméstico quando em discussões internacionais. Essa importância é justificada por, pelo menos, dois fatores: a emergência da crise climática e o poder regulatório das compras públicas, considerando o alto volume e, consequentemente, o considerável impacto dessas aquisições no mercado. Como resposta a essa importância crescente, o ordenamento jurídico interno e iniciativas em âmbito internacional contam com várias previsões que determinam que a Administração, em suas compras, leve em consideração critérios de sustentabilidade. Ocorre que as compras públicas sustentáveis têm se concentrado na dimensão ambiental do conceito de sustentabilidade, sem que </w:t>
      </w:r>
      <w:r w:rsidR="00B5761B">
        <w:rPr>
          <w:rFonts w:ascii="Times New Roman" w:hAnsi="Times New Roman" w:cs="Times New Roman"/>
          <w:sz w:val="24"/>
          <w:szCs w:val="24"/>
          <w:lang w:val="pt-BR"/>
        </w:rPr>
        <w:t xml:space="preserve">a mesma ênfase seja dada aos elementos </w:t>
      </w:r>
      <w:r w:rsidRPr="0028295F">
        <w:rPr>
          <w:rFonts w:ascii="Times New Roman" w:hAnsi="Times New Roman" w:cs="Times New Roman"/>
          <w:sz w:val="24"/>
          <w:szCs w:val="24"/>
          <w:lang w:val="pt-BR"/>
        </w:rPr>
        <w:t xml:space="preserve">social e econômico. Do ponto de vista econômico, contratações sustentáveis devem ser aquelas que contem com critérios capazes de contribuir com a higidez da ordem econômica. Uma das formas de cumprir essa missão é fortalecer o combate a carteis. Neste artigo, são apresentadas medidas de aperfeiçoamento do combate a carteis especificamente destinadas à realidade da advocacia pública e que foram divididas em </w:t>
      </w:r>
      <w:r w:rsidR="000B5967">
        <w:rPr>
          <w:rFonts w:ascii="Times New Roman" w:hAnsi="Times New Roman" w:cs="Times New Roman"/>
          <w:sz w:val="24"/>
          <w:szCs w:val="24"/>
          <w:lang w:val="pt-BR"/>
        </w:rPr>
        <w:t>dois eixos</w:t>
      </w:r>
      <w:r w:rsidRPr="0028295F">
        <w:rPr>
          <w:rFonts w:ascii="Times New Roman" w:hAnsi="Times New Roman" w:cs="Times New Roman"/>
          <w:sz w:val="24"/>
          <w:szCs w:val="24"/>
          <w:lang w:val="pt-BR"/>
        </w:rPr>
        <w:t>: controle</w:t>
      </w:r>
      <w:r w:rsidR="000B5967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Pr="0028295F">
        <w:rPr>
          <w:rFonts w:ascii="Times New Roman" w:hAnsi="Times New Roman" w:cs="Times New Roman"/>
          <w:sz w:val="24"/>
          <w:szCs w:val="24"/>
          <w:lang w:val="pt-BR"/>
        </w:rPr>
        <w:t>reparação de danos</w:t>
      </w:r>
      <w:r w:rsidR="000B5967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A694C11" w14:textId="77777777" w:rsidR="00205374" w:rsidRPr="00A234C4" w:rsidRDefault="00205374" w:rsidP="00205374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74980C6D" w14:textId="77777777" w:rsidR="006D0F3A" w:rsidRDefault="00205374" w:rsidP="0028295F">
      <w:pPr>
        <w:pStyle w:val="PargrafodaLista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8295F">
        <w:rPr>
          <w:rFonts w:ascii="Times New Roman" w:hAnsi="Times New Roman" w:cs="Times New Roman"/>
          <w:b/>
          <w:sz w:val="24"/>
          <w:szCs w:val="24"/>
          <w:lang w:val="pt-BR"/>
        </w:rPr>
        <w:t>I</w:t>
      </w:r>
      <w:r w:rsidR="0028295F">
        <w:rPr>
          <w:rFonts w:ascii="Times New Roman" w:hAnsi="Times New Roman" w:cs="Times New Roman"/>
          <w:b/>
          <w:sz w:val="24"/>
          <w:szCs w:val="24"/>
          <w:lang w:val="pt-BR"/>
        </w:rPr>
        <w:t xml:space="preserve">NTRODUÇÃO </w:t>
      </w:r>
    </w:p>
    <w:p w14:paraId="0821B327" w14:textId="77777777" w:rsidR="000B5967" w:rsidRPr="0028295F" w:rsidRDefault="000B5967" w:rsidP="000B5967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0FE294E5" w14:textId="77777777" w:rsidR="00205374" w:rsidRDefault="00B5761B" w:rsidP="002053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Contratos públicos são um dos pilares da Administração. São esses ajustes que permitem ao Poder Público dar cabo de sua missão finalística: atender demandas da coletividade, prestar serviços públicos, manter em funcionamento o Estado. Um campo de atuação tão importante dos Governos não poderia deixar de sofrer os fortes influxos dos debates que dominam a agenda global, no caso, a busca pela sustentabilidade. É nesse contexto que os governos são chamados a responder à seguinte pergunta: como o enorme poder de compra da administração pode ser utilizado para tentar mitigar as mudanças climáticas? </w:t>
      </w:r>
    </w:p>
    <w:p w14:paraId="0276D1BD" w14:textId="77777777" w:rsidR="008601DC" w:rsidRDefault="00016972" w:rsidP="002053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Em números divulgados pela Organização para a Cooperação e Desenvolvimento Econômico, consta que, em 2018, 55% dos países da América-Latina e Caribe tinham como um dos objetivos de suas </w:t>
      </w:r>
      <w:r>
        <w:rPr>
          <w:rFonts w:ascii="Times New Roman" w:hAnsi="Times New Roman" w:cs="Times New Roman"/>
          <w:sz w:val="24"/>
          <w:szCs w:val="24"/>
          <w:lang w:val="pt-BR"/>
        </w:rPr>
        <w:lastRenderedPageBreak/>
        <w:t>compras públicas a promoção de licitações verdes, sejam elas desenvolvidas pelo governo central ou como políticas internas de determinadas entidades governamentais (OCDE, 202</w:t>
      </w:r>
      <w:r w:rsidR="002F2BFF">
        <w:rPr>
          <w:rFonts w:ascii="Times New Roman" w:hAnsi="Times New Roman" w:cs="Times New Roman"/>
          <w:sz w:val="24"/>
          <w:szCs w:val="24"/>
          <w:lang w:val="pt-BR"/>
        </w:rPr>
        <w:t>0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). O número é significativamente mais baixo que o percentual de 93% países membros da OCDE que declaram ter o mesmo tipo de política, que corresponde. Esses números chamam mais a atenção em um contexto no qual os </w:t>
      </w:r>
      <w:r w:rsidR="008601DC">
        <w:rPr>
          <w:rFonts w:ascii="Times New Roman" w:hAnsi="Times New Roman" w:cs="Times New Roman"/>
          <w:sz w:val="24"/>
          <w:szCs w:val="24"/>
          <w:lang w:val="pt-BR"/>
        </w:rPr>
        <w:t>latinos têm um percentual significativo de seus gastos destinado às compras públicas. Dados de 2017 mostram que, na média, 6% do PIB desses países é gasto com compras públicas, o que corresponde a 17,4% do total dos gastos públicos em governos da região</w:t>
      </w:r>
      <w:r w:rsidR="002F2BFF">
        <w:rPr>
          <w:rFonts w:ascii="Times New Roman" w:hAnsi="Times New Roman" w:cs="Times New Roman"/>
          <w:sz w:val="24"/>
          <w:szCs w:val="24"/>
          <w:lang w:val="pt-BR"/>
        </w:rPr>
        <w:t xml:space="preserve"> (OCDE, 2020)</w:t>
      </w:r>
      <w:r w:rsidR="008601DC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14:paraId="2358EA26" w14:textId="77777777" w:rsidR="001B1795" w:rsidRDefault="001B1795" w:rsidP="002053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Em síntese, os números mostram que, os países latinos têm em suas mãos um grande poder decorrente do volume enorme de suas compras públicas, que </w:t>
      </w:r>
      <w:r w:rsidR="008601DC">
        <w:rPr>
          <w:rFonts w:ascii="Times New Roman" w:hAnsi="Times New Roman" w:cs="Times New Roman"/>
          <w:sz w:val="24"/>
          <w:szCs w:val="24"/>
          <w:lang w:val="pt-BR"/>
        </w:rPr>
        <w:t xml:space="preserve">pode ser muito útil </w:t>
      </w:r>
      <w:r w:rsidR="004464A7">
        <w:rPr>
          <w:rFonts w:ascii="Times New Roman" w:hAnsi="Times New Roman" w:cs="Times New Roman"/>
          <w:sz w:val="24"/>
          <w:szCs w:val="24"/>
          <w:lang w:val="pt-BR"/>
        </w:rPr>
        <w:t>para robustecer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uma agenda de importância global de promoção da sustentabilidade. O direito administrativo ensina que os poderes da administração nunca são verdadeiras faculdades, cuja emprego ou não é uma decisão voluntária do agente público; na verdade, os poderes da Administração são sempre poderes-deveres, com duas faces: prerrogativa e sujeição. </w:t>
      </w:r>
    </w:p>
    <w:p w14:paraId="251B66E9" w14:textId="77777777" w:rsidR="001B1795" w:rsidRDefault="001B1795" w:rsidP="002053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É partindo dessa concepção que este artigo pretende olhar para uma dimensão do poder-dever da administração de realizar compras sustentáveis: a promoção do desenvolvimento econômico. Isso porque o conceito de sustentabilidade é multifacetado e abriga, em seu núcleo mínimo, as dimensões ambiental, social e econômica. Todas são merecedoras de igual atenção, muito embora o debate sobre compras públicas sustentáveis seja frequentemente centralizado nas discussões ambientais. </w:t>
      </w:r>
    </w:p>
    <w:p w14:paraId="2747BE7B" w14:textId="77777777" w:rsidR="001B1795" w:rsidRDefault="001B1795" w:rsidP="002053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Nesse contexto, o trabalho inicia com uma definição sobre o que são contratações sustentáveis e algumas considerações gerais sobre a dimensão econômica desse fenômeno; em seguida, será tratado o tema dos carteis, sua definição, o prejuízo causado à administração e alguns exemplos de carteis em licitações julgados recentemente. A seção final é dedicada a expor os instrumentos e/ou caminhos de que dispõe a administração para contribuir no combate a carteis, que se dividem em </w:t>
      </w:r>
      <w:r w:rsidR="000B5967">
        <w:rPr>
          <w:rFonts w:ascii="Times New Roman" w:hAnsi="Times New Roman" w:cs="Times New Roman"/>
          <w:sz w:val="24"/>
          <w:szCs w:val="24"/>
          <w:lang w:val="pt-BR"/>
        </w:rPr>
        <w:t>duas</w:t>
      </w:r>
      <w:r>
        <w:rPr>
          <w:rFonts w:ascii="Times New Roman" w:hAnsi="Times New Roman" w:cs="Times New Roman"/>
          <w:sz w:val="24"/>
          <w:szCs w:val="24"/>
          <w:lang w:val="pt-BR"/>
        </w:rPr>
        <w:t>: o controle</w:t>
      </w:r>
      <w:r w:rsidR="000B5967">
        <w:rPr>
          <w:rFonts w:ascii="Times New Roman" w:hAnsi="Times New Roman" w:cs="Times New Roman"/>
          <w:sz w:val="24"/>
          <w:szCs w:val="24"/>
          <w:lang w:val="pt-BR"/>
        </w:rPr>
        <w:t xml:space="preserve"> 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as ações de reparação de danos</w:t>
      </w:r>
      <w:r w:rsidR="000B596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Na conclusão, destaca-se a importância de uma atuação cooperativa e coordenada de diferentes órgãos e autoridades na construção de sociedades e governos sustentáveis. </w:t>
      </w:r>
    </w:p>
    <w:p w14:paraId="06633341" w14:textId="77777777" w:rsidR="000B5967" w:rsidRDefault="000B5967" w:rsidP="000B5967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6B1EB6E" w14:textId="77777777" w:rsidR="006D0F3A" w:rsidRPr="00A234C4" w:rsidRDefault="000B5967" w:rsidP="000B5967">
      <w:pPr>
        <w:pStyle w:val="PargrafodaLista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A234C4">
        <w:rPr>
          <w:rFonts w:ascii="Times New Roman" w:hAnsi="Times New Roman" w:cs="Times New Roman"/>
          <w:b/>
          <w:sz w:val="24"/>
          <w:szCs w:val="24"/>
          <w:lang w:val="pt-BR"/>
        </w:rPr>
        <w:t>O QUE SÃO CONTRATAÇÕES SUSTENTÁVEIS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E COMO ENTENDER SUA DIMENSÃO ECONÔMICA</w:t>
      </w:r>
    </w:p>
    <w:p w14:paraId="12A191E3" w14:textId="77777777" w:rsidR="002F2BFF" w:rsidRDefault="002F2BFF" w:rsidP="00D60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B666A69" w14:textId="77777777" w:rsidR="00615191" w:rsidRPr="00A234C4" w:rsidRDefault="00A31BC6" w:rsidP="00D60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234C4">
        <w:rPr>
          <w:rFonts w:ascii="Times New Roman" w:hAnsi="Times New Roman" w:cs="Times New Roman"/>
          <w:sz w:val="24"/>
          <w:szCs w:val="24"/>
          <w:lang w:val="pt-BR"/>
        </w:rPr>
        <w:lastRenderedPageBreak/>
        <w:t>Contrataç</w:t>
      </w:r>
      <w:r w:rsidR="00CD33AE" w:rsidRPr="00A234C4">
        <w:rPr>
          <w:rFonts w:ascii="Times New Roman" w:hAnsi="Times New Roman" w:cs="Times New Roman"/>
          <w:sz w:val="24"/>
          <w:szCs w:val="24"/>
          <w:lang w:val="pt-BR"/>
        </w:rPr>
        <w:t>ões</w:t>
      </w:r>
      <w:r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 sustentáveis é uma das expressões </w:t>
      </w:r>
      <w:r w:rsidR="00CD33AE"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utilizadas para se referir às aquisições feitas pela </w:t>
      </w:r>
      <w:r w:rsidR="00715037" w:rsidRPr="00A234C4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CD33AE"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dministração </w:t>
      </w:r>
      <w:r w:rsidR="00715037" w:rsidRPr="00A234C4">
        <w:rPr>
          <w:rFonts w:ascii="Times New Roman" w:hAnsi="Times New Roman" w:cs="Times New Roman"/>
          <w:sz w:val="24"/>
          <w:szCs w:val="24"/>
          <w:lang w:val="pt-BR"/>
        </w:rPr>
        <w:t>P</w:t>
      </w:r>
      <w:r w:rsidR="00CD33AE"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ública que considerem, na escolha do bem ou produto a ser comprado, critérios que favoreçam a sustentabilidade. Por sua vez, a sustentabilidade </w:t>
      </w:r>
      <w:r w:rsidR="00615191" w:rsidRPr="00A234C4">
        <w:rPr>
          <w:rFonts w:ascii="Times New Roman" w:hAnsi="Times New Roman" w:cs="Times New Roman"/>
          <w:sz w:val="24"/>
          <w:szCs w:val="24"/>
          <w:lang w:val="pt-BR"/>
        </w:rPr>
        <w:t>descreve uma forma de desenvolvimento que seja capaz de garantir a disponibilidade de recursos na terra para as atuais e futuras gerações</w:t>
      </w:r>
      <w:r w:rsidR="00F4541B"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 e que tem como um núcleo mínimo as dimensões ambiental, social e econômica</w:t>
      </w:r>
      <w:r w:rsidR="008601DC">
        <w:rPr>
          <w:rFonts w:ascii="Times New Roman" w:hAnsi="Times New Roman" w:cs="Times New Roman"/>
          <w:sz w:val="24"/>
          <w:szCs w:val="24"/>
          <w:lang w:val="pt-BR"/>
        </w:rPr>
        <w:t xml:space="preserve"> (SARLET, FENSTERSEIFER p. 566)</w:t>
      </w:r>
      <w:r w:rsidR="00F4541B"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FC3DB3"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O conceito </w:t>
      </w:r>
      <w:r w:rsidR="008601DC">
        <w:rPr>
          <w:rFonts w:ascii="Times New Roman" w:hAnsi="Times New Roman" w:cs="Times New Roman"/>
          <w:sz w:val="24"/>
          <w:szCs w:val="24"/>
          <w:lang w:val="pt-BR"/>
        </w:rPr>
        <w:t>remonta aos trabalhos da</w:t>
      </w:r>
      <w:r w:rsidR="00FD7DCC"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 Comissão Mundial sobre Meio Ambiente e Desenvolvimento da ONU </w:t>
      </w:r>
      <w:r w:rsidR="008601DC">
        <w:rPr>
          <w:rFonts w:ascii="Times New Roman" w:hAnsi="Times New Roman" w:cs="Times New Roman"/>
          <w:sz w:val="24"/>
          <w:szCs w:val="24"/>
          <w:lang w:val="pt-BR"/>
        </w:rPr>
        <w:t xml:space="preserve">que utilizou a definição </w:t>
      </w:r>
      <w:r w:rsidR="00FD7DCC" w:rsidRPr="00A234C4">
        <w:rPr>
          <w:rFonts w:ascii="Times New Roman" w:hAnsi="Times New Roman" w:cs="Times New Roman"/>
          <w:sz w:val="24"/>
          <w:szCs w:val="24"/>
          <w:lang w:val="pt-BR"/>
        </w:rPr>
        <w:t>no Relatório Nosso Futuro Comum (1987)</w:t>
      </w:r>
      <w:r w:rsidR="00FD7DCC" w:rsidRPr="00A234C4">
        <w:rPr>
          <w:rStyle w:val="Refdenotaderodap"/>
          <w:rFonts w:ascii="Times New Roman" w:hAnsi="Times New Roman" w:cs="Times New Roman"/>
          <w:sz w:val="24"/>
          <w:szCs w:val="24"/>
          <w:lang w:val="pt-BR"/>
        </w:rPr>
        <w:footnoteReference w:id="1"/>
      </w:r>
      <w:r w:rsidR="00FD7DCC" w:rsidRPr="00A234C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30D19C9" w14:textId="77777777" w:rsidR="00FD7DCC" w:rsidRPr="00A234C4" w:rsidRDefault="00FD7DCC" w:rsidP="00D60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234C4">
        <w:rPr>
          <w:rFonts w:ascii="Times New Roman" w:hAnsi="Times New Roman" w:cs="Times New Roman"/>
          <w:sz w:val="24"/>
          <w:szCs w:val="24"/>
          <w:lang w:val="pt-BR"/>
        </w:rPr>
        <w:t>As dimensões abrigadas no núcleo mínimo do conceito representam diferentes valores que devem ser compatibilizados e ponderados durante o desenvolvimento de atividades antrópicas. Essas atividades, que sempre terão um impacto ambiental e implicarão algum nível de degradação, devem ser capazes de propiciar o crescimento econômico socialmente adequado e ambientalmente seguro e equilibrado. Além do núcleo mínimo, os estudos mais atuais na matéria já adicionam as dimensões da cultural, ética e jurídico-política</w:t>
      </w:r>
      <w:r w:rsidR="008601DC">
        <w:rPr>
          <w:rStyle w:val="Refdenotaderodap"/>
          <w:rFonts w:ascii="Times New Roman" w:hAnsi="Times New Roman" w:cs="Times New Roman"/>
          <w:sz w:val="24"/>
          <w:szCs w:val="24"/>
          <w:lang w:val="pt-BR"/>
        </w:rPr>
        <w:footnoteReference w:id="2"/>
      </w:r>
      <w:r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14:paraId="28A2ED1E" w14:textId="77777777" w:rsidR="001215FB" w:rsidRPr="00A234C4" w:rsidRDefault="00FD7DCC" w:rsidP="00D60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Dando maior concretude ao imperativo do desenvolvimento sustentável, </w:t>
      </w:r>
      <w:r w:rsidR="001215FB" w:rsidRPr="00A234C4">
        <w:rPr>
          <w:rFonts w:ascii="Times New Roman" w:hAnsi="Times New Roman" w:cs="Times New Roman"/>
          <w:sz w:val="24"/>
          <w:szCs w:val="24"/>
          <w:lang w:val="pt-BR"/>
        </w:rPr>
        <w:t>a ONU propôs, em 2015, dentro da nova agenda de desenvolvimento sustentável, 17 objetivos de desenvolvimento sustentável (ODS)</w:t>
      </w:r>
      <w:r w:rsidR="008601DC">
        <w:rPr>
          <w:rStyle w:val="Refdenotaderodap"/>
          <w:rFonts w:ascii="Times New Roman" w:hAnsi="Times New Roman" w:cs="Times New Roman"/>
          <w:sz w:val="24"/>
          <w:szCs w:val="24"/>
          <w:lang w:val="pt-BR"/>
        </w:rPr>
        <w:footnoteReference w:id="3"/>
      </w:r>
      <w:r w:rsidR="001215FB"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 a serem cumpridos até 2030, dentre os quais consta um relacionado às contratações sustentáveis: assegurar padrões de produção e de consumo sustentáveis (objetivo 12). Cada objetivo abriga metas próprias e, no caso do objetivo 12, uma das metas é a promoção de práticas de compras públicas sustentáveis, de acordo com as políticas e prioridades nacionais (meta n° 7). </w:t>
      </w:r>
    </w:p>
    <w:p w14:paraId="0D6F5B1D" w14:textId="77777777" w:rsidR="00D60304" w:rsidRPr="00A234C4" w:rsidRDefault="00D60304" w:rsidP="00D60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234C4">
        <w:rPr>
          <w:rFonts w:ascii="Times New Roman" w:hAnsi="Times New Roman" w:cs="Times New Roman"/>
          <w:sz w:val="24"/>
          <w:szCs w:val="24"/>
          <w:lang w:val="pt-BR"/>
        </w:rPr>
        <w:t>Embora o compromisso com os ODS tenha sido confirmado por mais de 150 líderes mundiais, inclusive o Brasil, essas obrigações não possuem caráter vinculante</w:t>
      </w:r>
      <w:r w:rsidR="008601DC">
        <w:rPr>
          <w:rFonts w:ascii="Times New Roman" w:hAnsi="Times New Roman" w:cs="Times New Roman"/>
          <w:sz w:val="24"/>
          <w:szCs w:val="24"/>
          <w:lang w:val="pt-BR"/>
        </w:rPr>
        <w:t xml:space="preserve"> (</w:t>
      </w:r>
      <w:r w:rsidR="004464A7">
        <w:rPr>
          <w:rFonts w:ascii="Times New Roman" w:hAnsi="Times New Roman" w:cs="Times New Roman"/>
          <w:sz w:val="24"/>
          <w:szCs w:val="24"/>
          <w:lang w:val="pt-BR"/>
        </w:rPr>
        <w:t>BARTH et. al, 2022)</w:t>
      </w:r>
      <w:r w:rsidR="008601DC">
        <w:rPr>
          <w:rStyle w:val="Refdenotaderodap"/>
          <w:rFonts w:ascii="Times New Roman" w:hAnsi="Times New Roman" w:cs="Times New Roman"/>
          <w:sz w:val="24"/>
          <w:szCs w:val="24"/>
          <w:lang w:val="pt-BR"/>
        </w:rPr>
        <w:footnoteReference w:id="4"/>
      </w:r>
      <w:r w:rsidRPr="00A234C4">
        <w:rPr>
          <w:rFonts w:ascii="Times New Roman" w:hAnsi="Times New Roman" w:cs="Times New Roman"/>
          <w:sz w:val="24"/>
          <w:szCs w:val="24"/>
          <w:lang w:val="pt-BR"/>
        </w:rPr>
        <w:t>. No caso brasileiro, o</w:t>
      </w:r>
      <w:r w:rsidR="001215FB"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 cumprimento dos ODS é acompanhado</w:t>
      </w:r>
      <w:r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215FB"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pelo IBGE e pela Secretaria Especial de Articulação Social/Secretaria de Governo da Presidência da República, que mantém indicadores para medição de </w:t>
      </w:r>
      <w:r w:rsidR="001215FB" w:rsidRPr="00A234C4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cada objetivo. Com relação às compras públicas, o status atual é de que as medidas para </w:t>
      </w:r>
      <w:r w:rsidRPr="00A234C4">
        <w:rPr>
          <w:rFonts w:ascii="Times New Roman" w:hAnsi="Times New Roman" w:cs="Times New Roman"/>
          <w:sz w:val="24"/>
          <w:szCs w:val="24"/>
          <w:lang w:val="pt-BR"/>
        </w:rPr>
        <w:t>atendimento à meta ainda estão em análise/construção</w:t>
      </w:r>
      <w:r w:rsidR="004464A7">
        <w:rPr>
          <w:rStyle w:val="Refdenotaderodap"/>
          <w:rFonts w:ascii="Times New Roman" w:hAnsi="Times New Roman" w:cs="Times New Roman"/>
          <w:sz w:val="24"/>
          <w:szCs w:val="24"/>
          <w:lang w:val="pt-BR"/>
        </w:rPr>
        <w:footnoteReference w:id="5"/>
      </w:r>
      <w:r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14:paraId="04072F65" w14:textId="77777777" w:rsidR="001215FB" w:rsidRPr="00A234C4" w:rsidRDefault="001215FB" w:rsidP="00D60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Embora </w:t>
      </w:r>
      <w:r w:rsidR="00715037"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os Objetivos de Desenvolvimento Sustentável não tenham </w:t>
      </w:r>
      <w:r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força vinculante, há outros instrumentos jurídicos </w:t>
      </w:r>
      <w:r w:rsidR="00205374"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dotados de exigibilidade </w:t>
      </w:r>
      <w:r w:rsidRPr="00A234C4">
        <w:rPr>
          <w:rFonts w:ascii="Times New Roman" w:hAnsi="Times New Roman" w:cs="Times New Roman"/>
          <w:sz w:val="24"/>
          <w:szCs w:val="24"/>
          <w:lang w:val="pt-BR"/>
        </w:rPr>
        <w:t>que contribuem para a consecução</w:t>
      </w:r>
      <w:r w:rsidR="00205374"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 dessas metas.</w:t>
      </w:r>
      <w:r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05E93"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No plano jurídico nacional, </w:t>
      </w:r>
      <w:r w:rsidR="000F59B8"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o art. 4°, </w:t>
      </w:r>
      <w:r w:rsidR="004464A7" w:rsidRPr="00A234C4">
        <w:rPr>
          <w:rFonts w:ascii="Times New Roman" w:hAnsi="Times New Roman" w:cs="Times New Roman"/>
          <w:sz w:val="24"/>
          <w:szCs w:val="24"/>
          <w:lang w:val="pt-BR"/>
        </w:rPr>
        <w:t>I, da</w:t>
      </w:r>
      <w:r w:rsidR="000F59B8"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 Lei n° 6.938</w:t>
      </w:r>
      <w:r w:rsidR="004464A7"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0F59B8"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1981, já previa, antes mesmo da Constituição </w:t>
      </w:r>
      <w:r w:rsidR="002F2BFF" w:rsidRPr="00A234C4">
        <w:rPr>
          <w:rFonts w:ascii="Times New Roman" w:hAnsi="Times New Roman" w:cs="Times New Roman"/>
          <w:sz w:val="24"/>
          <w:szCs w:val="24"/>
          <w:lang w:val="pt-BR"/>
        </w:rPr>
        <w:t>Federal, como</w:t>
      </w:r>
      <w:r w:rsidR="000F59B8"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 objetivo da Política Nacional de Meio Ambiente, a “compatibilização do desenvolvimento econômico-social com a preservação da qualidade do meio ambiente”</w:t>
      </w:r>
      <w:r w:rsidR="004464A7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2B1F096" w14:textId="77777777" w:rsidR="000F59B8" w:rsidRPr="00A234C4" w:rsidRDefault="000F59B8" w:rsidP="00D60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Na Constituição de 1988, os artigos 1°, III e IV, 3°, 225, 170 caput e VI, 174, §3, 186, II e art. 170, caput, formam o arcabouço constitucional do desenvolvimento sustentável e demonstram sua ramificação em diferentes dimensões: ora enquanto objetivo da república, ora como direito fundamental, como garantia subjetiva aos cidadãos, como baliza para as atividades econômicas do país, dentre outros. </w:t>
      </w:r>
    </w:p>
    <w:p w14:paraId="1F677B7E" w14:textId="77777777" w:rsidR="000F59B8" w:rsidRPr="00A234C4" w:rsidRDefault="000F59B8" w:rsidP="00D60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No plano </w:t>
      </w:r>
      <w:r w:rsidR="00FE550D" w:rsidRPr="00A234C4">
        <w:rPr>
          <w:rFonts w:ascii="Times New Roman" w:hAnsi="Times New Roman" w:cs="Times New Roman"/>
          <w:sz w:val="24"/>
          <w:szCs w:val="24"/>
          <w:lang w:val="pt-BR"/>
        </w:rPr>
        <w:t>infraconstitucional,</w:t>
      </w:r>
      <w:r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 o suporte jurídico para as contratações públicas sustentáveis também </w:t>
      </w:r>
      <w:r w:rsidR="00F77075" w:rsidRPr="00A234C4">
        <w:rPr>
          <w:rFonts w:ascii="Times New Roman" w:hAnsi="Times New Roman" w:cs="Times New Roman"/>
          <w:sz w:val="24"/>
          <w:szCs w:val="24"/>
          <w:lang w:val="pt-BR"/>
        </w:rPr>
        <w:t>é</w:t>
      </w:r>
      <w:r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11E7C" w:rsidRPr="00A234C4">
        <w:rPr>
          <w:rFonts w:ascii="Times New Roman" w:hAnsi="Times New Roman" w:cs="Times New Roman"/>
          <w:sz w:val="24"/>
          <w:szCs w:val="24"/>
          <w:lang w:val="pt-BR"/>
        </w:rPr>
        <w:t>abundante e inclui as normas gerais para licitações e contratos (Lei n° 14.133</w:t>
      </w:r>
      <w:r w:rsidR="004464A7">
        <w:rPr>
          <w:rFonts w:ascii="Times New Roman" w:hAnsi="Times New Roman" w:cs="Times New Roman"/>
          <w:sz w:val="24"/>
          <w:szCs w:val="24"/>
          <w:lang w:val="pt-BR"/>
        </w:rPr>
        <w:t xml:space="preserve">/2021 e </w:t>
      </w:r>
      <w:r w:rsidR="00411E7C" w:rsidRPr="00A234C4">
        <w:rPr>
          <w:rFonts w:ascii="Times New Roman" w:hAnsi="Times New Roman" w:cs="Times New Roman"/>
          <w:sz w:val="24"/>
          <w:szCs w:val="24"/>
          <w:lang w:val="pt-BR"/>
        </w:rPr>
        <w:t>n° 8666</w:t>
      </w:r>
      <w:r w:rsidR="004464A7">
        <w:rPr>
          <w:rFonts w:ascii="Times New Roman" w:hAnsi="Times New Roman" w:cs="Times New Roman"/>
          <w:sz w:val="24"/>
          <w:szCs w:val="24"/>
          <w:lang w:val="pt-BR"/>
        </w:rPr>
        <w:t>/1993</w:t>
      </w:r>
      <w:r w:rsidR="00411E7C"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), seus respectivos decretos regulamentadores (com destaque para o Decreto n° 7.746/2012), e as política ambientais setoriais (por exemplo, a Lei nº 6.938/1981 – Política Nacional do Meio Ambiente,  Lei nº 12.187/2009 – Política Nacional de Mudança do Clima e Lei nº 12.305/2010 – Política Nacional de Resíduos Sólidos). </w:t>
      </w:r>
    </w:p>
    <w:p w14:paraId="5FF951CF" w14:textId="77777777" w:rsidR="00411E7C" w:rsidRPr="00A234C4" w:rsidRDefault="00411E7C" w:rsidP="00D60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234C4">
        <w:rPr>
          <w:rFonts w:ascii="Times New Roman" w:hAnsi="Times New Roman" w:cs="Times New Roman"/>
          <w:sz w:val="24"/>
          <w:szCs w:val="24"/>
          <w:lang w:val="pt-BR"/>
        </w:rPr>
        <w:t>É relevante notar que o diploma possivelmente mais importante e recente na matéria de licitações e contratos, a Lei n° 14.133/2021 foi minuciosa no tópico da sustentabilidade, demonstrando um aprimoramento e a preocupação crescente do legislador com a matéria. As menções ao tema da sustentabilidade foram sistematizadas em trabalho da Advocacia-Geral da União, no qual se identificam pelo menos 16 dispositivos que disciplinam o tema</w:t>
      </w:r>
      <w:r w:rsidR="00C30228" w:rsidRPr="00A234C4">
        <w:rPr>
          <w:rStyle w:val="Refdenotaderodap"/>
          <w:rFonts w:ascii="Times New Roman" w:hAnsi="Times New Roman" w:cs="Times New Roman"/>
          <w:sz w:val="24"/>
          <w:szCs w:val="24"/>
          <w:lang w:val="pt-BR"/>
        </w:rPr>
        <w:footnoteReference w:id="6"/>
      </w:r>
      <w:r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14:paraId="7AC46583" w14:textId="77777777" w:rsidR="00411E7C" w:rsidRPr="00A234C4" w:rsidRDefault="00411E7C" w:rsidP="00E655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234C4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A atenção crescente dada </w:t>
      </w:r>
      <w:r w:rsidR="004464A7">
        <w:rPr>
          <w:rFonts w:ascii="Times New Roman" w:hAnsi="Times New Roman" w:cs="Times New Roman"/>
          <w:sz w:val="24"/>
          <w:szCs w:val="24"/>
          <w:lang w:val="pt-BR"/>
        </w:rPr>
        <w:t>à matéria</w:t>
      </w:r>
      <w:r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 das contratações sustentáveis é reflexo da urgência do tema </w:t>
      </w:r>
      <w:r w:rsidR="00C30228"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da crise climática nos governos globais. Isso porque o Poder Público, enquanto um grande comprador de produtos e serviços, tem o poder de regular o mercado a partir dos critérios utilizados em suas contratações. </w:t>
      </w:r>
      <w:r w:rsidR="00E65594" w:rsidRPr="00A234C4">
        <w:rPr>
          <w:rFonts w:ascii="Times New Roman" w:hAnsi="Times New Roman" w:cs="Times New Roman"/>
          <w:sz w:val="24"/>
          <w:szCs w:val="24"/>
          <w:lang w:val="pt-BR"/>
        </w:rPr>
        <w:t>Esse fenômeno é reconhecido como a “função regulatória da licitação”</w:t>
      </w:r>
      <w:r w:rsidR="004464A7">
        <w:rPr>
          <w:rFonts w:ascii="Times New Roman" w:hAnsi="Times New Roman" w:cs="Times New Roman"/>
          <w:sz w:val="24"/>
          <w:szCs w:val="24"/>
          <w:lang w:val="pt-BR"/>
        </w:rPr>
        <w:t xml:space="preserve">, pois </w:t>
      </w:r>
      <w:r w:rsidR="00E65594"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conforme explica Rafael Carvalho Rezende de Oliveira, </w:t>
      </w:r>
      <w:r w:rsidR="004464A7">
        <w:rPr>
          <w:rFonts w:ascii="Times New Roman" w:hAnsi="Times New Roman" w:cs="Times New Roman"/>
          <w:sz w:val="24"/>
          <w:szCs w:val="24"/>
          <w:lang w:val="pt-BR"/>
        </w:rPr>
        <w:t xml:space="preserve">a realização de licitações não tem como único objetivo a busca pelo menor preço: </w:t>
      </w:r>
      <w:proofErr w:type="gramStart"/>
      <w:r w:rsidR="004464A7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E65594"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 o</w:t>
      </w:r>
      <w:proofErr w:type="gramEnd"/>
      <w:r w:rsidR="00E65594"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 referido instituto tem espectro mais abrangente, servindo como instrumento para o atendimento de finalidades públicas outras, consagradas constitucionalmente.”</w:t>
      </w:r>
      <w:r w:rsidR="004464A7">
        <w:rPr>
          <w:rFonts w:ascii="Times New Roman" w:hAnsi="Times New Roman" w:cs="Times New Roman"/>
          <w:sz w:val="24"/>
          <w:szCs w:val="24"/>
          <w:lang w:val="pt-BR"/>
        </w:rPr>
        <w:t xml:space="preserve"> (OLIVEIRA, 20</w:t>
      </w:r>
      <w:r w:rsidR="002F2BFF">
        <w:rPr>
          <w:rFonts w:ascii="Times New Roman" w:hAnsi="Times New Roman" w:cs="Times New Roman"/>
          <w:sz w:val="24"/>
          <w:szCs w:val="24"/>
          <w:lang w:val="pt-BR"/>
        </w:rPr>
        <w:t>21</w:t>
      </w:r>
      <w:r w:rsidR="004464A7">
        <w:rPr>
          <w:rFonts w:ascii="Times New Roman" w:hAnsi="Times New Roman" w:cs="Times New Roman"/>
          <w:sz w:val="24"/>
          <w:szCs w:val="24"/>
          <w:lang w:val="pt-BR"/>
        </w:rPr>
        <w:t xml:space="preserve">). </w:t>
      </w:r>
      <w:r w:rsidR="00E65594"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5B774155" w14:textId="77777777" w:rsidR="00DB4118" w:rsidRPr="00A234C4" w:rsidRDefault="00DB4118" w:rsidP="00DB41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A importância da função regulatória justifica o caráter hoje impositivo dos critérios de sustentabilidade par as contratações públicas. </w:t>
      </w:r>
      <w:r w:rsidR="00E65594" w:rsidRPr="00A234C4">
        <w:rPr>
          <w:rFonts w:ascii="Times New Roman" w:hAnsi="Times New Roman" w:cs="Times New Roman"/>
          <w:sz w:val="24"/>
          <w:szCs w:val="24"/>
          <w:lang w:val="pt-BR"/>
        </w:rPr>
        <w:t>Com efeito, em âmbito federal, a advocacia pública já reconheceu a obrigatoriedade de que a Administração adote critérios e práticas de sustentabilidade socioambiental nas contratações públicas, cabendo ao gestor o ônus da justificação no caso de não atendimento desses requisitos</w:t>
      </w:r>
      <w:r w:rsidR="00E65594" w:rsidRPr="00A234C4">
        <w:rPr>
          <w:rStyle w:val="Refdenotaderodap"/>
          <w:rFonts w:ascii="Times New Roman" w:hAnsi="Times New Roman" w:cs="Times New Roman"/>
          <w:sz w:val="24"/>
          <w:szCs w:val="24"/>
          <w:lang w:val="pt-BR"/>
        </w:rPr>
        <w:footnoteReference w:id="7"/>
      </w:r>
      <w:r w:rsidR="00E65594"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14:paraId="091245B4" w14:textId="77777777" w:rsidR="00DB4118" w:rsidRPr="00A234C4" w:rsidRDefault="00DB4118" w:rsidP="007E76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234C4">
        <w:rPr>
          <w:rFonts w:ascii="Times New Roman" w:hAnsi="Times New Roman" w:cs="Times New Roman"/>
          <w:sz w:val="24"/>
          <w:szCs w:val="24"/>
          <w:lang w:val="pt-BR"/>
        </w:rPr>
        <w:t>No entanto, as contratações sustentáveis caminham em ritmos diferentes quanto à três principais dimensões desse conceito. Majoritariamente, os critérios utilizados para essas compras têm relação com o elemento ambiental do conceito de sustentabilidade. Com efeito, o art. 4° do Decreto n° 7.746</w:t>
      </w:r>
      <w:r w:rsidR="004464A7">
        <w:rPr>
          <w:rFonts w:ascii="Times New Roman" w:hAnsi="Times New Roman" w:cs="Times New Roman"/>
          <w:sz w:val="24"/>
          <w:szCs w:val="24"/>
          <w:lang w:val="pt-BR"/>
        </w:rPr>
        <w:t>/</w:t>
      </w:r>
      <w:r w:rsidRPr="00A234C4">
        <w:rPr>
          <w:rFonts w:ascii="Times New Roman" w:hAnsi="Times New Roman" w:cs="Times New Roman"/>
          <w:sz w:val="24"/>
          <w:szCs w:val="24"/>
          <w:lang w:val="pt-BR"/>
        </w:rPr>
        <w:t>2012, que regulamenta o art. 3° da Lei n° 8.666/</w:t>
      </w:r>
      <w:r w:rsidR="00516DB5">
        <w:rPr>
          <w:rFonts w:ascii="Times New Roman" w:hAnsi="Times New Roman" w:cs="Times New Roman"/>
          <w:sz w:val="24"/>
          <w:szCs w:val="24"/>
          <w:lang w:val="pt-BR"/>
        </w:rPr>
        <w:t>19</w:t>
      </w:r>
      <w:r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93 (correspondente ao art. </w:t>
      </w:r>
      <w:r w:rsidR="00516DB5">
        <w:rPr>
          <w:rFonts w:ascii="Times New Roman" w:hAnsi="Times New Roman" w:cs="Times New Roman"/>
          <w:sz w:val="24"/>
          <w:szCs w:val="24"/>
          <w:lang w:val="pt-BR"/>
        </w:rPr>
        <w:t xml:space="preserve">5° </w:t>
      </w:r>
      <w:r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na Lei n° 14.133/2021), estabelece o que são considerados critérios e práticas sustentáveis. Dentre os 8 (oito) elementos </w:t>
      </w:r>
      <w:r w:rsidRPr="00A234C4">
        <w:rPr>
          <w:rFonts w:ascii="Times New Roman" w:hAnsi="Times New Roman" w:cs="Times New Roman"/>
          <w:sz w:val="24"/>
          <w:szCs w:val="24"/>
          <w:lang w:val="pt-BR"/>
        </w:rPr>
        <w:lastRenderedPageBreak/>
        <w:t>especificados, 7 têm relação preponderante com a matéria ambiental, 1 com o tema social e nenhum trata da dimensão econômica propriamente dita</w:t>
      </w:r>
      <w:r w:rsidRPr="00A234C4">
        <w:rPr>
          <w:rStyle w:val="Refdenotaderodap"/>
          <w:rFonts w:ascii="Times New Roman" w:hAnsi="Times New Roman" w:cs="Times New Roman"/>
          <w:sz w:val="24"/>
          <w:szCs w:val="24"/>
          <w:lang w:val="pt-BR"/>
        </w:rPr>
        <w:footnoteReference w:id="8"/>
      </w:r>
      <w:r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14:paraId="1D08CC7B" w14:textId="77777777" w:rsidR="00A31BC6" w:rsidRPr="00A234C4" w:rsidRDefault="00DB4118" w:rsidP="007E76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Embora a dimensão econômica também seja parte do conceito de sustentabilidade, ela ainda tem uma participação tímida nos critérios utilizados a para contratações públicas sustentáveis. Ocorre que </w:t>
      </w:r>
      <w:r w:rsidR="003442C2" w:rsidRPr="00A234C4">
        <w:rPr>
          <w:rFonts w:ascii="Times New Roman" w:hAnsi="Times New Roman" w:cs="Times New Roman"/>
          <w:sz w:val="24"/>
          <w:szCs w:val="24"/>
          <w:lang w:val="pt-BR"/>
        </w:rPr>
        <w:t>a obrigatoriedade</w:t>
      </w:r>
      <w:r w:rsidR="00E65594"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 de observância das normas de sustentabilidade nas contratações públicas significa que, também quanto à dimensão econômica, essas aquisições de bens, obras, serviços e/ou alienações, devem ser adequadas dentro da lógica de preservação de recursos para gerações futuras. Ilícitos nos processos de contratações que representem prejuízo à ordem econômica, resultando em piora na qualidade das compras públicas e/ou aumento de preço, são,</w:t>
      </w:r>
      <w:r w:rsidR="00516DB5">
        <w:rPr>
          <w:rFonts w:ascii="Times New Roman" w:hAnsi="Times New Roman" w:cs="Times New Roman"/>
          <w:sz w:val="24"/>
          <w:szCs w:val="24"/>
          <w:lang w:val="pt-BR"/>
        </w:rPr>
        <w:t xml:space="preserve"> nessa perspectiva</w:t>
      </w:r>
      <w:r w:rsidR="00E65594"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, uma violação ao primado da sustentabilidade. </w:t>
      </w:r>
    </w:p>
    <w:p w14:paraId="75994619" w14:textId="77777777" w:rsidR="00A31BC6" w:rsidRPr="00A234C4" w:rsidRDefault="007E76FD" w:rsidP="007E76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234C4">
        <w:rPr>
          <w:rFonts w:ascii="Times New Roman" w:hAnsi="Times New Roman" w:cs="Times New Roman"/>
          <w:sz w:val="24"/>
          <w:szCs w:val="24"/>
          <w:lang w:val="pt-BR"/>
        </w:rPr>
        <w:t xml:space="preserve">É necessário, portanto, reforçar a proteção a essa dimensão nas contratações sustentáveis, ou seja, garantir que as compras públicas sejam um elemento que contribui – e não prejudica – a higidez da ordem econômica. Adotando esse ponto de partida, este artigo pretende abordar como ponto central de discussão o combate a carteis em licitações públicas como uma medida de promoção das compras públicas sustentáveis e, em decorrência dessa questão central, uma pergunta adjacente: qual o papel da advocacia pública nessa tarefa. </w:t>
      </w:r>
    </w:p>
    <w:p w14:paraId="14232EDC" w14:textId="77777777" w:rsidR="007E76FD" w:rsidRPr="00A234C4" w:rsidRDefault="007E76FD" w:rsidP="00A31BC6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24C9787A" w14:textId="77777777" w:rsidR="006D0F3A" w:rsidRPr="0082692E" w:rsidRDefault="000B5967" w:rsidP="000B5967">
      <w:pPr>
        <w:pStyle w:val="PargrafodaLista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2692E">
        <w:rPr>
          <w:rFonts w:ascii="Times New Roman" w:hAnsi="Times New Roman" w:cs="Times New Roman"/>
          <w:b/>
          <w:sz w:val="24"/>
          <w:szCs w:val="24"/>
          <w:lang w:val="pt-BR"/>
        </w:rPr>
        <w:t>CARTEIS: CONCEITO, PREJUÍZO À ADMINISTRAÇÃO E IMPORTÂNCIA DO COMBATE</w:t>
      </w:r>
    </w:p>
    <w:p w14:paraId="601FAFE4" w14:textId="77777777" w:rsidR="007E76FD" w:rsidRPr="0082692E" w:rsidRDefault="007E76FD" w:rsidP="007E76FD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3AABBA49" w14:textId="77777777" w:rsidR="00542D91" w:rsidRPr="0082692E" w:rsidRDefault="003442C2" w:rsidP="00A234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2692E">
        <w:rPr>
          <w:rFonts w:ascii="Times New Roman" w:hAnsi="Times New Roman" w:cs="Times New Roman"/>
          <w:sz w:val="24"/>
          <w:szCs w:val="24"/>
          <w:lang w:val="pt-BR"/>
        </w:rPr>
        <w:t xml:space="preserve">O cartel pode ser definido como “um acordo ilícito entre concorrentes com o intuito de fixar preços ou dividir </w:t>
      </w:r>
      <w:r w:rsidR="00542D91" w:rsidRPr="0082692E">
        <w:rPr>
          <w:rFonts w:ascii="Times New Roman" w:hAnsi="Times New Roman" w:cs="Times New Roman"/>
          <w:sz w:val="24"/>
          <w:szCs w:val="24"/>
          <w:lang w:val="pt-BR"/>
        </w:rPr>
        <w:t>mercado” (</w:t>
      </w:r>
      <w:r w:rsidRPr="0082692E">
        <w:rPr>
          <w:rFonts w:ascii="Times New Roman" w:hAnsi="Times New Roman" w:cs="Times New Roman"/>
          <w:sz w:val="24"/>
          <w:szCs w:val="24"/>
          <w:lang w:val="pt-BR"/>
        </w:rPr>
        <w:t xml:space="preserve">BURNIER, 2021). No ordenamento jurídico, a prática é tipificada como ilícito administrativo pelo art. 36, I, da Lei n° 12.529, de 2011, e como ilícito penal pelo art. 4° da Lei n° 8.137, de 1990. No âmbito das contratações públicas, os carteis consiste no “conluio entre agentes econômicos </w:t>
      </w:r>
      <w:r w:rsidRPr="0082692E">
        <w:rPr>
          <w:rFonts w:ascii="Times New Roman" w:hAnsi="Times New Roman" w:cs="Times New Roman"/>
          <w:sz w:val="24"/>
          <w:szCs w:val="24"/>
          <w:lang w:val="pt-BR"/>
        </w:rPr>
        <w:lastRenderedPageBreak/>
        <w:t>com o objetivo de eliminar ou restringir a concorrência dos processos de bens e ser serviços pela Administração Pública.”</w:t>
      </w:r>
      <w:r w:rsidR="00542D91" w:rsidRPr="0082692E">
        <w:rPr>
          <w:rFonts w:ascii="Times New Roman" w:hAnsi="Times New Roman" w:cs="Times New Roman"/>
          <w:sz w:val="24"/>
          <w:szCs w:val="24"/>
          <w:lang w:val="pt-BR"/>
        </w:rPr>
        <w:t xml:space="preserve"> (CADE, 2019)</w:t>
      </w:r>
      <w:r w:rsidRPr="0082692E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14:paraId="6916510B" w14:textId="77777777" w:rsidR="00542D91" w:rsidRPr="0082692E" w:rsidRDefault="00542D91" w:rsidP="00A234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2692E">
        <w:rPr>
          <w:rFonts w:ascii="Times New Roman" w:hAnsi="Times New Roman" w:cs="Times New Roman"/>
          <w:sz w:val="24"/>
          <w:szCs w:val="24"/>
          <w:lang w:val="pt-BR"/>
        </w:rPr>
        <w:t xml:space="preserve">Como consequência desse conluio, o ente público é submetido a condições menos favoráveis em seus ajustes negociais, a exemplo de preços mais altos e/ou qualidade mais baixa para os itens adquiridos (CADE, 2019). </w:t>
      </w:r>
      <w:r w:rsidR="00A1297F" w:rsidRPr="0082692E">
        <w:rPr>
          <w:rFonts w:ascii="Times New Roman" w:hAnsi="Times New Roman" w:cs="Times New Roman"/>
          <w:spacing w:val="-4"/>
          <w:sz w:val="24"/>
          <w:szCs w:val="24"/>
          <w:lang w:val="pt-BR" w:eastAsia="ja-JP"/>
        </w:rPr>
        <w:t>Em uma perspectiva geral, envolvendo compras públicas e particulares</w:t>
      </w:r>
      <w:r w:rsidRPr="0082692E">
        <w:rPr>
          <w:rFonts w:ascii="Times New Roman" w:hAnsi="Times New Roman" w:cs="Times New Roman"/>
          <w:sz w:val="24"/>
          <w:szCs w:val="24"/>
          <w:lang w:val="pt-BR"/>
        </w:rPr>
        <w:t xml:space="preserve">, a prática de carteis </w:t>
      </w:r>
      <w:r w:rsidR="00516DB5" w:rsidRPr="0082692E">
        <w:rPr>
          <w:rFonts w:ascii="Times New Roman" w:hAnsi="Times New Roman" w:cs="Times New Roman"/>
          <w:sz w:val="24"/>
          <w:szCs w:val="24"/>
          <w:lang w:val="pt-BR"/>
        </w:rPr>
        <w:t xml:space="preserve">resulta em um sobre-preço estimado em 23% </w:t>
      </w:r>
      <w:r w:rsidRPr="0082692E">
        <w:rPr>
          <w:rFonts w:ascii="Times New Roman" w:hAnsi="Times New Roman" w:cs="Times New Roman"/>
          <w:sz w:val="24"/>
          <w:szCs w:val="24"/>
          <w:lang w:val="pt-BR"/>
        </w:rPr>
        <w:t>(CONNOR, 2014).</w:t>
      </w:r>
      <w:r w:rsidR="00516DB5" w:rsidRPr="0082692E">
        <w:rPr>
          <w:rFonts w:ascii="Times New Roman" w:hAnsi="Times New Roman" w:cs="Times New Roman"/>
          <w:sz w:val="24"/>
          <w:szCs w:val="24"/>
          <w:lang w:val="pt-BR"/>
        </w:rPr>
        <w:t xml:space="preserve"> Se considerados dados específicos da América-Latina, esse sobrepreço fica entre 5-25¨%, mas em muitos casos – cerca de 4% do total analisado – o valor pago em razão do conluio pode ser o dobro do que seria cobrado pelo mesmo bem em condições de mercado sem o cartel</w:t>
      </w:r>
      <w:r w:rsidRPr="0082692E">
        <w:rPr>
          <w:rFonts w:ascii="Times New Roman" w:hAnsi="Times New Roman" w:cs="Times New Roman"/>
          <w:sz w:val="24"/>
          <w:szCs w:val="24"/>
          <w:lang w:val="pt-BR"/>
        </w:rPr>
        <w:t xml:space="preserve"> (WB, 2021).</w:t>
      </w:r>
    </w:p>
    <w:p w14:paraId="182FFAA0" w14:textId="77777777" w:rsidR="00542D91" w:rsidRPr="0082692E" w:rsidRDefault="00542D91" w:rsidP="00A234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3AE879F" w14:textId="77777777" w:rsidR="00240E35" w:rsidRPr="0082692E" w:rsidRDefault="00542D91" w:rsidP="00A234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2692E">
        <w:rPr>
          <w:rFonts w:ascii="Times New Roman" w:hAnsi="Times New Roman" w:cs="Times New Roman"/>
          <w:sz w:val="24"/>
          <w:szCs w:val="24"/>
          <w:lang w:val="pt-BR"/>
        </w:rPr>
        <w:t xml:space="preserve">No caso dos carteis em licitação, quanto maior o volume de recursos gastos, maior é o prejuízo repassado à Administração em suas compras. </w:t>
      </w:r>
      <w:r w:rsidR="00077676" w:rsidRPr="0082692E">
        <w:rPr>
          <w:rFonts w:ascii="Times New Roman" w:hAnsi="Times New Roman" w:cs="Times New Roman"/>
          <w:sz w:val="24"/>
          <w:szCs w:val="24"/>
          <w:lang w:val="pt-BR"/>
        </w:rPr>
        <w:t>Nesse ponto,</w:t>
      </w:r>
      <w:r w:rsidR="00516DB5" w:rsidRPr="0082692E">
        <w:rPr>
          <w:rFonts w:ascii="Times New Roman" w:hAnsi="Times New Roman" w:cs="Times New Roman"/>
          <w:sz w:val="24"/>
          <w:szCs w:val="24"/>
          <w:lang w:val="pt-BR"/>
        </w:rPr>
        <w:t xml:space="preserve"> é importante conhecer a representatividade das compras pública no cenário brasileiro. D</w:t>
      </w:r>
      <w:r w:rsidR="00077676" w:rsidRPr="0082692E">
        <w:rPr>
          <w:rFonts w:ascii="Times New Roman" w:hAnsi="Times New Roman" w:cs="Times New Roman"/>
          <w:sz w:val="24"/>
          <w:szCs w:val="24"/>
          <w:lang w:val="pt-BR"/>
        </w:rPr>
        <w:t>ados de 2017 mostram que, no Brasil, cerca de 13,52</w:t>
      </w:r>
      <w:r w:rsidR="00516DB5" w:rsidRPr="0082692E">
        <w:rPr>
          <w:rFonts w:ascii="Times New Roman" w:hAnsi="Times New Roman" w:cs="Times New Roman"/>
          <w:sz w:val="24"/>
          <w:szCs w:val="24"/>
          <w:lang w:val="pt-BR"/>
        </w:rPr>
        <w:t>% do</w:t>
      </w:r>
      <w:r w:rsidR="00077676" w:rsidRPr="0082692E">
        <w:rPr>
          <w:rFonts w:ascii="Times New Roman" w:hAnsi="Times New Roman" w:cs="Times New Roman"/>
          <w:sz w:val="24"/>
          <w:szCs w:val="24"/>
          <w:lang w:val="pt-BR"/>
        </w:rPr>
        <w:t xml:space="preserve"> total de gastos é correspondente aos gastos com compras públicas. O número é menor do que o comparativo da década anterior, já que, em 2007, essas compras alcançam 21,73% de total de gastos do </w:t>
      </w:r>
      <w:r w:rsidR="00240E35" w:rsidRPr="0082692E">
        <w:rPr>
          <w:rFonts w:ascii="Times New Roman" w:hAnsi="Times New Roman" w:cs="Times New Roman"/>
          <w:sz w:val="24"/>
          <w:szCs w:val="24"/>
          <w:lang w:val="pt-BR"/>
        </w:rPr>
        <w:t>governo. Com</w:t>
      </w:r>
      <w:r w:rsidR="00077676" w:rsidRPr="0082692E">
        <w:rPr>
          <w:rFonts w:ascii="Times New Roman" w:hAnsi="Times New Roman" w:cs="Times New Roman"/>
          <w:sz w:val="24"/>
          <w:szCs w:val="24"/>
          <w:lang w:val="pt-BR"/>
        </w:rPr>
        <w:t xml:space="preserve"> relação ao PIB, o Brasil gasta 6,49% em compras públicas, um valor também menor do que o da década anterior, correspondente a 8,39%, em 2007. </w:t>
      </w:r>
    </w:p>
    <w:p w14:paraId="59959AC7" w14:textId="77777777" w:rsidR="00077676" w:rsidRPr="0082692E" w:rsidRDefault="00240E35" w:rsidP="00A234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2692E">
        <w:rPr>
          <w:rFonts w:ascii="Times New Roman" w:hAnsi="Times New Roman" w:cs="Times New Roman"/>
          <w:sz w:val="24"/>
          <w:szCs w:val="24"/>
          <w:lang w:val="pt-BR"/>
        </w:rPr>
        <w:t>Os valores são menores do que a média na américa latina, mas, ainda assim, superiores à média dos países membros da OCDE.</w:t>
      </w:r>
    </w:p>
    <w:p w14:paraId="5B5FB116" w14:textId="77777777" w:rsidR="00077676" w:rsidRDefault="00077676" w:rsidP="00A234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2692E">
        <w:rPr>
          <w:rFonts w:ascii="Times New Roman" w:hAnsi="Times New Roman" w:cs="Times New Roman"/>
          <w:noProof/>
          <w:sz w:val="24"/>
          <w:szCs w:val="24"/>
          <w:lang w:val="pt-BR"/>
        </w:rPr>
        <w:lastRenderedPageBreak/>
        <w:drawing>
          <wp:inline distT="0" distB="0" distL="0" distR="0" wp14:anchorId="4A79EE3E" wp14:editId="42B5920C">
            <wp:extent cx="5822584" cy="4599709"/>
            <wp:effectExtent l="0" t="0" r="698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3850" cy="4608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98F4F" w14:textId="77777777" w:rsidR="00433556" w:rsidRPr="00433556" w:rsidRDefault="00433556" w:rsidP="00A234C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  <w:lang w:val="pt-BR"/>
        </w:rPr>
      </w:pPr>
      <w:r w:rsidRPr="00433556">
        <w:rPr>
          <w:rFonts w:ascii="Times New Roman" w:hAnsi="Times New Roman" w:cs="Times New Roman"/>
          <w:sz w:val="18"/>
          <w:szCs w:val="18"/>
        </w:rPr>
        <w:t xml:space="preserve">Fonte: OECD. Government at a Glance: Latin America and the Caribbean. </w:t>
      </w:r>
      <w:r w:rsidRPr="00433556">
        <w:rPr>
          <w:rFonts w:ascii="Times New Roman" w:hAnsi="Times New Roman" w:cs="Times New Roman"/>
          <w:sz w:val="18"/>
          <w:szCs w:val="18"/>
          <w:lang w:val="pt-BR"/>
        </w:rPr>
        <w:t>2020. Disponível em: https://doi.org/10.1787/13130fbb-en. Acesso em 31/08/2023.</w:t>
      </w:r>
    </w:p>
    <w:p w14:paraId="4C9B75E8" w14:textId="77777777" w:rsidR="00542D91" w:rsidRPr="0082692E" w:rsidRDefault="00542D91" w:rsidP="00A234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3072592" w14:textId="77777777" w:rsidR="00516DB5" w:rsidRPr="0082692E" w:rsidRDefault="00240E35" w:rsidP="00516D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2692E">
        <w:rPr>
          <w:rFonts w:ascii="Times New Roman" w:hAnsi="Times New Roman" w:cs="Times New Roman"/>
          <w:sz w:val="24"/>
          <w:szCs w:val="24"/>
          <w:lang w:val="pt-BR"/>
        </w:rPr>
        <w:t>Ao detalhar a composição desse gasto total com compras públicas, nota-se a participação significativa das compras de entes subnacionais e, em especial, dos estados. Do total gasto, a divisão é de 22,89 para o governo central, 32,53, para os governos estaduais e 44,58 para governos locai</w:t>
      </w:r>
      <w:r w:rsidR="00516DB5" w:rsidRPr="0082692E">
        <w:rPr>
          <w:rFonts w:ascii="Times New Roman" w:hAnsi="Times New Roman" w:cs="Times New Roman"/>
          <w:sz w:val="24"/>
          <w:szCs w:val="24"/>
          <w:lang w:val="pt-BR"/>
        </w:rPr>
        <w:t>s.</w:t>
      </w:r>
    </w:p>
    <w:p w14:paraId="4438FA47" w14:textId="77777777" w:rsidR="00A1297F" w:rsidRPr="0082692E" w:rsidRDefault="00240E35" w:rsidP="00516DB5">
      <w:pPr>
        <w:spacing w:line="36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pt-BR" w:eastAsia="ja-JP"/>
        </w:rPr>
      </w:pPr>
      <w:r w:rsidRPr="0082692E">
        <w:rPr>
          <w:rFonts w:ascii="Times New Roman" w:hAnsi="Times New Roman" w:cs="Times New Roman"/>
          <w:spacing w:val="-4"/>
          <w:sz w:val="24"/>
          <w:szCs w:val="24"/>
          <w:lang w:val="pt-BR" w:eastAsia="ja-JP"/>
        </w:rPr>
        <w:t xml:space="preserve">A representatividade das compras públicas no orçamento e no PIB, bem como sua distribuição proporcional entre os entes, ajudam a entender o impacto do prejuízo dos carteis para o Erário dos entes federativos. </w:t>
      </w:r>
      <w:r w:rsidR="00516DB5" w:rsidRPr="0082692E">
        <w:rPr>
          <w:rFonts w:ascii="Times New Roman" w:hAnsi="Times New Roman" w:cs="Times New Roman"/>
          <w:spacing w:val="-4"/>
          <w:sz w:val="24"/>
          <w:szCs w:val="24"/>
          <w:lang w:val="pt-BR" w:eastAsia="ja-JP"/>
        </w:rPr>
        <w:t xml:space="preserve">O aumento de preço decorrente dos carteis em licitação é de 20%, em média. No entanto, levantamentos do banco mundial detalharam esse </w:t>
      </w:r>
      <w:r w:rsidR="00310C5B" w:rsidRPr="0082692E">
        <w:rPr>
          <w:rFonts w:ascii="Times New Roman" w:hAnsi="Times New Roman" w:cs="Times New Roman"/>
          <w:spacing w:val="-4"/>
          <w:sz w:val="24"/>
          <w:szCs w:val="24"/>
          <w:lang w:val="pt-BR" w:eastAsia="ja-JP"/>
        </w:rPr>
        <w:t>sobre-preço</w:t>
      </w:r>
      <w:r w:rsidR="00516DB5" w:rsidRPr="0082692E">
        <w:rPr>
          <w:rFonts w:ascii="Times New Roman" w:hAnsi="Times New Roman" w:cs="Times New Roman"/>
          <w:spacing w:val="-4"/>
          <w:sz w:val="24"/>
          <w:szCs w:val="24"/>
          <w:lang w:val="pt-BR" w:eastAsia="ja-JP"/>
        </w:rPr>
        <w:t xml:space="preserve">, revelando que </w:t>
      </w:r>
      <w:r w:rsidR="00310C5B" w:rsidRPr="0082692E">
        <w:rPr>
          <w:rFonts w:ascii="Times New Roman" w:hAnsi="Times New Roman" w:cs="Times New Roman"/>
          <w:spacing w:val="-4"/>
          <w:sz w:val="24"/>
          <w:szCs w:val="24"/>
          <w:lang w:val="pt-BR" w:eastAsia="ja-JP"/>
        </w:rPr>
        <w:t xml:space="preserve">em pelo menos 14% dos casos o sobre-preço é superior a 100%. </w:t>
      </w:r>
      <w:r w:rsidR="00A1297F" w:rsidRPr="0082692E">
        <w:rPr>
          <w:rFonts w:ascii="Times New Roman" w:hAnsi="Times New Roman" w:cs="Times New Roman"/>
          <w:spacing w:val="-4"/>
          <w:sz w:val="24"/>
          <w:szCs w:val="24"/>
          <w:lang w:val="pt-BR" w:eastAsia="ja-JP"/>
        </w:rPr>
        <w:t xml:space="preserve"> </w:t>
      </w:r>
    </w:p>
    <w:p w14:paraId="58E63E06" w14:textId="77777777" w:rsidR="00A1297F" w:rsidRPr="0082692E" w:rsidRDefault="00A1297F" w:rsidP="00A234C4">
      <w:pPr>
        <w:pStyle w:val="Para"/>
        <w:keepNext/>
        <w:numPr>
          <w:ilvl w:val="0"/>
          <w:numId w:val="0"/>
        </w:numPr>
        <w:spacing w:line="360" w:lineRule="auto"/>
        <w:ind w:left="680"/>
        <w:rPr>
          <w:sz w:val="24"/>
          <w:szCs w:val="24"/>
          <w:lang w:val="pt-BR"/>
        </w:rPr>
      </w:pPr>
    </w:p>
    <w:p w14:paraId="13E660EC" w14:textId="77777777" w:rsidR="00A1297F" w:rsidRDefault="00516DB5" w:rsidP="000B596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69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B0A1D0" wp14:editId="753C7F07">
            <wp:extent cx="4734586" cy="3543795"/>
            <wp:effectExtent l="0" t="0" r="889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354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0F110" w14:textId="77777777" w:rsidR="00433556" w:rsidRPr="00B31FE5" w:rsidRDefault="00433556" w:rsidP="00433556">
      <w:pPr>
        <w:jc w:val="both"/>
        <w:rPr>
          <w:rFonts w:ascii="Times New Roman" w:hAnsi="Times New Roman" w:cs="Times New Roman"/>
          <w:sz w:val="18"/>
          <w:szCs w:val="18"/>
          <w:lang w:val="pt-BR"/>
        </w:rPr>
      </w:pPr>
      <w:r w:rsidRPr="00433556">
        <w:rPr>
          <w:rFonts w:ascii="Times New Roman" w:hAnsi="Times New Roman" w:cs="Times New Roman"/>
          <w:sz w:val="18"/>
          <w:szCs w:val="18"/>
        </w:rPr>
        <w:t xml:space="preserve">Fonte: World Bank. Fixing Markets, Not Prices. </w:t>
      </w:r>
      <w:r w:rsidRPr="00433556">
        <w:rPr>
          <w:rFonts w:ascii="Times New Roman" w:hAnsi="Times New Roman" w:cs="Times New Roman"/>
          <w:sz w:val="18"/>
          <w:szCs w:val="18"/>
          <w:lang w:val="pt-BR"/>
        </w:rPr>
        <w:t xml:space="preserve">Corporate Governance Assessment. 2021. Disponível em: </w:t>
      </w:r>
      <w:r w:rsidR="00000000">
        <w:fldChar w:fldCharType="begin"/>
      </w:r>
      <w:r w:rsidR="00000000" w:rsidRPr="00D77977">
        <w:rPr>
          <w:lang w:val="pt-BR"/>
        </w:rPr>
        <w:instrText>HYPERLINK "https://elibrary.worldbank.org/doi/abs/10.1596/35985" \t "_new"</w:instrText>
      </w:r>
      <w:r w:rsidR="00000000">
        <w:fldChar w:fldCharType="separate"/>
      </w:r>
      <w:r w:rsidRPr="00433556">
        <w:rPr>
          <w:rStyle w:val="Hyperlink"/>
          <w:rFonts w:ascii="Times New Roman" w:hAnsi="Times New Roman" w:cs="Times New Roman"/>
          <w:sz w:val="18"/>
          <w:szCs w:val="18"/>
          <w:lang w:val="pt-BR"/>
        </w:rPr>
        <w:t>https://elibrary.worldbank.org/doi/abs/10.1596/35985</w:t>
      </w:r>
      <w:r w:rsidR="00000000">
        <w:rPr>
          <w:rStyle w:val="Hyperlink"/>
          <w:rFonts w:ascii="Times New Roman" w:hAnsi="Times New Roman" w:cs="Times New Roman"/>
          <w:sz w:val="18"/>
          <w:szCs w:val="18"/>
          <w:lang w:val="pt-BR"/>
        </w:rPr>
        <w:fldChar w:fldCharType="end"/>
      </w:r>
      <w:r w:rsidRPr="00433556">
        <w:rPr>
          <w:rFonts w:ascii="Times New Roman" w:hAnsi="Times New Roman" w:cs="Times New Roman"/>
          <w:sz w:val="18"/>
          <w:szCs w:val="18"/>
          <w:lang w:val="pt-BR"/>
        </w:rPr>
        <w:t xml:space="preserve">. </w:t>
      </w:r>
      <w:r w:rsidRPr="00B31FE5">
        <w:rPr>
          <w:rFonts w:ascii="Times New Roman" w:hAnsi="Times New Roman" w:cs="Times New Roman"/>
          <w:sz w:val="18"/>
          <w:szCs w:val="18"/>
          <w:lang w:val="pt-BR"/>
        </w:rPr>
        <w:t>Acesso em 31/08/2023.</w:t>
      </w:r>
    </w:p>
    <w:p w14:paraId="72CCB68B" w14:textId="77777777" w:rsidR="00433556" w:rsidRPr="00B31FE5" w:rsidRDefault="00433556" w:rsidP="000B596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3283FA7E" w14:textId="77777777" w:rsidR="00310C5B" w:rsidRPr="0082692E" w:rsidRDefault="00310C5B" w:rsidP="000D4FA8">
      <w:pPr>
        <w:pStyle w:val="Para"/>
        <w:numPr>
          <w:ilvl w:val="0"/>
          <w:numId w:val="0"/>
        </w:numPr>
        <w:spacing w:line="360" w:lineRule="auto"/>
        <w:ind w:right="49"/>
        <w:rPr>
          <w:spacing w:val="-4"/>
          <w:sz w:val="24"/>
          <w:szCs w:val="24"/>
          <w:lang w:val="pt-BR" w:eastAsia="ja-JP"/>
        </w:rPr>
      </w:pPr>
      <w:r w:rsidRPr="0082692E">
        <w:rPr>
          <w:spacing w:val="-4"/>
          <w:sz w:val="24"/>
          <w:szCs w:val="24"/>
          <w:lang w:val="pt-BR" w:eastAsia="ja-JP"/>
        </w:rPr>
        <w:t>Os casos de cartel em licitação, do ponto de vista administrativo, são investigados e punidos pelo Conselho Administrativo de Defesa Econômica (CADE). Em 2022, foram julgados 12 casos desse tipo pelo Tribunal Administrativo do CADE, resultado na aplicação de um total de R$ 1.111.529.961,11 (um bilhão cento e onze milhões quinhentos e vinte e nove mil novecentos e sessenta e um reais e onze centavos) aplicados em multas recolhidas ao Fundo de Direitos Difusos. Do total de casos, houve conde</w:t>
      </w:r>
      <w:r w:rsidR="000D4FA8" w:rsidRPr="0082692E">
        <w:rPr>
          <w:spacing w:val="-4"/>
          <w:sz w:val="24"/>
          <w:szCs w:val="24"/>
          <w:lang w:val="pt-BR" w:eastAsia="ja-JP"/>
        </w:rPr>
        <w:t>n</w:t>
      </w:r>
      <w:r w:rsidRPr="0082692E">
        <w:rPr>
          <w:spacing w:val="-4"/>
          <w:sz w:val="24"/>
          <w:szCs w:val="24"/>
          <w:lang w:val="pt-BR" w:eastAsia="ja-JP"/>
        </w:rPr>
        <w:t>ação em 62,5%.</w:t>
      </w:r>
    </w:p>
    <w:p w14:paraId="0C2D8154" w14:textId="77777777" w:rsidR="00542D91" w:rsidRPr="0082692E" w:rsidRDefault="00310C5B" w:rsidP="000D4FA8">
      <w:pPr>
        <w:spacing w:line="360" w:lineRule="auto"/>
        <w:ind w:right="4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2692E">
        <w:rPr>
          <w:rFonts w:ascii="Times New Roman" w:hAnsi="Times New Roman" w:cs="Times New Roman"/>
          <w:sz w:val="24"/>
          <w:szCs w:val="24"/>
          <w:lang w:val="pt-BR"/>
        </w:rPr>
        <w:t>Um caso de destaque julgado em 2022, foi um cartel em licitações públicas de uniformes e kits de materiais escolares</w:t>
      </w:r>
      <w:r w:rsidR="000D4FA8" w:rsidRPr="0082692E">
        <w:rPr>
          <w:rFonts w:ascii="Times New Roman" w:hAnsi="Times New Roman" w:cs="Times New Roman"/>
          <w:sz w:val="24"/>
          <w:szCs w:val="24"/>
          <w:lang w:val="pt-BR"/>
        </w:rPr>
        <w:t>, Processo Administrativo n° 08700.008612/2012-15</w:t>
      </w:r>
      <w:r w:rsidRPr="0082692E">
        <w:rPr>
          <w:rFonts w:ascii="Times New Roman" w:hAnsi="Times New Roman" w:cs="Times New Roman"/>
          <w:sz w:val="24"/>
          <w:szCs w:val="24"/>
          <w:lang w:val="pt-BR"/>
        </w:rPr>
        <w:t xml:space="preserve">. Os conluios ocorreram em diversos Estados, incluindo São Paulo, Rio de Janeiro, Santa Catarina e Goiás, entre 2007 e </w:t>
      </w:r>
      <w:r w:rsidR="000D4FA8" w:rsidRPr="0082692E">
        <w:rPr>
          <w:rFonts w:ascii="Times New Roman" w:hAnsi="Times New Roman" w:cs="Times New Roman"/>
          <w:sz w:val="24"/>
          <w:szCs w:val="24"/>
          <w:lang w:val="pt-BR"/>
        </w:rPr>
        <w:t xml:space="preserve">2012, e ocorriam mediante a fixação de preços, divisão de mercado, subcontratações, designação prévia de vencedores, apresentação de propostas de cobertura dentre outros. </w:t>
      </w:r>
    </w:p>
    <w:p w14:paraId="48C726EB" w14:textId="77777777" w:rsidR="000D4FA8" w:rsidRPr="0082692E" w:rsidRDefault="000D4FA8" w:rsidP="00A234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2692E">
        <w:rPr>
          <w:rFonts w:ascii="Times New Roman" w:hAnsi="Times New Roman" w:cs="Times New Roman"/>
          <w:sz w:val="24"/>
          <w:szCs w:val="24"/>
          <w:lang w:val="pt-BR"/>
        </w:rPr>
        <w:t>No julgamento do caso, estimou-se que a vantagem auferida – ou seja, o sobre-preço aplicado nas contratações – em R$ 21.011.834,00 (vinte e um milhões onze mil oitocentos e trinta e quatro reais).</w:t>
      </w:r>
    </w:p>
    <w:p w14:paraId="1B2CD014" w14:textId="77777777" w:rsidR="000D4FA8" w:rsidRPr="0082692E" w:rsidRDefault="000D4FA8" w:rsidP="00A234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137466A" w14:textId="77777777" w:rsidR="006D0F3A" w:rsidRPr="0082692E" w:rsidRDefault="00A1297F" w:rsidP="000B5967">
      <w:pPr>
        <w:pStyle w:val="PargrafodaLista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2692E">
        <w:rPr>
          <w:rFonts w:ascii="Times New Roman" w:hAnsi="Times New Roman" w:cs="Times New Roman"/>
          <w:b/>
          <w:sz w:val="24"/>
          <w:szCs w:val="24"/>
          <w:lang w:val="pt-BR"/>
        </w:rPr>
        <w:t>O</w:t>
      </w:r>
      <w:r w:rsidR="006D0F3A" w:rsidRPr="0082692E">
        <w:rPr>
          <w:rFonts w:ascii="Times New Roman" w:hAnsi="Times New Roman" w:cs="Times New Roman"/>
          <w:b/>
          <w:sz w:val="24"/>
          <w:szCs w:val="24"/>
          <w:lang w:val="pt-BR"/>
        </w:rPr>
        <w:t xml:space="preserve"> papel da advocacia pública no combate a cartéis </w:t>
      </w:r>
    </w:p>
    <w:p w14:paraId="60951E5B" w14:textId="77777777" w:rsidR="000D4FA8" w:rsidRPr="0082692E" w:rsidRDefault="000D4FA8" w:rsidP="000D4FA8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3BA7EB2" w14:textId="77777777" w:rsidR="00A1297F" w:rsidRPr="0082692E" w:rsidRDefault="00A1297F" w:rsidP="000D4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2692E">
        <w:rPr>
          <w:rFonts w:ascii="Times New Roman" w:hAnsi="Times New Roman" w:cs="Times New Roman"/>
          <w:sz w:val="24"/>
          <w:szCs w:val="24"/>
          <w:lang w:val="pt-BR"/>
        </w:rPr>
        <w:t>A literatura especializada já tem um material substancial sobre as instruções para combater carteis em licitações. Por exemplo, a OCDE possui um manual e, com frequência, realiza revisões/avaliações do cenário de contratações públicas em determinados países. No caso do Brasi</w:t>
      </w:r>
      <w:r w:rsidR="000D4FA8" w:rsidRPr="0082692E">
        <w:rPr>
          <w:rFonts w:ascii="Times New Roman" w:hAnsi="Times New Roman" w:cs="Times New Roman"/>
          <w:sz w:val="24"/>
          <w:szCs w:val="24"/>
          <w:lang w:val="pt-BR"/>
        </w:rPr>
        <w:t>l, foi lançado em 2021 um trabalho de avaliação das compras públicas federais que resultou no relatório “Combate a carteis em licitações Públicas no Brasil: uma revisão das compras públicas federais”</w:t>
      </w:r>
      <w:r w:rsidR="000D4FA8" w:rsidRPr="0082692E">
        <w:rPr>
          <w:rStyle w:val="Refdenotaderodap"/>
          <w:rFonts w:ascii="Times New Roman" w:hAnsi="Times New Roman" w:cs="Times New Roman"/>
          <w:sz w:val="24"/>
          <w:szCs w:val="24"/>
          <w:lang w:val="pt-BR"/>
        </w:rPr>
        <w:footnoteReference w:id="9"/>
      </w:r>
      <w:r w:rsidR="000D4FA8" w:rsidRPr="0082692E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</w:p>
    <w:p w14:paraId="349B533F" w14:textId="77777777" w:rsidR="00A1297F" w:rsidRPr="0082692E" w:rsidRDefault="00A1297F" w:rsidP="000D4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2692E">
        <w:rPr>
          <w:rFonts w:ascii="Times New Roman" w:hAnsi="Times New Roman" w:cs="Times New Roman"/>
          <w:sz w:val="24"/>
          <w:szCs w:val="24"/>
          <w:lang w:val="pt-BR"/>
        </w:rPr>
        <w:t>No plano doméstico, o Conselho Administrativo de Defesa Econômica também possui iniciativas educativas, com a elaboração de guias sobre o tema</w:t>
      </w:r>
      <w:r w:rsidR="000D4FA8" w:rsidRPr="0082692E">
        <w:rPr>
          <w:rFonts w:ascii="Times New Roman" w:hAnsi="Times New Roman" w:cs="Times New Roman"/>
          <w:sz w:val="24"/>
          <w:szCs w:val="24"/>
          <w:lang w:val="pt-BR"/>
        </w:rPr>
        <w:t xml:space="preserve">, como o </w:t>
      </w:r>
      <w:r w:rsidR="0082692E" w:rsidRPr="0082692E">
        <w:rPr>
          <w:rFonts w:ascii="Times New Roman" w:hAnsi="Times New Roman" w:cs="Times New Roman"/>
          <w:sz w:val="24"/>
          <w:szCs w:val="24"/>
          <w:lang w:val="pt-BR"/>
        </w:rPr>
        <w:t>“Guia de Combate a carteis em licitação”</w:t>
      </w:r>
      <w:r w:rsidR="0082692E" w:rsidRPr="0082692E">
        <w:rPr>
          <w:rStyle w:val="Refdenotaderodap"/>
          <w:rFonts w:ascii="Times New Roman" w:hAnsi="Times New Roman" w:cs="Times New Roman"/>
          <w:sz w:val="24"/>
          <w:szCs w:val="24"/>
          <w:lang w:val="pt-BR"/>
        </w:rPr>
        <w:footnoteReference w:id="10"/>
      </w:r>
      <w:r w:rsidR="0082692E" w:rsidRPr="0082692E">
        <w:rPr>
          <w:rFonts w:ascii="Times New Roman" w:hAnsi="Times New Roman" w:cs="Times New Roman"/>
          <w:sz w:val="24"/>
          <w:szCs w:val="24"/>
          <w:lang w:val="pt-BR"/>
        </w:rPr>
        <w:t xml:space="preserve">, lançado em 2019. </w:t>
      </w:r>
    </w:p>
    <w:p w14:paraId="45D576E5" w14:textId="77777777" w:rsidR="00833D4F" w:rsidRPr="0082692E" w:rsidRDefault="00F56F6F" w:rsidP="000D4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2692E">
        <w:rPr>
          <w:rFonts w:ascii="Times New Roman" w:hAnsi="Times New Roman" w:cs="Times New Roman"/>
          <w:sz w:val="24"/>
          <w:szCs w:val="24"/>
          <w:lang w:val="pt-BR"/>
        </w:rPr>
        <w:t xml:space="preserve">Resta entender, diante dessas orientações já consolidadas, quais podem ser os papeis específicos desempenhados pela Advocacia Pública para contribuir com compras públicas mais sustentáveis em sua dimensão econômica. A princípio, é possível identificar </w:t>
      </w:r>
      <w:r w:rsidR="000B5967">
        <w:rPr>
          <w:rFonts w:ascii="Times New Roman" w:hAnsi="Times New Roman" w:cs="Times New Roman"/>
          <w:sz w:val="24"/>
          <w:szCs w:val="24"/>
          <w:lang w:val="pt-BR"/>
        </w:rPr>
        <w:t>duas frentes</w:t>
      </w:r>
      <w:r w:rsidRPr="0082692E">
        <w:rPr>
          <w:rFonts w:ascii="Times New Roman" w:hAnsi="Times New Roman" w:cs="Times New Roman"/>
          <w:sz w:val="24"/>
          <w:szCs w:val="24"/>
          <w:lang w:val="pt-BR"/>
        </w:rPr>
        <w:t xml:space="preserve"> de atuação:</w:t>
      </w:r>
    </w:p>
    <w:p w14:paraId="293F1552" w14:textId="77777777" w:rsidR="00F56F6F" w:rsidRDefault="00F56F6F" w:rsidP="000D4FA8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7421B45E" w14:textId="77777777" w:rsidR="00AB51DC" w:rsidRPr="0082692E" w:rsidRDefault="00F56F6F" w:rsidP="00433556">
      <w:pPr>
        <w:pStyle w:val="PargrafodaLista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692E">
        <w:rPr>
          <w:rFonts w:ascii="Times New Roman" w:hAnsi="Times New Roman" w:cs="Times New Roman"/>
          <w:b/>
          <w:sz w:val="24"/>
          <w:szCs w:val="24"/>
        </w:rPr>
        <w:t>Controle</w:t>
      </w:r>
      <w:proofErr w:type="spellEnd"/>
      <w:r w:rsidRPr="00826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1DC" w:rsidRPr="0082692E">
        <w:rPr>
          <w:rFonts w:ascii="Times New Roman" w:hAnsi="Times New Roman" w:cs="Times New Roman"/>
          <w:b/>
          <w:sz w:val="24"/>
          <w:szCs w:val="24"/>
        </w:rPr>
        <w:t xml:space="preserve">da </w:t>
      </w:r>
      <w:proofErr w:type="spellStart"/>
      <w:r w:rsidR="00AB51DC" w:rsidRPr="0082692E">
        <w:rPr>
          <w:rFonts w:ascii="Times New Roman" w:hAnsi="Times New Roman" w:cs="Times New Roman"/>
          <w:b/>
          <w:sz w:val="24"/>
          <w:szCs w:val="24"/>
        </w:rPr>
        <w:t>Administração</w:t>
      </w:r>
      <w:proofErr w:type="spellEnd"/>
    </w:p>
    <w:p w14:paraId="4C116239" w14:textId="77777777" w:rsidR="00AB51DC" w:rsidRDefault="00AB51DC" w:rsidP="00AB51DC">
      <w:pPr>
        <w:rPr>
          <w:rFonts w:ascii="Times New Roman" w:hAnsi="Times New Roman" w:cs="Times New Roman"/>
          <w:sz w:val="24"/>
          <w:szCs w:val="24"/>
        </w:rPr>
      </w:pPr>
    </w:p>
    <w:p w14:paraId="51F20A16" w14:textId="77777777" w:rsidR="005709EF" w:rsidRPr="00A31106" w:rsidRDefault="00AB51DC" w:rsidP="008269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 controle da administração pública pode ser classificado com base em diversos critérios</w:t>
      </w:r>
      <w:r w:rsidR="00B0012E">
        <w:rPr>
          <w:rFonts w:ascii="Times New Roman" w:hAnsi="Times New Roman" w:cs="Times New Roman"/>
          <w:sz w:val="24"/>
          <w:szCs w:val="24"/>
          <w:lang w:val="pt-BR"/>
        </w:rPr>
        <w:t xml:space="preserve"> e um dos mais conhecidos é a divisão entre controle interno e externo. O controle interno é aquele efetivado pelo próprio executivo sobre suas ações</w:t>
      </w:r>
      <w:r w:rsidR="0082692E">
        <w:rPr>
          <w:rFonts w:ascii="Times New Roman" w:hAnsi="Times New Roman" w:cs="Times New Roman"/>
          <w:sz w:val="24"/>
          <w:szCs w:val="24"/>
          <w:lang w:val="pt-BR"/>
        </w:rPr>
        <w:t xml:space="preserve"> (OLIVEIRA, 2018)</w:t>
      </w:r>
      <w:r w:rsidR="00B0012E">
        <w:rPr>
          <w:rFonts w:ascii="Times New Roman" w:hAnsi="Times New Roman" w:cs="Times New Roman"/>
          <w:sz w:val="24"/>
          <w:szCs w:val="24"/>
          <w:lang w:val="pt-BR"/>
        </w:rPr>
        <w:t xml:space="preserve">. Sendo a Advocacia Pública o órgão incumbido de assessorar o Poder Executivo, com exclusividade, </w:t>
      </w:r>
      <w:r w:rsidR="00B0012E" w:rsidRPr="00A31106">
        <w:rPr>
          <w:rFonts w:ascii="Times New Roman" w:hAnsi="Times New Roman" w:cs="Times New Roman"/>
          <w:sz w:val="24"/>
          <w:szCs w:val="24"/>
          <w:lang w:val="pt-BR"/>
        </w:rPr>
        <w:t xml:space="preserve">cabe também a esta figura orientar, fiscalizar e eventualmente, corrigir a atividade administrativa garantindo sua juridicidade. </w:t>
      </w:r>
    </w:p>
    <w:p w14:paraId="4D79BE9D" w14:textId="77777777" w:rsidR="00AB51DC" w:rsidRPr="00A31106" w:rsidRDefault="005709EF" w:rsidP="008269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31106">
        <w:rPr>
          <w:rFonts w:ascii="Times New Roman" w:hAnsi="Times New Roman" w:cs="Times New Roman"/>
          <w:sz w:val="24"/>
          <w:szCs w:val="24"/>
          <w:lang w:val="pt-BR"/>
        </w:rPr>
        <w:t xml:space="preserve">Especificamente no âmbito das contratações públicas, </w:t>
      </w:r>
      <w:r w:rsidR="0082692E" w:rsidRPr="00A31106">
        <w:rPr>
          <w:rFonts w:ascii="Times New Roman" w:hAnsi="Times New Roman" w:cs="Times New Roman"/>
          <w:sz w:val="24"/>
          <w:szCs w:val="24"/>
          <w:lang w:val="pt-BR"/>
        </w:rPr>
        <w:t>o art. 169, d</w:t>
      </w:r>
      <w:r w:rsidRPr="00A31106">
        <w:rPr>
          <w:rFonts w:ascii="Times New Roman" w:hAnsi="Times New Roman" w:cs="Times New Roman"/>
          <w:sz w:val="24"/>
          <w:szCs w:val="24"/>
          <w:lang w:val="pt-BR"/>
        </w:rPr>
        <w:t xml:space="preserve">a Lei n° 14.133 atribui promeniência à atividade de controle da advocacia pública ao prever o controle das licitações em três linhas de defesa: a) primeira linha de defesa: servidores e empregados públicos, agentes de licitação e autoridades que </w:t>
      </w:r>
      <w:r w:rsidRPr="00A31106">
        <w:rPr>
          <w:rFonts w:ascii="Times New Roman" w:hAnsi="Times New Roman" w:cs="Times New Roman"/>
          <w:sz w:val="24"/>
          <w:szCs w:val="24"/>
          <w:lang w:val="pt-BR"/>
        </w:rPr>
        <w:lastRenderedPageBreak/>
        <w:t>atuam na estrutura de governança do órgão ou entidade; b) segunda linha de defesa: unidades de assessoramento jurídico e de controle interno do próprio órgão ou entidade; c) terceira linha de defesa: órgão central de controle interno da Administração e tribunal de contas.</w:t>
      </w:r>
    </w:p>
    <w:p w14:paraId="529277F5" w14:textId="77777777" w:rsidR="00AF4159" w:rsidRPr="00A31106" w:rsidRDefault="0082692E" w:rsidP="008269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31106">
        <w:rPr>
          <w:rFonts w:ascii="Times New Roman" w:hAnsi="Times New Roman" w:cs="Times New Roman"/>
          <w:sz w:val="24"/>
          <w:szCs w:val="24"/>
          <w:lang w:val="pt-BR"/>
        </w:rPr>
        <w:t>Desempenhando</w:t>
      </w:r>
      <w:r w:rsidR="00AF4159" w:rsidRPr="00A31106">
        <w:rPr>
          <w:rFonts w:ascii="Times New Roman" w:hAnsi="Times New Roman" w:cs="Times New Roman"/>
          <w:sz w:val="24"/>
          <w:szCs w:val="24"/>
          <w:lang w:val="pt-BR"/>
        </w:rPr>
        <w:t xml:space="preserve"> sua missão no controle interno, pode a Advocacia Pública orientar os gestores com base na literatura já existente sobre o combate a carteis. Nessa esteira, o CADE</w:t>
      </w:r>
      <w:r w:rsidRPr="00A31106">
        <w:rPr>
          <w:rFonts w:ascii="Times New Roman" w:hAnsi="Times New Roman" w:cs="Times New Roman"/>
          <w:sz w:val="24"/>
          <w:szCs w:val="24"/>
          <w:lang w:val="pt-BR"/>
        </w:rPr>
        <w:t xml:space="preserve"> (2019)</w:t>
      </w:r>
      <w:r w:rsidR="00AF4159" w:rsidRPr="00A31106">
        <w:rPr>
          <w:rFonts w:ascii="Times New Roman" w:hAnsi="Times New Roman" w:cs="Times New Roman"/>
          <w:sz w:val="24"/>
          <w:szCs w:val="24"/>
          <w:lang w:val="pt-BR"/>
        </w:rPr>
        <w:t>, no Guia de Combate a carteis em licitações, aponta a importância de que os editais sejam elaborados com regras pró-competitivas que, simultaneamente, “(i) reduzam a previsibilidade acerca dos principais parâmetros da contratação (tais como valor de referência, quantidade a ser contratada, divisão em lotes, critérios técnicos de habilitação, etc.) e (ii) introduzam, assim, elementos desestabilizadores em mercados nos quais há maior propensão à atuação de cartéis.”</w:t>
      </w:r>
      <w:r w:rsidRPr="00A31106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14:paraId="5810D38F" w14:textId="77777777" w:rsidR="00AF4159" w:rsidRDefault="00AF4159" w:rsidP="008269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Com essas duas finalidades, a Autarquia sumariza algumas medidas práticas que podem ser adotadas para diminuir o risco de ocorrência de carteis nos certames públicos e que, por consequência, podem constar das orientações consultivas expedidas pelos membros da Advocacia Pública</w:t>
      </w:r>
      <w:r w:rsidR="00A31106">
        <w:rPr>
          <w:rFonts w:ascii="Times New Roman" w:hAnsi="Times New Roman" w:cs="Times New Roman"/>
          <w:sz w:val="24"/>
          <w:szCs w:val="24"/>
          <w:lang w:val="pt-BR"/>
        </w:rPr>
        <w:t xml:space="preserve"> (BARTH et. al, 2022):</w:t>
      </w:r>
    </w:p>
    <w:p w14:paraId="189101D3" w14:textId="77777777" w:rsidR="00AF4159" w:rsidRDefault="00AF4159" w:rsidP="00AF4159">
      <w:pPr>
        <w:spacing w:after="0" w:line="240" w:lineRule="auto"/>
        <w:jc w:val="both"/>
        <w:rPr>
          <w:sz w:val="20"/>
          <w:szCs w:val="20"/>
          <w:lang w:val="pt-BR"/>
        </w:rPr>
      </w:pPr>
    </w:p>
    <w:p w14:paraId="0DFFAC36" w14:textId="77777777" w:rsidR="00AF4159" w:rsidRPr="00AF4159" w:rsidRDefault="00AF4159" w:rsidP="0082692E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AF4159">
        <w:rPr>
          <w:b/>
          <w:sz w:val="20"/>
          <w:szCs w:val="20"/>
          <w:lang w:val="pt-BR"/>
        </w:rPr>
        <w:t>(I) Recomendações gerais:</w:t>
      </w:r>
    </w:p>
    <w:p w14:paraId="247E3BB5" w14:textId="77777777" w:rsidR="00AF4159" w:rsidRPr="00AF4159" w:rsidRDefault="00AF4159" w:rsidP="0082692E">
      <w:pPr>
        <w:spacing w:after="0" w:line="240" w:lineRule="auto"/>
        <w:ind w:left="2268"/>
        <w:jc w:val="both"/>
        <w:rPr>
          <w:sz w:val="20"/>
          <w:szCs w:val="20"/>
          <w:lang w:val="pt-BR"/>
        </w:rPr>
      </w:pPr>
      <w:r w:rsidRPr="00AF4159">
        <w:rPr>
          <w:sz w:val="20"/>
          <w:szCs w:val="20"/>
          <w:lang w:val="pt-BR"/>
        </w:rPr>
        <w:t xml:space="preserve">•Adoção da Declaração de Elaboração Independente de Proposta, nos termos da Instrução Normativa do Ministério do Planejamento, Orçamento e Gestão nº 02, de 16 de setembro de 2009, de forma a exigir que cada licitante garanta, por intermédio de documento assinado por seu representante legal, que sua proposta comercial e lances tenham sido elaborados sem qualquer tipo de compartilhamento de informação comercial sensível com empresa concorrente. </w:t>
      </w:r>
    </w:p>
    <w:p w14:paraId="19C5490D" w14:textId="77777777" w:rsidR="00AF4159" w:rsidRPr="00AF4159" w:rsidRDefault="00AF4159" w:rsidP="0082692E">
      <w:pPr>
        <w:spacing w:after="0" w:line="240" w:lineRule="auto"/>
        <w:ind w:left="2268"/>
        <w:jc w:val="both"/>
        <w:rPr>
          <w:sz w:val="20"/>
          <w:szCs w:val="20"/>
          <w:lang w:val="pt-BR"/>
        </w:rPr>
      </w:pPr>
      <w:r w:rsidRPr="00AF4159">
        <w:rPr>
          <w:sz w:val="20"/>
          <w:szCs w:val="20"/>
          <w:lang w:val="pt-BR"/>
        </w:rPr>
        <w:t>• Vedação da divulgação do valor de reserva/valor de referência, nos moldes do Regime Diferenciado de Contratação (RDC), conforme Lei nº 12.462, de 4 de agosto de 2011. [com a nova lei de licitações e contratos, a regra passa a ser não divulgação de valores, mas a orientação permanece útil diante da ressalva constante do [ARTIGO].</w:t>
      </w:r>
    </w:p>
    <w:p w14:paraId="40903756" w14:textId="77777777" w:rsidR="00AF4159" w:rsidRPr="00AF4159" w:rsidRDefault="00AF4159" w:rsidP="0082692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AF4159">
        <w:rPr>
          <w:sz w:val="20"/>
          <w:szCs w:val="20"/>
          <w:lang w:val="pt-BR"/>
        </w:rPr>
        <w:t xml:space="preserve">• Avaliar a pertinência da adoção de leilões simultâneos - quando houver mais de uma concessão relativa a objeto semelhante – de forma a dificultar a divisão de mercado (estratégia facilitada pela eventual adoção de leilões sequenciais). • Planejamento de leilões simultâneos que busquem licitar projetos complementares – seja complementaridade </w:t>
      </w:r>
      <w:proofErr w:type="spellStart"/>
      <w:r w:rsidRPr="00AF4159">
        <w:rPr>
          <w:sz w:val="20"/>
          <w:szCs w:val="20"/>
          <w:lang w:val="pt-BR"/>
        </w:rPr>
        <w:t>intra-leilão</w:t>
      </w:r>
      <w:proofErr w:type="spellEnd"/>
      <w:r w:rsidRPr="00AF4159">
        <w:rPr>
          <w:sz w:val="20"/>
          <w:szCs w:val="20"/>
          <w:lang w:val="pt-BR"/>
        </w:rPr>
        <w:t>, seja com projetos já licitados anteriormente – de maneira a possibilitar que seja(m) criada(s) situação(</w:t>
      </w:r>
      <w:proofErr w:type="spellStart"/>
      <w:r w:rsidRPr="00AF4159">
        <w:rPr>
          <w:sz w:val="20"/>
          <w:szCs w:val="20"/>
          <w:lang w:val="pt-BR"/>
        </w:rPr>
        <w:t>ões</w:t>
      </w:r>
      <w:proofErr w:type="spellEnd"/>
      <w:r w:rsidRPr="00AF4159">
        <w:rPr>
          <w:sz w:val="20"/>
          <w:szCs w:val="20"/>
          <w:lang w:val="pt-BR"/>
        </w:rPr>
        <w:t xml:space="preserve">) de valoração </w:t>
      </w:r>
      <w:proofErr w:type="spellStart"/>
      <w:r w:rsidRPr="00AF4159">
        <w:rPr>
          <w:sz w:val="20"/>
          <w:szCs w:val="20"/>
          <w:lang w:val="pt-BR"/>
        </w:rPr>
        <w:t>super-aditiva</w:t>
      </w:r>
      <w:proofErr w:type="spellEnd"/>
      <w:r w:rsidRPr="00AF4159">
        <w:rPr>
          <w:sz w:val="20"/>
          <w:szCs w:val="20"/>
          <w:lang w:val="pt-BR"/>
        </w:rPr>
        <w:t xml:space="preserve"> nos leilões, atraindo tanto empresas já atuantes no mercado, quanto possíveis entrantes.</w:t>
      </w:r>
    </w:p>
    <w:p w14:paraId="77A7C03F" w14:textId="77777777" w:rsidR="00AF4159" w:rsidRPr="00AF4159" w:rsidRDefault="00AF4159" w:rsidP="0082692E">
      <w:pPr>
        <w:spacing w:after="0" w:line="240" w:lineRule="auto"/>
        <w:ind w:left="2268"/>
        <w:jc w:val="both"/>
        <w:rPr>
          <w:sz w:val="20"/>
          <w:szCs w:val="20"/>
          <w:lang w:val="pt-BR"/>
        </w:rPr>
      </w:pPr>
      <w:r w:rsidRPr="00AF4159">
        <w:rPr>
          <w:sz w:val="20"/>
          <w:szCs w:val="20"/>
          <w:lang w:val="pt-BR"/>
        </w:rPr>
        <w:t xml:space="preserve">• Avaliar possibilidade de utilizar desenhos híbridos de leilão, nos moldes do “modo combinado de disputa” do Regime Diferenciado de Contratação (RDC), conforme artigos 23 e 24 do Decreto nº 7.581, de 11 de outubro de 2011. </w:t>
      </w:r>
    </w:p>
    <w:p w14:paraId="79872133" w14:textId="77777777" w:rsidR="00AF4159" w:rsidRPr="00AF4159" w:rsidRDefault="00AF4159" w:rsidP="0082692E">
      <w:pPr>
        <w:spacing w:after="0" w:line="240" w:lineRule="auto"/>
        <w:ind w:left="2268"/>
        <w:jc w:val="both"/>
        <w:rPr>
          <w:sz w:val="20"/>
          <w:szCs w:val="20"/>
          <w:lang w:val="pt-BR"/>
        </w:rPr>
      </w:pPr>
      <w:r w:rsidRPr="00AF4159">
        <w:rPr>
          <w:sz w:val="20"/>
          <w:szCs w:val="20"/>
          <w:lang w:val="pt-BR"/>
        </w:rPr>
        <w:t>• Garantir que os esclarecimentos relacionados ao Edital – prestados aos interessados na fase que antecede a apresentação das propostas – sejam realizados em ambiente virtual, de forma a não permitir a identificação das empresas.</w:t>
      </w:r>
    </w:p>
    <w:p w14:paraId="5011AC85" w14:textId="77777777" w:rsidR="00AF4159" w:rsidRPr="00AF4159" w:rsidRDefault="00AF4159" w:rsidP="0082692E">
      <w:pPr>
        <w:spacing w:after="0" w:line="240" w:lineRule="auto"/>
        <w:ind w:left="2268"/>
        <w:jc w:val="both"/>
        <w:rPr>
          <w:sz w:val="20"/>
          <w:szCs w:val="20"/>
          <w:lang w:val="pt-BR"/>
        </w:rPr>
      </w:pPr>
      <w:r w:rsidRPr="00AF4159">
        <w:rPr>
          <w:sz w:val="20"/>
          <w:szCs w:val="20"/>
          <w:lang w:val="pt-BR"/>
        </w:rPr>
        <w:t xml:space="preserve"> • Evitar, tanto na fase interna quanto na fase externa, que existam oportunidades para que representantes das eventuais empresas interessadas se encontrem presencialmente.</w:t>
      </w:r>
    </w:p>
    <w:p w14:paraId="5114420F" w14:textId="77777777" w:rsidR="00AF4159" w:rsidRPr="00AF4159" w:rsidRDefault="00AF4159" w:rsidP="0082692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14:paraId="113707D4" w14:textId="77777777" w:rsidR="00AF4159" w:rsidRPr="00AF4159" w:rsidRDefault="00AF4159" w:rsidP="0082692E">
      <w:pPr>
        <w:spacing w:after="0" w:line="240" w:lineRule="auto"/>
        <w:ind w:left="2268"/>
        <w:jc w:val="both"/>
        <w:rPr>
          <w:b/>
          <w:sz w:val="20"/>
          <w:szCs w:val="20"/>
          <w:lang w:val="pt-BR"/>
        </w:rPr>
      </w:pPr>
      <w:r w:rsidRPr="00AF4159">
        <w:rPr>
          <w:b/>
          <w:sz w:val="20"/>
          <w:szCs w:val="20"/>
          <w:lang w:val="pt-BR"/>
        </w:rPr>
        <w:t xml:space="preserve">(II) Recomendações para desenho de editais: </w:t>
      </w:r>
    </w:p>
    <w:p w14:paraId="07340358" w14:textId="77777777" w:rsidR="00AF4159" w:rsidRPr="00AF4159" w:rsidRDefault="00AF4159" w:rsidP="0082692E">
      <w:pPr>
        <w:spacing w:after="0" w:line="240" w:lineRule="auto"/>
        <w:ind w:left="2268"/>
        <w:jc w:val="both"/>
        <w:rPr>
          <w:sz w:val="20"/>
          <w:szCs w:val="20"/>
          <w:lang w:val="pt-BR"/>
        </w:rPr>
      </w:pPr>
      <w:r w:rsidRPr="00AF4159">
        <w:rPr>
          <w:sz w:val="20"/>
          <w:szCs w:val="20"/>
          <w:lang w:val="pt-BR"/>
        </w:rPr>
        <w:t xml:space="preserve">• Consórcios: avaliar a adoção de critérios que estimulem a competitividade, de forma a incentivar a participação de “entrantes” no mercado e evitar que tal instituto seja utilizado para “redução estratégica da demanda” (fato prejudicial para a valoração do ativo, na perspectiva </w:t>
      </w:r>
      <w:proofErr w:type="gramStart"/>
      <w:r w:rsidRPr="00AF4159">
        <w:rPr>
          <w:sz w:val="20"/>
          <w:szCs w:val="20"/>
          <w:lang w:val="pt-BR"/>
        </w:rPr>
        <w:t>do concedente</w:t>
      </w:r>
      <w:proofErr w:type="gramEnd"/>
      <w:r w:rsidRPr="00AF4159">
        <w:rPr>
          <w:sz w:val="20"/>
          <w:szCs w:val="20"/>
          <w:lang w:val="pt-BR"/>
        </w:rPr>
        <w:t xml:space="preserve">). </w:t>
      </w:r>
    </w:p>
    <w:p w14:paraId="71710AB4" w14:textId="77777777" w:rsidR="00AF4159" w:rsidRPr="00AF4159" w:rsidRDefault="00AF4159" w:rsidP="0082692E">
      <w:pPr>
        <w:spacing w:after="0" w:line="240" w:lineRule="auto"/>
        <w:ind w:left="2268"/>
        <w:jc w:val="both"/>
        <w:rPr>
          <w:sz w:val="20"/>
          <w:szCs w:val="20"/>
          <w:lang w:val="pt-BR"/>
        </w:rPr>
      </w:pPr>
      <w:r w:rsidRPr="00AF4159">
        <w:rPr>
          <w:sz w:val="20"/>
          <w:szCs w:val="20"/>
          <w:lang w:val="pt-BR"/>
        </w:rPr>
        <w:t xml:space="preserve">• Subcontratação: estabelecer critério para controle e cadastro de empresas subcontratadas, com registro obrigatório, a fim de evitar a utilização do instituto como forma de pagamento lateral e cartelização. </w:t>
      </w:r>
    </w:p>
    <w:p w14:paraId="18B47D06" w14:textId="77777777" w:rsidR="00AF4159" w:rsidRPr="00AF4159" w:rsidRDefault="00AF4159" w:rsidP="0082692E">
      <w:pPr>
        <w:spacing w:after="0" w:line="240" w:lineRule="auto"/>
        <w:ind w:left="2268"/>
        <w:jc w:val="both"/>
        <w:rPr>
          <w:sz w:val="20"/>
          <w:szCs w:val="20"/>
          <w:lang w:val="pt-BR"/>
        </w:rPr>
      </w:pPr>
      <w:r w:rsidRPr="00AF4159">
        <w:rPr>
          <w:sz w:val="20"/>
          <w:szCs w:val="20"/>
          <w:lang w:val="pt-BR"/>
        </w:rPr>
        <w:t xml:space="preserve">• Criação de incentivos para empresas “entrantes” no que tange aos critérios de pontuação para avaliação técnica das propostas. </w:t>
      </w:r>
    </w:p>
    <w:p w14:paraId="5F2D1CBB" w14:textId="77777777" w:rsidR="00AF4159" w:rsidRPr="00AF4159" w:rsidRDefault="00AF4159" w:rsidP="0082692E">
      <w:pPr>
        <w:spacing w:after="0" w:line="240" w:lineRule="auto"/>
        <w:ind w:left="2268"/>
        <w:jc w:val="both"/>
        <w:rPr>
          <w:sz w:val="20"/>
          <w:szCs w:val="20"/>
          <w:lang w:val="pt-BR"/>
        </w:rPr>
      </w:pPr>
      <w:r w:rsidRPr="00AF4159">
        <w:rPr>
          <w:sz w:val="20"/>
          <w:szCs w:val="20"/>
          <w:lang w:val="pt-BR"/>
        </w:rPr>
        <w:t>• Exigências diferenciadas quanto ao seguro-garantia (Agência Brasileira Gestora de Fundos Garantidores e Garantias S.A. e Fundo Garantidor de Infraestrutura), de forma a incentivar a competitividade nos leilões.</w:t>
      </w:r>
    </w:p>
    <w:p w14:paraId="60B40BB2" w14:textId="77777777" w:rsidR="00AF4159" w:rsidRPr="00AF4159" w:rsidRDefault="00AF4159" w:rsidP="0082692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14:paraId="76319CBA" w14:textId="77777777" w:rsidR="00AF4159" w:rsidRPr="00AF4159" w:rsidRDefault="00AF4159" w:rsidP="0082692E">
      <w:pPr>
        <w:spacing w:after="0" w:line="240" w:lineRule="auto"/>
        <w:ind w:left="2268"/>
        <w:jc w:val="both"/>
        <w:rPr>
          <w:b/>
          <w:sz w:val="20"/>
          <w:szCs w:val="20"/>
          <w:lang w:val="pt-BR"/>
        </w:rPr>
      </w:pPr>
      <w:r w:rsidRPr="00AF4159">
        <w:rPr>
          <w:b/>
          <w:sz w:val="20"/>
          <w:szCs w:val="20"/>
          <w:lang w:val="pt-BR"/>
        </w:rPr>
        <w:t xml:space="preserve">(III) Recomendações para durante o certame: </w:t>
      </w:r>
    </w:p>
    <w:p w14:paraId="68568F71" w14:textId="77777777" w:rsidR="00AF4159" w:rsidRPr="00AF4159" w:rsidRDefault="00AF4159" w:rsidP="0082692E">
      <w:pPr>
        <w:spacing w:after="0" w:line="240" w:lineRule="auto"/>
        <w:ind w:left="2268"/>
        <w:jc w:val="both"/>
        <w:rPr>
          <w:sz w:val="20"/>
          <w:szCs w:val="20"/>
          <w:lang w:val="pt-BR"/>
        </w:rPr>
      </w:pPr>
      <w:r w:rsidRPr="00AF4159">
        <w:rPr>
          <w:sz w:val="20"/>
          <w:szCs w:val="20"/>
          <w:lang w:val="pt-BR"/>
        </w:rPr>
        <w:t>• Utilizar sistema informatizado específico para realização do leilão, que contemple as especificidades das regras42, de forma a garantir:</w:t>
      </w:r>
    </w:p>
    <w:p w14:paraId="5BC9D643" w14:textId="77777777" w:rsidR="00AF4159" w:rsidRPr="00AF4159" w:rsidRDefault="00AF4159" w:rsidP="0082692E">
      <w:pPr>
        <w:spacing w:after="0" w:line="240" w:lineRule="auto"/>
        <w:ind w:left="2268"/>
        <w:jc w:val="both"/>
        <w:rPr>
          <w:sz w:val="20"/>
          <w:szCs w:val="20"/>
          <w:lang w:val="pt-BR"/>
        </w:rPr>
      </w:pPr>
      <w:r w:rsidRPr="00AF4159">
        <w:rPr>
          <w:sz w:val="20"/>
          <w:szCs w:val="20"/>
          <w:lang w:val="pt-BR"/>
        </w:rPr>
        <w:t xml:space="preserve">o Ambiente de teste para simular o leilão. </w:t>
      </w:r>
    </w:p>
    <w:p w14:paraId="692DBDFA" w14:textId="77777777" w:rsidR="00AF4159" w:rsidRPr="00AF4159" w:rsidRDefault="00AF4159" w:rsidP="0082692E">
      <w:pPr>
        <w:spacing w:after="0" w:line="240" w:lineRule="auto"/>
        <w:ind w:left="2268"/>
        <w:jc w:val="both"/>
        <w:rPr>
          <w:sz w:val="20"/>
          <w:szCs w:val="20"/>
          <w:lang w:val="pt-BR"/>
        </w:rPr>
      </w:pPr>
      <w:r w:rsidRPr="00AF4159">
        <w:rPr>
          <w:sz w:val="20"/>
          <w:szCs w:val="20"/>
          <w:lang w:val="pt-BR"/>
        </w:rPr>
        <w:t>o Sigilo em relação aos participantes e aos lances apresentados.</w:t>
      </w:r>
    </w:p>
    <w:p w14:paraId="1ADE0068" w14:textId="77777777" w:rsidR="00AF4159" w:rsidRDefault="00AF4159" w:rsidP="0082692E">
      <w:pPr>
        <w:spacing w:after="0" w:line="240" w:lineRule="auto"/>
        <w:ind w:left="2268"/>
        <w:jc w:val="both"/>
        <w:rPr>
          <w:sz w:val="20"/>
          <w:szCs w:val="20"/>
          <w:lang w:val="pt-BR"/>
        </w:rPr>
      </w:pPr>
      <w:r w:rsidRPr="00AF4159">
        <w:rPr>
          <w:sz w:val="20"/>
          <w:szCs w:val="20"/>
          <w:lang w:val="pt-BR"/>
        </w:rPr>
        <w:t>• Evitar que existam momentos presenciais, de forma a impedir que representantes das empresas participantes se encontrem durante o leilão.</w:t>
      </w:r>
    </w:p>
    <w:p w14:paraId="51C24E6D" w14:textId="77777777" w:rsidR="00AF4159" w:rsidRPr="00AF4159" w:rsidRDefault="00AF4159" w:rsidP="0082692E">
      <w:pPr>
        <w:spacing w:after="0" w:line="240" w:lineRule="auto"/>
        <w:ind w:left="2268"/>
        <w:jc w:val="both"/>
        <w:rPr>
          <w:sz w:val="20"/>
          <w:szCs w:val="20"/>
          <w:lang w:val="pt-BR"/>
        </w:rPr>
      </w:pPr>
    </w:p>
    <w:p w14:paraId="264791BA" w14:textId="77777777" w:rsidR="00AF4159" w:rsidRPr="00AF4159" w:rsidRDefault="00AF4159" w:rsidP="0082692E">
      <w:pPr>
        <w:spacing w:after="0" w:line="240" w:lineRule="auto"/>
        <w:ind w:left="2268"/>
        <w:jc w:val="both"/>
        <w:rPr>
          <w:b/>
          <w:sz w:val="20"/>
          <w:szCs w:val="20"/>
          <w:lang w:val="pt-BR"/>
        </w:rPr>
      </w:pPr>
      <w:r w:rsidRPr="00AF4159">
        <w:rPr>
          <w:b/>
          <w:sz w:val="20"/>
          <w:szCs w:val="20"/>
          <w:lang w:val="pt-BR"/>
        </w:rPr>
        <w:t xml:space="preserve">(IV) Recomendações sobre a especificidade de cada mercado e certame: </w:t>
      </w:r>
    </w:p>
    <w:p w14:paraId="22AE5627" w14:textId="77777777" w:rsidR="00AF4159" w:rsidRPr="00AF4159" w:rsidRDefault="00AF4159" w:rsidP="0082692E">
      <w:pPr>
        <w:spacing w:after="0" w:line="240" w:lineRule="auto"/>
        <w:ind w:left="2268"/>
        <w:jc w:val="both"/>
        <w:rPr>
          <w:sz w:val="20"/>
          <w:szCs w:val="20"/>
          <w:lang w:val="pt-BR"/>
        </w:rPr>
      </w:pPr>
      <w:r w:rsidRPr="00AF4159">
        <w:rPr>
          <w:sz w:val="20"/>
          <w:szCs w:val="20"/>
          <w:lang w:val="pt-BR"/>
        </w:rPr>
        <w:t xml:space="preserve">• Cada mercado possui especificidades, regulamentações e necessidades que podem impactar, de forma distinta, o desenho licitatório. A título de exemplo, necessidades regulatórias, técnicas, de qualidade, de segurança e até mesmo de concorrência no mercado durante o período de concessão devem ser sopesados em face da necessidade de estímulo à concorrência no processo licitatório em si, a fim de se atingir um equilíbrio ideal para o desenho da concessão e do edital. </w:t>
      </w:r>
    </w:p>
    <w:p w14:paraId="152BD7E2" w14:textId="77777777" w:rsidR="00AF4159" w:rsidRPr="00AF4159" w:rsidRDefault="00AF4159" w:rsidP="0082692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AF4159">
        <w:rPr>
          <w:sz w:val="20"/>
          <w:szCs w:val="20"/>
          <w:lang w:val="pt-BR"/>
        </w:rPr>
        <w:t>• Ter uma base de dados que consolide informações relevantes sobre licitações é essencial para uma persecução a cartéis em licitações efetiva, seja por parte dos órgãos licitantes, seja por parte de outras autoridades. Isso porque, o efetivo monitoramento dos procedimentos licitatórios pode ter um efeito dissuasório, além de facilitar a detecção de cartéis.</w:t>
      </w:r>
    </w:p>
    <w:p w14:paraId="4E05B80A" w14:textId="77777777" w:rsidR="00AF4159" w:rsidRDefault="00AF4159" w:rsidP="0082692E">
      <w:pPr>
        <w:ind w:left="2268"/>
        <w:rPr>
          <w:rFonts w:ascii="Times New Roman" w:hAnsi="Times New Roman" w:cs="Times New Roman"/>
          <w:sz w:val="24"/>
          <w:szCs w:val="24"/>
          <w:lang w:val="pt-BR"/>
        </w:rPr>
      </w:pPr>
    </w:p>
    <w:p w14:paraId="4C7247A6" w14:textId="77777777" w:rsidR="00F56F6F" w:rsidRPr="002340A3" w:rsidRDefault="00582AEA" w:rsidP="008269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40A3">
        <w:rPr>
          <w:rFonts w:ascii="Times New Roman" w:hAnsi="Times New Roman" w:cs="Times New Roman"/>
          <w:sz w:val="24"/>
          <w:szCs w:val="24"/>
          <w:lang w:val="pt-BR"/>
        </w:rPr>
        <w:t>Além da aplicação de orientações já existentes, a advocacia pública também pode contribuir para o combate a carteis utilizando os meios de comunicação de possíveis ilícitos às autoridades compentetes. Hoje, a prática de carteis em licitação gera responsabilidade administrativa</w:t>
      </w:r>
      <w:r w:rsidR="0082692E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2340A3">
        <w:rPr>
          <w:rFonts w:ascii="Times New Roman" w:hAnsi="Times New Roman" w:cs="Times New Roman"/>
          <w:sz w:val="24"/>
          <w:szCs w:val="24"/>
          <w:lang w:val="pt-BR"/>
        </w:rPr>
        <w:t xml:space="preserve"> criminal</w:t>
      </w:r>
      <w:r w:rsidR="0082692E">
        <w:rPr>
          <w:rFonts w:ascii="Times New Roman" w:hAnsi="Times New Roman" w:cs="Times New Roman"/>
          <w:sz w:val="24"/>
          <w:szCs w:val="24"/>
          <w:lang w:val="pt-BR"/>
        </w:rPr>
        <w:t xml:space="preserve"> e cível.</w:t>
      </w:r>
    </w:p>
    <w:p w14:paraId="57339A59" w14:textId="77777777" w:rsidR="00582AEA" w:rsidRPr="002340A3" w:rsidRDefault="00582AEA" w:rsidP="008269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40A3">
        <w:rPr>
          <w:rFonts w:ascii="Times New Roman" w:hAnsi="Times New Roman" w:cs="Times New Roman"/>
          <w:sz w:val="24"/>
          <w:szCs w:val="24"/>
          <w:lang w:val="pt-BR"/>
        </w:rPr>
        <w:t xml:space="preserve">Do ponto de vista administrativo, compete ao Conselho Administrativo de Defesa Econômica realizar a repressão aos ilícitos econômicos, com atividade investigativa e punitiva de pessoas físicas ou jurídicas envolvidas em condutas anticompetitivas. Os meios acessíveis à Advocacia Pública são as representações e o clique denuncia disponibilizados pelo CADE. </w:t>
      </w:r>
    </w:p>
    <w:p w14:paraId="71B52983" w14:textId="77777777" w:rsidR="00582AEA" w:rsidRPr="002340A3" w:rsidRDefault="00582AEA" w:rsidP="008269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40A3">
        <w:rPr>
          <w:rFonts w:ascii="Times New Roman" w:hAnsi="Times New Roman" w:cs="Times New Roman"/>
          <w:sz w:val="24"/>
          <w:szCs w:val="24"/>
          <w:lang w:val="pt-BR"/>
        </w:rPr>
        <w:t xml:space="preserve">As representações podem ser feitas por qualquer interessado diante da existência de indício de infração contra a ordem econômica (artigo 66, § 1º da Lei nº 12.529/2011). Já o clique denúncia é uma ferramenta </w:t>
      </w:r>
      <w:r w:rsidRPr="002340A3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disponibilizada no sítio eletrônico da autarquia e por meio telefônico pela qualquer </w:t>
      </w:r>
      <w:r w:rsidR="00177F6D" w:rsidRPr="002340A3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2340A3">
        <w:rPr>
          <w:rFonts w:ascii="Times New Roman" w:hAnsi="Times New Roman" w:cs="Times New Roman"/>
          <w:sz w:val="24"/>
          <w:szCs w:val="24"/>
          <w:lang w:val="pt-BR"/>
        </w:rPr>
        <w:t>idadão pode realizar uma denúncia, dispensada a formalidade da representação</w:t>
      </w:r>
      <w:r w:rsidR="0082692E">
        <w:rPr>
          <w:rStyle w:val="Refdenotaderodap"/>
          <w:rFonts w:ascii="Times New Roman" w:hAnsi="Times New Roman" w:cs="Times New Roman"/>
          <w:sz w:val="24"/>
          <w:szCs w:val="24"/>
          <w:lang w:val="pt-BR"/>
        </w:rPr>
        <w:footnoteReference w:id="11"/>
      </w:r>
      <w:r w:rsidRPr="002340A3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14:paraId="4E0676FB" w14:textId="77777777" w:rsidR="00177F6D" w:rsidRPr="002340A3" w:rsidRDefault="00177F6D" w:rsidP="008269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40A3">
        <w:rPr>
          <w:rFonts w:ascii="Times New Roman" w:hAnsi="Times New Roman" w:cs="Times New Roman"/>
          <w:sz w:val="24"/>
          <w:szCs w:val="24"/>
          <w:lang w:val="pt-BR"/>
        </w:rPr>
        <w:t xml:space="preserve">Ainda no âmbito administrativo, </w:t>
      </w:r>
      <w:r w:rsidR="00DF4EEC" w:rsidRPr="002340A3">
        <w:rPr>
          <w:rFonts w:ascii="Times New Roman" w:hAnsi="Times New Roman" w:cs="Times New Roman"/>
          <w:sz w:val="24"/>
          <w:szCs w:val="24"/>
          <w:lang w:val="pt-BR"/>
        </w:rPr>
        <w:t xml:space="preserve">também é cabível a comunicação para órgãos de controle interno, caso das </w:t>
      </w:r>
      <w:r w:rsidR="0082692E">
        <w:rPr>
          <w:rFonts w:ascii="Times New Roman" w:hAnsi="Times New Roman" w:cs="Times New Roman"/>
          <w:sz w:val="24"/>
          <w:szCs w:val="24"/>
          <w:lang w:val="pt-BR"/>
        </w:rPr>
        <w:t>Co</w:t>
      </w:r>
      <w:r w:rsidR="00DF4EEC" w:rsidRPr="002340A3">
        <w:rPr>
          <w:rFonts w:ascii="Times New Roman" w:hAnsi="Times New Roman" w:cs="Times New Roman"/>
          <w:sz w:val="24"/>
          <w:szCs w:val="24"/>
          <w:lang w:val="pt-BR"/>
        </w:rPr>
        <w:t>ntroladorias</w:t>
      </w:r>
      <w:r w:rsidR="0082692E">
        <w:rPr>
          <w:rFonts w:ascii="Times New Roman" w:hAnsi="Times New Roman" w:cs="Times New Roman"/>
          <w:sz w:val="24"/>
          <w:szCs w:val="24"/>
          <w:lang w:val="pt-BR"/>
        </w:rPr>
        <w:t>-Gerais dos Estado</w:t>
      </w:r>
      <w:r w:rsidR="00DF4EEC" w:rsidRPr="002340A3">
        <w:rPr>
          <w:rFonts w:ascii="Times New Roman" w:hAnsi="Times New Roman" w:cs="Times New Roman"/>
          <w:sz w:val="24"/>
          <w:szCs w:val="24"/>
          <w:lang w:val="pt-BR"/>
        </w:rPr>
        <w:t>s, que, em regra, são incumbid</w:t>
      </w:r>
      <w:r w:rsidR="0082692E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DF4EEC" w:rsidRPr="002340A3">
        <w:rPr>
          <w:rFonts w:ascii="Times New Roman" w:hAnsi="Times New Roman" w:cs="Times New Roman"/>
          <w:sz w:val="24"/>
          <w:szCs w:val="24"/>
          <w:lang w:val="pt-BR"/>
        </w:rPr>
        <w:t>s da competência de apurar, processar e julgar os ilícitos que atentam contra o patrimônio público, dentre os quais encontra-se a tentativa de frustrar ou fraudar o caráter competitivo da licitação. Exemplo disso é o que ocorre no caso da União, com a Controladoria-Geral da União conforme previsão dos artigos 5º, inciso IV e 9º da Lei nº 12.846/2013.</w:t>
      </w:r>
    </w:p>
    <w:p w14:paraId="690F66B4" w14:textId="77777777" w:rsidR="00F56F6F" w:rsidRPr="002340A3" w:rsidRDefault="00177F6D" w:rsidP="008269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40A3">
        <w:rPr>
          <w:rFonts w:ascii="Times New Roman" w:hAnsi="Times New Roman" w:cs="Times New Roman"/>
          <w:sz w:val="24"/>
          <w:szCs w:val="24"/>
          <w:lang w:val="pt-BR"/>
        </w:rPr>
        <w:t>Quanto às repercussões criminais, cabe à comunicação aos órgãos de persecução penal, Ministério Público e Polícia. Nesse ponto, vale lembrar que os carteis em licitação caracterizam tipo específico, diante da previsão</w:t>
      </w:r>
      <w:r w:rsidR="0082692E">
        <w:rPr>
          <w:rFonts w:ascii="Times New Roman" w:hAnsi="Times New Roman" w:cs="Times New Roman"/>
          <w:sz w:val="24"/>
          <w:szCs w:val="24"/>
          <w:lang w:val="pt-BR"/>
        </w:rPr>
        <w:t xml:space="preserve"> dos artigos 337-E e seguintes, agora inscritos no Código Penal</w:t>
      </w:r>
      <w:proofErr w:type="gramStart"/>
      <w:r w:rsidR="0082692E">
        <w:rPr>
          <w:rFonts w:ascii="Times New Roman" w:hAnsi="Times New Roman" w:cs="Times New Roman"/>
          <w:sz w:val="24"/>
          <w:szCs w:val="24"/>
          <w:lang w:val="pt-BR"/>
        </w:rPr>
        <w:t>. .</w:t>
      </w:r>
      <w:proofErr w:type="gramEnd"/>
      <w:r w:rsidR="0082692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F4EEC" w:rsidRPr="002340A3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2340A3">
        <w:rPr>
          <w:rFonts w:ascii="Times New Roman" w:hAnsi="Times New Roman" w:cs="Times New Roman"/>
          <w:sz w:val="24"/>
          <w:szCs w:val="24"/>
          <w:lang w:val="pt-BR"/>
        </w:rPr>
        <w:t>or fim, o cartel em licitações frequentemente é associado com outros ilícitos, notadamente a corrupção ativa e passiva</w:t>
      </w:r>
      <w:r w:rsidR="00DF4EEC" w:rsidRPr="002340A3">
        <w:rPr>
          <w:rFonts w:ascii="Times New Roman" w:hAnsi="Times New Roman" w:cs="Times New Roman"/>
          <w:sz w:val="24"/>
          <w:szCs w:val="24"/>
          <w:lang w:val="pt-BR"/>
        </w:rPr>
        <w:t xml:space="preserve">, que também podem ser investigados pelas autoridades de persecução penal. </w:t>
      </w:r>
      <w:r w:rsidRPr="002340A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0EE3FA55" w14:textId="77777777" w:rsidR="00F56F6F" w:rsidRPr="002340A3" w:rsidRDefault="00F56F6F" w:rsidP="002340A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pt-BR"/>
        </w:rPr>
      </w:pPr>
    </w:p>
    <w:p w14:paraId="5B075AC8" w14:textId="77777777" w:rsidR="00F56F6F" w:rsidRPr="00433556" w:rsidRDefault="00F56F6F" w:rsidP="00433556">
      <w:pPr>
        <w:pStyle w:val="PargrafodaLista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335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Ação de reparação de danos </w:t>
      </w:r>
    </w:p>
    <w:p w14:paraId="44328492" w14:textId="77777777" w:rsidR="000B5967" w:rsidRPr="000B5967" w:rsidRDefault="000B5967" w:rsidP="000B5967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6114ADAD" w14:textId="77777777" w:rsidR="00646293" w:rsidRPr="002340A3" w:rsidRDefault="00646293" w:rsidP="0082692E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340A3">
        <w:rPr>
          <w:rFonts w:ascii="Times New Roman" w:hAnsi="Times New Roman" w:cs="Times New Roman"/>
          <w:sz w:val="24"/>
          <w:szCs w:val="24"/>
          <w:lang w:val="pt-BR"/>
        </w:rPr>
        <w:t xml:space="preserve">Os danos causados pelo cartel também pode ser objeto de reparação cível. </w:t>
      </w:r>
      <w:r w:rsidR="002340A3" w:rsidRPr="002340A3">
        <w:rPr>
          <w:rFonts w:ascii="Times New Roman" w:hAnsi="Times New Roman" w:cs="Times New Roman"/>
          <w:sz w:val="24"/>
          <w:szCs w:val="24"/>
          <w:lang w:val="pt-BR"/>
        </w:rPr>
        <w:t xml:space="preserve">Em primeiro lugar, </w:t>
      </w:r>
      <w:r w:rsidRPr="002340A3">
        <w:rPr>
          <w:rFonts w:ascii="Times New Roman" w:hAnsi="Times New Roman" w:cs="Times New Roman"/>
          <w:sz w:val="24"/>
          <w:szCs w:val="24"/>
          <w:lang w:val="pt-BR"/>
        </w:rPr>
        <w:t xml:space="preserve">há o dano à coletividade, considerando que o art. 1°, da Lei n° 7.347, de 1985, prevê que as ações de responsabilidade por danos morais e patrimoniais causados pela prática de infrações contra a ordem econômica podem ser tuteladas pela ação civil pública. Com efeito, os Estados são legitimados ativos para o manejo dessas ações, com fundamento art. 5°, III da Lei n° 7.347, de 1985. </w:t>
      </w:r>
    </w:p>
    <w:p w14:paraId="7157C17A" w14:textId="77777777" w:rsidR="00646293" w:rsidRDefault="00646293" w:rsidP="0082692E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340A3">
        <w:rPr>
          <w:rFonts w:ascii="Times New Roman" w:hAnsi="Times New Roman" w:cs="Times New Roman"/>
          <w:sz w:val="24"/>
          <w:szCs w:val="24"/>
          <w:lang w:val="pt-BR"/>
        </w:rPr>
        <w:t>Além do dano à coletividade, há o dano causado ao ente público que tenha realizado suas contratações em licitações nas quais houve a colusão. Nesse caso, o dano pode ser alegado em ação própria, para a reparação do ente prejudicado</w:t>
      </w:r>
      <w:r w:rsidR="0082692E">
        <w:rPr>
          <w:rFonts w:ascii="Times New Roman" w:hAnsi="Times New Roman" w:cs="Times New Roman"/>
          <w:sz w:val="24"/>
          <w:szCs w:val="24"/>
          <w:lang w:val="pt-BR"/>
        </w:rPr>
        <w:t xml:space="preserve">, com os mesmos fundamentos utilizados em ações de responsabilidade civil (em regra, a combinação dos </w:t>
      </w:r>
      <w:proofErr w:type="spellStart"/>
      <w:r w:rsidR="0082692E">
        <w:rPr>
          <w:rFonts w:ascii="Times New Roman" w:hAnsi="Times New Roman" w:cs="Times New Roman"/>
          <w:sz w:val="24"/>
          <w:szCs w:val="24"/>
          <w:lang w:val="pt-BR"/>
        </w:rPr>
        <w:t>arts</w:t>
      </w:r>
      <w:proofErr w:type="spellEnd"/>
      <w:r w:rsidR="0082692E">
        <w:rPr>
          <w:rFonts w:ascii="Times New Roman" w:hAnsi="Times New Roman" w:cs="Times New Roman"/>
          <w:sz w:val="24"/>
          <w:szCs w:val="24"/>
          <w:lang w:val="pt-BR"/>
        </w:rPr>
        <w:t xml:space="preserve">. 186 e 927 e ss. do Código Civil). </w:t>
      </w:r>
    </w:p>
    <w:p w14:paraId="4EA65A48" w14:textId="77777777" w:rsidR="0082692E" w:rsidRDefault="0082692E" w:rsidP="008269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Para dimensionar os danos a extensão da indenização, é possível utilizar a técnica já aplicada pelo CADE para cálculo de sobre</w:t>
      </w:r>
      <w:r w:rsidR="00A31106">
        <w:rPr>
          <w:rFonts w:ascii="Times New Roman" w:hAnsi="Times New Roman" w:cs="Times New Roman"/>
          <w:sz w:val="24"/>
          <w:szCs w:val="24"/>
          <w:lang w:val="pt-BR"/>
        </w:rPr>
        <w:t>-</w:t>
      </w:r>
      <w:r>
        <w:rPr>
          <w:rFonts w:ascii="Times New Roman" w:hAnsi="Times New Roman" w:cs="Times New Roman"/>
          <w:sz w:val="24"/>
          <w:szCs w:val="24"/>
          <w:lang w:val="pt-BR"/>
        </w:rPr>
        <w:t>preço e vantagem auferida nos carteis</w:t>
      </w:r>
      <w:r w:rsidR="00A31106">
        <w:rPr>
          <w:rFonts w:ascii="Times New Roman" w:hAnsi="Times New Roman" w:cs="Times New Roman"/>
          <w:sz w:val="24"/>
          <w:szCs w:val="24"/>
          <w:lang w:val="pt-BR"/>
        </w:rPr>
        <w:t xml:space="preserve"> e, nessas ações, o valor da indenização será </w:t>
      </w:r>
      <w:r w:rsidR="00A31106">
        <w:rPr>
          <w:rFonts w:ascii="Times New Roman" w:hAnsi="Times New Roman" w:cs="Times New Roman"/>
          <w:sz w:val="24"/>
          <w:szCs w:val="24"/>
          <w:lang w:val="pt-BR"/>
        </w:rPr>
        <w:lastRenderedPageBreak/>
        <w:t>o dobro do prejuízo demonstrado (art. 47, §1° da Lei n° 12.529/2011)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. No exemplo apresentado do cartel em licitação de kits escolares, o valor estimado de sobre-preço foi de 20%, o que permitiu uma estimação da vantagem auferida em </w:t>
      </w:r>
      <w:r w:rsidRPr="0082692E">
        <w:rPr>
          <w:rFonts w:ascii="Times New Roman" w:hAnsi="Times New Roman" w:cs="Times New Roman"/>
          <w:sz w:val="24"/>
          <w:szCs w:val="24"/>
          <w:lang w:val="pt-BR"/>
        </w:rPr>
        <w:t>R$ 21.011.834,00 (vinte e um milhões onze mil oitocentos e trinta e quatro reais).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No caso de ações de reparação propostas pelos entes públicos, o cálculo do dano deve ser feito de acordo com o valor das compras públicas de que participaram os sujeitos condenados pelo cartel. </w:t>
      </w:r>
    </w:p>
    <w:p w14:paraId="5EE26AD3" w14:textId="77777777" w:rsidR="000B5967" w:rsidRDefault="0082692E" w:rsidP="008269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Além disso, as ações de reparação podem ser instruídas com provas obtidas durante o processo administrativo que deu origem à condenação perante o CADE. Embora o tema ainda seja bastante novo, não existindo notícia de nenhum ente público que tenha buscado esse tipo de reparação, </w:t>
      </w:r>
      <w:r w:rsidR="000B5967">
        <w:rPr>
          <w:rFonts w:ascii="Times New Roman" w:hAnsi="Times New Roman" w:cs="Times New Roman"/>
          <w:sz w:val="24"/>
          <w:szCs w:val="24"/>
          <w:lang w:val="pt-BR"/>
        </w:rPr>
        <w:t>a matéria já está regulamentada em lei. Com efeito, a Lei n° 14.470/2022, alterou a Lei n° 12.529/2011, para pre</w:t>
      </w:r>
      <w:r w:rsidR="00A31106">
        <w:rPr>
          <w:rFonts w:ascii="Times New Roman" w:hAnsi="Times New Roman" w:cs="Times New Roman"/>
          <w:sz w:val="24"/>
          <w:szCs w:val="24"/>
          <w:lang w:val="pt-BR"/>
        </w:rPr>
        <w:t>ver toda a disciplina aplicável aos pedidos de reparação de dano:</w:t>
      </w:r>
      <w:r w:rsidR="000B596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2F29055B" w14:textId="77777777" w:rsidR="000B5967" w:rsidRDefault="000B5967" w:rsidP="000B5967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14:paraId="53BF52B1" w14:textId="77777777" w:rsidR="000B5967" w:rsidRPr="000B5967" w:rsidRDefault="000B5967" w:rsidP="000B5967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0B5967">
        <w:rPr>
          <w:rFonts w:ascii="Times New Roman" w:hAnsi="Times New Roman" w:cs="Times New Roman"/>
          <w:sz w:val="20"/>
          <w:szCs w:val="20"/>
          <w:lang w:val="pt-BR"/>
        </w:rPr>
        <w:t>Art. 1º A Lei nº 12.529, de 30 de novembro de 2011 (Lei de Defesa da Concorrência), passa a vigorar com as seguintes alterações:</w:t>
      </w:r>
    </w:p>
    <w:p w14:paraId="6DD439F2" w14:textId="77777777" w:rsidR="000B5967" w:rsidRPr="000B5967" w:rsidRDefault="000B5967" w:rsidP="000B5967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0B5967">
        <w:rPr>
          <w:rFonts w:ascii="Times New Roman" w:hAnsi="Times New Roman" w:cs="Times New Roman"/>
          <w:sz w:val="20"/>
          <w:szCs w:val="20"/>
          <w:lang w:val="pt-BR"/>
        </w:rPr>
        <w:t>§ 1º Os prejudicados terão direito a ressarcimento em dobro pelos prejuízos sofridos em razão de infrações à ordem econômica previstas nos incisos I e II do § 3º do art. 36 desta Lei, sem prejuízo das sanções aplicadas nas esferas administrativa e penal.</w:t>
      </w:r>
    </w:p>
    <w:p w14:paraId="01BFFD77" w14:textId="77777777" w:rsidR="000B5967" w:rsidRPr="000B5967" w:rsidRDefault="000B5967" w:rsidP="000B5967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0B5967">
        <w:rPr>
          <w:rFonts w:ascii="Times New Roman" w:hAnsi="Times New Roman" w:cs="Times New Roman"/>
          <w:sz w:val="20"/>
          <w:szCs w:val="20"/>
          <w:lang w:val="pt-BR"/>
        </w:rPr>
        <w:t xml:space="preserve">§ 2º Não se aplica o disposto no § 1º deste artigo aos coautores de infração à ordem econômica que tenham celebrado acordo de leniência ou termo de compromisso de cessação de prática cujo cumprimento tenha sido declarado pelo </w:t>
      </w:r>
      <w:proofErr w:type="spellStart"/>
      <w:r w:rsidRPr="000B5967">
        <w:rPr>
          <w:rFonts w:ascii="Times New Roman" w:hAnsi="Times New Roman" w:cs="Times New Roman"/>
          <w:sz w:val="20"/>
          <w:szCs w:val="20"/>
          <w:lang w:val="pt-BR"/>
        </w:rPr>
        <w:t>Cade</w:t>
      </w:r>
      <w:proofErr w:type="spellEnd"/>
      <w:r w:rsidRPr="000B5967">
        <w:rPr>
          <w:rFonts w:ascii="Times New Roman" w:hAnsi="Times New Roman" w:cs="Times New Roman"/>
          <w:sz w:val="20"/>
          <w:szCs w:val="20"/>
          <w:lang w:val="pt-BR"/>
        </w:rPr>
        <w:t>, os quais responderão somente pelos prejuízos causados aos prejudicados.</w:t>
      </w:r>
    </w:p>
    <w:p w14:paraId="3D6B7E25" w14:textId="77777777" w:rsidR="000B5967" w:rsidRPr="000B5967" w:rsidRDefault="000B5967" w:rsidP="000B5967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0B5967">
        <w:rPr>
          <w:rFonts w:ascii="Times New Roman" w:hAnsi="Times New Roman" w:cs="Times New Roman"/>
          <w:sz w:val="20"/>
          <w:szCs w:val="20"/>
          <w:lang w:val="pt-BR"/>
        </w:rPr>
        <w:t>§ 3º Os signatários do acordo de leniência e do termo de compromisso de cessação de prática são responsáveis apenas pelo dano que causaram aos prejudicados, não incidindo sobre eles responsabilidade solidária pelos danos causados pelos demais autores da infração à ordem econômica.</w:t>
      </w:r>
    </w:p>
    <w:p w14:paraId="5FD328F5" w14:textId="77777777" w:rsidR="000B5967" w:rsidRPr="000B5967" w:rsidRDefault="000B5967" w:rsidP="000B5967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0B5967">
        <w:rPr>
          <w:rFonts w:ascii="Times New Roman" w:hAnsi="Times New Roman" w:cs="Times New Roman"/>
          <w:sz w:val="20"/>
          <w:szCs w:val="20"/>
          <w:lang w:val="pt-BR"/>
        </w:rPr>
        <w:t>§ 4º Não se presume o repasse de sobrepreço nos casos das infrações à ordem econômica previstas nos incisos I e II do § 3º do art. 36 desta Lei, cabendo a prova ao réu que o alegar." (NR)</w:t>
      </w:r>
    </w:p>
    <w:p w14:paraId="42D735D7" w14:textId="77777777" w:rsidR="000B5967" w:rsidRPr="000B5967" w:rsidRDefault="000B5967" w:rsidP="000B5967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0B5967">
        <w:rPr>
          <w:rFonts w:ascii="Times New Roman" w:hAnsi="Times New Roman" w:cs="Times New Roman"/>
          <w:sz w:val="20"/>
          <w:szCs w:val="20"/>
          <w:lang w:val="pt-BR"/>
        </w:rPr>
        <w:t xml:space="preserve">Art. 2º A Lei nº 12.529, de 30 de novembro de 2011 (Lei de Defesa da Concorrência), passa a vigorar acrescida dos seguintes </w:t>
      </w:r>
      <w:proofErr w:type="spellStart"/>
      <w:r w:rsidRPr="000B5967">
        <w:rPr>
          <w:rFonts w:ascii="Times New Roman" w:hAnsi="Times New Roman" w:cs="Times New Roman"/>
          <w:sz w:val="20"/>
          <w:szCs w:val="20"/>
          <w:lang w:val="pt-BR"/>
        </w:rPr>
        <w:t>arts</w:t>
      </w:r>
      <w:proofErr w:type="spellEnd"/>
      <w:r w:rsidRPr="000B5967">
        <w:rPr>
          <w:rFonts w:ascii="Times New Roman" w:hAnsi="Times New Roman" w:cs="Times New Roman"/>
          <w:sz w:val="20"/>
          <w:szCs w:val="20"/>
          <w:lang w:val="pt-BR"/>
        </w:rPr>
        <w:t>. 46-A e 47-A, incluídos, respectivamente, nos Capítulos IV e V do Título V:</w:t>
      </w:r>
    </w:p>
    <w:p w14:paraId="55395617" w14:textId="77777777" w:rsidR="000B5967" w:rsidRPr="000B5967" w:rsidRDefault="000B5967" w:rsidP="000B5967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0B5967">
        <w:rPr>
          <w:rFonts w:ascii="Times New Roman" w:hAnsi="Times New Roman" w:cs="Times New Roman"/>
          <w:sz w:val="20"/>
          <w:szCs w:val="20"/>
          <w:lang w:val="pt-BR"/>
        </w:rPr>
        <w:t xml:space="preserve">"Art. 46-A. Quando a ação de indenização por perdas e danos originar-se do direito previsto no art. 47 desta Lei, não correrá a prescrição durante o curso do inquérito ou do processo administrativo no âmbito do </w:t>
      </w:r>
      <w:proofErr w:type="spellStart"/>
      <w:r w:rsidRPr="000B5967">
        <w:rPr>
          <w:rFonts w:ascii="Times New Roman" w:hAnsi="Times New Roman" w:cs="Times New Roman"/>
          <w:sz w:val="20"/>
          <w:szCs w:val="20"/>
          <w:lang w:val="pt-BR"/>
        </w:rPr>
        <w:t>Cade</w:t>
      </w:r>
      <w:proofErr w:type="spellEnd"/>
      <w:r w:rsidRPr="000B5967">
        <w:rPr>
          <w:rFonts w:ascii="Times New Roman" w:hAnsi="Times New Roman" w:cs="Times New Roman"/>
          <w:sz w:val="20"/>
          <w:szCs w:val="20"/>
          <w:lang w:val="pt-BR"/>
        </w:rPr>
        <w:t>.</w:t>
      </w:r>
    </w:p>
    <w:p w14:paraId="13A89A28" w14:textId="77777777" w:rsidR="000B5967" w:rsidRPr="000B5967" w:rsidRDefault="000B5967" w:rsidP="000B5967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0B5967">
        <w:rPr>
          <w:rFonts w:ascii="Times New Roman" w:hAnsi="Times New Roman" w:cs="Times New Roman"/>
          <w:sz w:val="20"/>
          <w:szCs w:val="20"/>
          <w:lang w:val="pt-BR"/>
        </w:rPr>
        <w:t>§ 1º Prescreve em 5 (cinco) anos a pretensão à reparação pelos danos causados pelas infrações à ordem econômica previstas no art. 36 desta Lei, iniciando-se sua contagem a partir da ciência inequívoca do ilícito.</w:t>
      </w:r>
    </w:p>
    <w:p w14:paraId="462EB64A" w14:textId="77777777" w:rsidR="000B5967" w:rsidRPr="000B5967" w:rsidRDefault="000B5967" w:rsidP="000B5967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0B5967">
        <w:rPr>
          <w:rFonts w:ascii="Times New Roman" w:hAnsi="Times New Roman" w:cs="Times New Roman"/>
          <w:sz w:val="20"/>
          <w:szCs w:val="20"/>
          <w:lang w:val="pt-BR"/>
        </w:rPr>
        <w:t xml:space="preserve">§ 2º Considera-se ocorrida a ciência inequívoca do ilícito por ocasião da publicação do julgamento final do processo administrativo pelo </w:t>
      </w:r>
      <w:proofErr w:type="spellStart"/>
      <w:r w:rsidRPr="000B5967">
        <w:rPr>
          <w:rFonts w:ascii="Times New Roman" w:hAnsi="Times New Roman" w:cs="Times New Roman"/>
          <w:sz w:val="20"/>
          <w:szCs w:val="20"/>
          <w:lang w:val="pt-BR"/>
        </w:rPr>
        <w:t>Cade</w:t>
      </w:r>
      <w:proofErr w:type="spellEnd"/>
      <w:r w:rsidRPr="000B5967">
        <w:rPr>
          <w:rFonts w:ascii="Times New Roman" w:hAnsi="Times New Roman" w:cs="Times New Roman"/>
          <w:sz w:val="20"/>
          <w:szCs w:val="20"/>
          <w:lang w:val="pt-BR"/>
        </w:rPr>
        <w:t>."</w:t>
      </w:r>
    </w:p>
    <w:p w14:paraId="091412D9" w14:textId="77777777" w:rsidR="000B5967" w:rsidRPr="000B5967" w:rsidRDefault="000B5967" w:rsidP="000B5967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0B5967">
        <w:rPr>
          <w:rFonts w:ascii="Times New Roman" w:hAnsi="Times New Roman" w:cs="Times New Roman"/>
          <w:sz w:val="20"/>
          <w:szCs w:val="20"/>
          <w:lang w:val="pt-BR"/>
        </w:rPr>
        <w:t>"Art. 47-A. A decisão do Plenário do Tribunal referida no art. 93 desta Lei é apta a fundamentar a concessão de tutela da evidência, permitindo ao juiz decidir liminarmente nas ações previstas no art. 47 desta Lei."</w:t>
      </w:r>
    </w:p>
    <w:p w14:paraId="6223B9C4" w14:textId="77777777" w:rsidR="00646293" w:rsidRPr="002340A3" w:rsidRDefault="00646293" w:rsidP="002340A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pt-BR"/>
        </w:rPr>
      </w:pPr>
    </w:p>
    <w:p w14:paraId="0F9A711E" w14:textId="77777777" w:rsidR="000B5967" w:rsidRDefault="000B5967" w:rsidP="002340A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pt-BR"/>
        </w:rPr>
      </w:pPr>
    </w:p>
    <w:p w14:paraId="32F2485E" w14:textId="77777777" w:rsidR="000B5967" w:rsidRPr="002F2BFF" w:rsidRDefault="000B5967" w:rsidP="00A31106">
      <w:pPr>
        <w:pStyle w:val="PargrafodaLista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F2BFF">
        <w:rPr>
          <w:rFonts w:ascii="Times New Roman" w:hAnsi="Times New Roman" w:cs="Times New Roman"/>
          <w:b/>
          <w:sz w:val="24"/>
          <w:szCs w:val="24"/>
          <w:lang w:val="pt-BR"/>
        </w:rPr>
        <w:t>CONCLUSÃO</w:t>
      </w:r>
    </w:p>
    <w:p w14:paraId="13CF0808" w14:textId="77777777" w:rsidR="00A31106" w:rsidRDefault="00A31106" w:rsidP="000B59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873D222" w14:textId="77777777" w:rsidR="000B5967" w:rsidRDefault="000B5967" w:rsidP="000B59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 dimensão econômica da sustentabilidade não pode ser ignorada e sua inclusão nos critérios utilizados nas contratações sustentáveis tem benefícios significativos: compra de produtos com maior qualidade, menor preço, impacto na qualidade dos serviços prestados pelo poder público e, por consequência, melhora na qualidade e na eficiência da administração. Se, por um lado, a Advocacia Pública não é o único – e possivelmente, nem mesmo o mais importante – agente envolvido nessa missão, suas contribuições não podem ser desprezadas. </w:t>
      </w:r>
    </w:p>
    <w:p w14:paraId="5E5110CE" w14:textId="77777777" w:rsidR="000B5967" w:rsidRDefault="000B5967" w:rsidP="000B59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Enquanto função essencial à justiça que atua de forma mais próxima aos gestores e executores de políticas públicas, os advogados públicos podem influenciar de forma significativa os processos de contratação dentro da Administração. Sem prejuízo, a cooperação com outros órgãos e entidades públicos e privad</w:t>
      </w:r>
      <w:r w:rsidR="002F2BFF">
        <w:rPr>
          <w:rFonts w:ascii="Times New Roman" w:hAnsi="Times New Roman" w:cs="Times New Roman"/>
          <w:sz w:val="24"/>
          <w:szCs w:val="24"/>
          <w:lang w:val="pt-BR"/>
        </w:rPr>
        <w:t>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 é também um fator relevante para a </w:t>
      </w:r>
      <w:r w:rsidR="002F2BFF">
        <w:rPr>
          <w:rFonts w:ascii="Times New Roman" w:hAnsi="Times New Roman" w:cs="Times New Roman"/>
          <w:sz w:val="24"/>
          <w:szCs w:val="24"/>
          <w:lang w:val="pt-BR"/>
        </w:rPr>
        <w:t xml:space="preserve">busca dos objetivos do Estado, incluindo a promoção da sustentabilidade. </w:t>
      </w:r>
    </w:p>
    <w:p w14:paraId="66FEA05A" w14:textId="77777777" w:rsidR="00433556" w:rsidRDefault="00433556" w:rsidP="00433556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15A7DA7" w14:textId="77777777" w:rsidR="002F2BFF" w:rsidRPr="00B31FE5" w:rsidRDefault="002F2BFF" w:rsidP="00433556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33556">
        <w:rPr>
          <w:rFonts w:ascii="Times New Roman" w:hAnsi="Times New Roman" w:cs="Times New Roman"/>
          <w:b/>
          <w:sz w:val="24"/>
          <w:szCs w:val="24"/>
          <w:lang w:val="pt-BR"/>
        </w:rPr>
        <w:t>REFERÊNCIAS</w:t>
      </w:r>
    </w:p>
    <w:p w14:paraId="17934B29" w14:textId="77777777" w:rsidR="00433556" w:rsidRPr="00B31FE5" w:rsidRDefault="00433556" w:rsidP="0043355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8B70F0F" w14:textId="77777777" w:rsidR="00433556" w:rsidRPr="00B31FE5" w:rsidRDefault="00433556" w:rsidP="0043355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31FE5">
        <w:rPr>
          <w:rFonts w:ascii="Times New Roman" w:hAnsi="Times New Roman" w:cs="Times New Roman"/>
          <w:sz w:val="24"/>
          <w:szCs w:val="24"/>
          <w:lang w:val="pt-BR"/>
        </w:rPr>
        <w:t>BRASIL. Advocacia-Geral da União. Guia Nacional de Contratações Sustentáveis. 5. ed. Brasília: AGU, julho de 2022. Autores: BARTH, Maria Leticia B. G; CABRAL, Flávio G.; CARVALHO, Flávia G. de; CLARE, Celso V.; FERNANDES, Viviane V. S.; PAZ E SILVA FILHO, Manoel; GOMES, Patricia M.; PASSOS, Cynthia R. L; PEREIRA, Rodrigo M.; VILLAC, Teresa.</w:t>
      </w:r>
    </w:p>
    <w:p w14:paraId="71C95789" w14:textId="77777777" w:rsidR="00433556" w:rsidRPr="00B31FE5" w:rsidRDefault="00433556" w:rsidP="0043355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31FE5">
        <w:rPr>
          <w:rFonts w:ascii="Times New Roman" w:hAnsi="Times New Roman" w:cs="Times New Roman"/>
          <w:sz w:val="24"/>
          <w:szCs w:val="24"/>
          <w:lang w:val="pt-BR"/>
        </w:rPr>
        <w:t>BRASIL. Decreto n° 7.746, de 5 de junho de 2012. Diário Oficial da União, Brasília, DF, 6 jun. 2012. Disponível em: [URL]. Acesso em 31/08/2023.</w:t>
      </w:r>
    </w:p>
    <w:p w14:paraId="54301F99" w14:textId="77777777" w:rsidR="00433556" w:rsidRPr="00B31FE5" w:rsidRDefault="00433556" w:rsidP="0043355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31FE5">
        <w:rPr>
          <w:rFonts w:ascii="Times New Roman" w:hAnsi="Times New Roman" w:cs="Times New Roman"/>
          <w:sz w:val="24"/>
          <w:szCs w:val="24"/>
          <w:lang w:val="pt-BR"/>
        </w:rPr>
        <w:t>BRASIL. Lei n° 14.133, de 1º de abril de 2021. Diário Oficial da União, Brasília, DF, 2 abr. 2021. Disponível em: [URL]. Acesso em 31/08/2023.</w:t>
      </w:r>
    </w:p>
    <w:p w14:paraId="55392219" w14:textId="77777777" w:rsidR="00433556" w:rsidRPr="00B31FE5" w:rsidRDefault="00433556" w:rsidP="0043355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31FE5">
        <w:rPr>
          <w:rFonts w:ascii="Times New Roman" w:hAnsi="Times New Roman" w:cs="Times New Roman"/>
          <w:sz w:val="24"/>
          <w:szCs w:val="24"/>
          <w:lang w:val="pt-BR"/>
        </w:rPr>
        <w:t>BRASIL. Lei n° 8.666, de 21 de junho de 1993. Diário Oficial da União, Brasília, DF, 22 jun. 1993. Disponível em: [URL]. Acesso em 31/08/2023.</w:t>
      </w:r>
    </w:p>
    <w:p w14:paraId="0BDDFA0B" w14:textId="77777777" w:rsidR="00433556" w:rsidRPr="00433556" w:rsidRDefault="00433556" w:rsidP="0043355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31FE5">
        <w:rPr>
          <w:rFonts w:ascii="Times New Roman" w:hAnsi="Times New Roman" w:cs="Times New Roman"/>
          <w:sz w:val="24"/>
          <w:szCs w:val="24"/>
          <w:lang w:val="pt-BR"/>
        </w:rPr>
        <w:t xml:space="preserve">BURNIER, Paulo. Direito da Concorrência. </w:t>
      </w:r>
      <w:r w:rsidRPr="00433556">
        <w:rPr>
          <w:rFonts w:ascii="Times New Roman" w:hAnsi="Times New Roman" w:cs="Times New Roman"/>
          <w:sz w:val="24"/>
          <w:szCs w:val="24"/>
          <w:lang w:val="pt-BR"/>
        </w:rPr>
        <w:t xml:space="preserve">Rio de Janeiro: forense. 2021. </w:t>
      </w:r>
    </w:p>
    <w:p w14:paraId="5DCE2D1E" w14:textId="77777777" w:rsidR="00433556" w:rsidRPr="00433556" w:rsidRDefault="00433556" w:rsidP="00433556">
      <w:pPr>
        <w:jc w:val="both"/>
        <w:rPr>
          <w:rFonts w:ascii="Times New Roman" w:hAnsi="Times New Roman" w:cs="Times New Roman"/>
          <w:sz w:val="24"/>
          <w:szCs w:val="24"/>
        </w:rPr>
      </w:pPr>
      <w:r w:rsidRPr="00433556">
        <w:rPr>
          <w:rFonts w:ascii="Times New Roman" w:hAnsi="Times New Roman" w:cs="Times New Roman"/>
          <w:sz w:val="24"/>
          <w:szCs w:val="24"/>
          <w:lang w:val="pt-BR"/>
        </w:rPr>
        <w:t xml:space="preserve">CONSELHO ADMINISTRATIVO DE DEFESA ECONÔMICA – CADE. </w:t>
      </w:r>
      <w:r w:rsidRPr="00B31FE5">
        <w:rPr>
          <w:rFonts w:ascii="Times New Roman" w:hAnsi="Times New Roman" w:cs="Times New Roman"/>
          <w:sz w:val="24"/>
          <w:szCs w:val="24"/>
          <w:lang w:val="pt-BR"/>
        </w:rPr>
        <w:t xml:space="preserve">Guia de Combate a Cartéis em Licitação. Brasília: CADE, 2019. Disponível em: </w:t>
      </w:r>
      <w:hyperlink r:id="rId10" w:history="1">
        <w:r w:rsidRPr="00B31FE5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https://cdn.cade.gov.br/Portal/centrais-de-conteudo/publicacoes/guias-do-cade/guia-de-combate-a-carteis-em-licitacao-versao-final-1.pdf</w:t>
        </w:r>
      </w:hyperlink>
      <w:r w:rsidRPr="00B31FE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proofErr w:type="spellStart"/>
      <w:r w:rsidRPr="00433556">
        <w:rPr>
          <w:rFonts w:ascii="Times New Roman" w:hAnsi="Times New Roman" w:cs="Times New Roman"/>
          <w:sz w:val="24"/>
          <w:szCs w:val="24"/>
        </w:rPr>
        <w:t>Acesso</w:t>
      </w:r>
      <w:proofErr w:type="spellEnd"/>
      <w:r w:rsidRPr="00433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55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33556">
        <w:rPr>
          <w:rFonts w:ascii="Times New Roman" w:hAnsi="Times New Roman" w:cs="Times New Roman"/>
          <w:sz w:val="24"/>
          <w:szCs w:val="24"/>
        </w:rPr>
        <w:t xml:space="preserve"> 31/08/2023.</w:t>
      </w:r>
    </w:p>
    <w:p w14:paraId="49A5CFC9" w14:textId="77777777" w:rsidR="00433556" w:rsidRPr="00433556" w:rsidRDefault="00433556" w:rsidP="0043355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33556">
        <w:rPr>
          <w:rFonts w:ascii="Times New Roman" w:hAnsi="Times New Roman" w:cs="Times New Roman"/>
          <w:sz w:val="24"/>
          <w:szCs w:val="24"/>
        </w:rPr>
        <w:t xml:space="preserve">OECD. Government at a Glance: Latin America and the Caribbean. </w:t>
      </w:r>
      <w:r w:rsidRPr="00B31FE5">
        <w:rPr>
          <w:rFonts w:ascii="Times New Roman" w:hAnsi="Times New Roman" w:cs="Times New Roman"/>
          <w:sz w:val="24"/>
          <w:szCs w:val="24"/>
          <w:lang w:val="pt-BR"/>
        </w:rPr>
        <w:t xml:space="preserve">2020. </w:t>
      </w:r>
      <w:r w:rsidRPr="00433556">
        <w:rPr>
          <w:rFonts w:ascii="Times New Roman" w:hAnsi="Times New Roman" w:cs="Times New Roman"/>
          <w:sz w:val="24"/>
          <w:szCs w:val="24"/>
          <w:lang w:val="pt-BR"/>
        </w:rPr>
        <w:t xml:space="preserve">Disponível em: </w:t>
      </w:r>
      <w:hyperlink r:id="rId11" w:tgtFrame="_new" w:history="1">
        <w:r w:rsidRPr="00433556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https://doi.org/10.1787/13130fbb-en</w:t>
        </w:r>
      </w:hyperlink>
      <w:r w:rsidRPr="00433556">
        <w:rPr>
          <w:rFonts w:ascii="Times New Roman" w:hAnsi="Times New Roman" w:cs="Times New Roman"/>
          <w:sz w:val="24"/>
          <w:szCs w:val="24"/>
          <w:lang w:val="pt-BR"/>
        </w:rPr>
        <w:t>. Acesso em 31/08/2023.</w:t>
      </w:r>
    </w:p>
    <w:p w14:paraId="79211D78" w14:textId="77777777" w:rsidR="00433556" w:rsidRPr="00B31FE5" w:rsidRDefault="00433556" w:rsidP="0043355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33556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OLIVEIRA, Rafael. </w:t>
      </w:r>
      <w:r w:rsidRPr="00B31FE5">
        <w:rPr>
          <w:rFonts w:ascii="Times New Roman" w:hAnsi="Times New Roman" w:cs="Times New Roman"/>
          <w:sz w:val="24"/>
          <w:szCs w:val="24"/>
          <w:lang w:val="pt-BR"/>
        </w:rPr>
        <w:t>Curso de Direito Administrativo. 11. ed. 2021.</w:t>
      </w:r>
    </w:p>
    <w:p w14:paraId="0674816E" w14:textId="77777777" w:rsidR="00433556" w:rsidRPr="00433556" w:rsidRDefault="00433556" w:rsidP="00433556">
      <w:pPr>
        <w:jc w:val="both"/>
        <w:rPr>
          <w:rFonts w:ascii="Times New Roman" w:hAnsi="Times New Roman" w:cs="Times New Roman"/>
          <w:sz w:val="24"/>
          <w:szCs w:val="24"/>
        </w:rPr>
      </w:pPr>
      <w:r w:rsidRPr="00B31FE5">
        <w:rPr>
          <w:rFonts w:ascii="Times New Roman" w:hAnsi="Times New Roman" w:cs="Times New Roman"/>
          <w:sz w:val="24"/>
          <w:szCs w:val="24"/>
          <w:lang w:val="pt-BR"/>
        </w:rPr>
        <w:t xml:space="preserve">SARLET, Ingo Wolfgang; FENSTERSEIFER, Tiago. Curso de Direito Ambiental. 2. ed. </w:t>
      </w:r>
      <w:r w:rsidRPr="00433556">
        <w:rPr>
          <w:rFonts w:ascii="Times New Roman" w:hAnsi="Times New Roman" w:cs="Times New Roman"/>
          <w:sz w:val="24"/>
          <w:szCs w:val="24"/>
        </w:rPr>
        <w:t xml:space="preserve">Rio de Janeiro: </w:t>
      </w:r>
      <w:proofErr w:type="spellStart"/>
      <w:r w:rsidRPr="00433556">
        <w:rPr>
          <w:rFonts w:ascii="Times New Roman" w:hAnsi="Times New Roman" w:cs="Times New Roman"/>
          <w:sz w:val="24"/>
          <w:szCs w:val="24"/>
        </w:rPr>
        <w:t>Forense</w:t>
      </w:r>
      <w:proofErr w:type="spellEnd"/>
      <w:r w:rsidRPr="00433556">
        <w:rPr>
          <w:rFonts w:ascii="Times New Roman" w:hAnsi="Times New Roman" w:cs="Times New Roman"/>
          <w:sz w:val="24"/>
          <w:szCs w:val="24"/>
        </w:rPr>
        <w:t>, 2021.</w:t>
      </w:r>
    </w:p>
    <w:p w14:paraId="3E95FDC0" w14:textId="77777777" w:rsidR="00433556" w:rsidRPr="00433556" w:rsidRDefault="00433556" w:rsidP="00433556">
      <w:pPr>
        <w:jc w:val="both"/>
        <w:rPr>
          <w:rFonts w:ascii="Times New Roman" w:hAnsi="Times New Roman" w:cs="Times New Roman"/>
          <w:sz w:val="24"/>
          <w:szCs w:val="24"/>
        </w:rPr>
      </w:pPr>
      <w:r w:rsidRPr="00433556">
        <w:rPr>
          <w:rFonts w:ascii="Times New Roman" w:hAnsi="Times New Roman" w:cs="Times New Roman"/>
          <w:sz w:val="24"/>
          <w:szCs w:val="24"/>
        </w:rPr>
        <w:t xml:space="preserve">WORLD BANK. Fixing Markets, Not Prices. </w:t>
      </w:r>
      <w:r w:rsidRPr="00B31FE5">
        <w:rPr>
          <w:rFonts w:ascii="Times New Roman" w:hAnsi="Times New Roman" w:cs="Times New Roman"/>
          <w:sz w:val="24"/>
          <w:szCs w:val="24"/>
          <w:lang w:val="pt-BR"/>
        </w:rPr>
        <w:t xml:space="preserve">Corporate Governance Assessment. 2021. Disponível em: </w:t>
      </w:r>
      <w:hyperlink r:id="rId12" w:tgtFrame="_new" w:history="1">
        <w:r w:rsidRPr="00B31FE5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https://elibrary.worldbank.org/doi/abs/10.1596/35985</w:t>
        </w:r>
      </w:hyperlink>
      <w:r w:rsidRPr="00B31FE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proofErr w:type="spellStart"/>
      <w:r w:rsidRPr="00433556">
        <w:rPr>
          <w:rFonts w:ascii="Times New Roman" w:hAnsi="Times New Roman" w:cs="Times New Roman"/>
          <w:sz w:val="24"/>
          <w:szCs w:val="24"/>
        </w:rPr>
        <w:t>Acesso</w:t>
      </w:r>
      <w:proofErr w:type="spellEnd"/>
      <w:r w:rsidRPr="00433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55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33556">
        <w:rPr>
          <w:rFonts w:ascii="Times New Roman" w:hAnsi="Times New Roman" w:cs="Times New Roman"/>
          <w:sz w:val="24"/>
          <w:szCs w:val="24"/>
        </w:rPr>
        <w:t xml:space="preserve"> 31/08/2023.</w:t>
      </w:r>
    </w:p>
    <w:p w14:paraId="1B348FB6" w14:textId="77777777" w:rsidR="00A31106" w:rsidRPr="00433556" w:rsidRDefault="00A31106" w:rsidP="00433556"/>
    <w:sectPr w:rsidR="00A31106" w:rsidRPr="00433556" w:rsidSect="00B31FE5"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2E344" w14:textId="77777777" w:rsidR="005A4F2C" w:rsidRDefault="005A4F2C" w:rsidP="00FD7DCC">
      <w:pPr>
        <w:spacing w:after="0" w:line="240" w:lineRule="auto"/>
      </w:pPr>
      <w:r>
        <w:separator/>
      </w:r>
    </w:p>
  </w:endnote>
  <w:endnote w:type="continuationSeparator" w:id="0">
    <w:p w14:paraId="15CF6430" w14:textId="77777777" w:rsidR="005A4F2C" w:rsidRDefault="005A4F2C" w:rsidP="00FD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3AB52" w14:textId="77777777" w:rsidR="005A4F2C" w:rsidRDefault="005A4F2C" w:rsidP="00FD7DCC">
      <w:pPr>
        <w:spacing w:after="0" w:line="240" w:lineRule="auto"/>
      </w:pPr>
      <w:r>
        <w:separator/>
      </w:r>
    </w:p>
  </w:footnote>
  <w:footnote w:type="continuationSeparator" w:id="0">
    <w:p w14:paraId="4CDBC7C7" w14:textId="77777777" w:rsidR="005A4F2C" w:rsidRDefault="005A4F2C" w:rsidP="00FD7DCC">
      <w:pPr>
        <w:spacing w:after="0" w:line="240" w:lineRule="auto"/>
      </w:pPr>
      <w:r>
        <w:continuationSeparator/>
      </w:r>
    </w:p>
  </w:footnote>
  <w:footnote w:id="1">
    <w:p w14:paraId="505DF755" w14:textId="77777777" w:rsidR="00A31106" w:rsidRPr="00516DB5" w:rsidRDefault="00A31106" w:rsidP="00516DB5">
      <w:pPr>
        <w:pStyle w:val="Textodenotaderodap"/>
        <w:jc w:val="both"/>
        <w:rPr>
          <w:rFonts w:ascii="Times New Roman" w:hAnsi="Times New Roman" w:cs="Times New Roman"/>
          <w:lang w:val="pt-BR"/>
        </w:rPr>
      </w:pPr>
      <w:r w:rsidRPr="00516DB5">
        <w:rPr>
          <w:rStyle w:val="Refdenotaderodap"/>
          <w:rFonts w:ascii="Times New Roman" w:hAnsi="Times New Roman" w:cs="Times New Roman"/>
        </w:rPr>
        <w:footnoteRef/>
      </w:r>
      <w:r w:rsidRPr="00516DB5">
        <w:rPr>
          <w:rFonts w:ascii="Times New Roman" w:hAnsi="Times New Roman" w:cs="Times New Roman"/>
          <w:lang w:val="pt-BR"/>
        </w:rPr>
        <w:t xml:space="preserve">  Nessa perspectiva, desenvolvimento sustentável seria “(...) aquele que atende às necessidades do presente sem comprometer a possibilidade de as gerações futuras atenderem a suas próprias necessidades”</w:t>
      </w:r>
    </w:p>
  </w:footnote>
  <w:footnote w:id="2">
    <w:p w14:paraId="3FE66247" w14:textId="77777777" w:rsidR="00A31106" w:rsidRPr="00516DB5" w:rsidRDefault="00A31106" w:rsidP="00516DB5">
      <w:pPr>
        <w:pStyle w:val="Textodenotaderodap"/>
        <w:jc w:val="both"/>
        <w:rPr>
          <w:rFonts w:ascii="Times New Roman" w:hAnsi="Times New Roman" w:cs="Times New Roman"/>
          <w:lang w:val="pt-BR"/>
        </w:rPr>
      </w:pPr>
      <w:r w:rsidRPr="00516DB5">
        <w:rPr>
          <w:rStyle w:val="Refdenotaderodap"/>
          <w:rFonts w:ascii="Times New Roman" w:hAnsi="Times New Roman" w:cs="Times New Roman"/>
        </w:rPr>
        <w:footnoteRef/>
      </w:r>
      <w:r w:rsidRPr="00516DB5">
        <w:rPr>
          <w:rFonts w:ascii="Times New Roman" w:hAnsi="Times New Roman" w:cs="Times New Roman"/>
          <w:lang w:val="pt-BR"/>
        </w:rPr>
        <w:t xml:space="preserve"> Essa concepção é trabalhada no Guia Nacional de Contratações Sustentáveis. 5ª ed. Barth, Maria Leticia B. G; Cabral, Flávio. </w:t>
      </w:r>
      <w:proofErr w:type="gramStart"/>
      <w:r w:rsidRPr="00516DB5">
        <w:rPr>
          <w:rFonts w:ascii="Times New Roman" w:hAnsi="Times New Roman" w:cs="Times New Roman"/>
          <w:lang w:val="pt-BR"/>
        </w:rPr>
        <w:t>G. ;</w:t>
      </w:r>
      <w:proofErr w:type="gramEnd"/>
      <w:r w:rsidRPr="00516DB5">
        <w:rPr>
          <w:rFonts w:ascii="Times New Roman" w:hAnsi="Times New Roman" w:cs="Times New Roman"/>
          <w:lang w:val="pt-BR"/>
        </w:rPr>
        <w:t xml:space="preserve"> Carvalho, Flávia G. de; Clare, Celso V.; Fernandes, Viviane V. S. ; Paz e Silva Filho, Manoel; Gomes, Patricia M.; Passos, Cynthia R. L; Pereira, Rodrigo M.; </w:t>
      </w:r>
      <w:proofErr w:type="spellStart"/>
      <w:r w:rsidRPr="00516DB5">
        <w:rPr>
          <w:rFonts w:ascii="Times New Roman" w:hAnsi="Times New Roman" w:cs="Times New Roman"/>
          <w:lang w:val="pt-BR"/>
        </w:rPr>
        <w:t>Villac</w:t>
      </w:r>
      <w:proofErr w:type="spellEnd"/>
      <w:r w:rsidRPr="00516DB5">
        <w:rPr>
          <w:rFonts w:ascii="Times New Roman" w:hAnsi="Times New Roman" w:cs="Times New Roman"/>
          <w:lang w:val="pt-BR"/>
        </w:rPr>
        <w:t xml:space="preserve">, Teresa. Brasília: AGU, julho de 2022. </w:t>
      </w:r>
    </w:p>
  </w:footnote>
  <w:footnote w:id="3">
    <w:p w14:paraId="045514F0" w14:textId="77777777" w:rsidR="00A31106" w:rsidRPr="00516DB5" w:rsidRDefault="00A31106" w:rsidP="00516DB5">
      <w:pPr>
        <w:pStyle w:val="Textodenotaderodap"/>
        <w:jc w:val="both"/>
        <w:rPr>
          <w:rFonts w:ascii="Times New Roman" w:hAnsi="Times New Roman" w:cs="Times New Roman"/>
          <w:lang w:val="pt-BR"/>
        </w:rPr>
      </w:pPr>
      <w:r w:rsidRPr="00516DB5">
        <w:rPr>
          <w:rStyle w:val="Refdenotaderodap"/>
          <w:rFonts w:ascii="Times New Roman" w:hAnsi="Times New Roman" w:cs="Times New Roman"/>
        </w:rPr>
        <w:footnoteRef/>
      </w:r>
      <w:r w:rsidRPr="00516DB5">
        <w:rPr>
          <w:rFonts w:ascii="Times New Roman" w:hAnsi="Times New Roman" w:cs="Times New Roman"/>
          <w:lang w:val="pt-BR"/>
        </w:rPr>
        <w:t xml:space="preserve"> A lista completa dos Objetivos de Desenvolvimento Sustentável pode ser encontrada em: &lt;https://brasil.un.org/</w:t>
      </w:r>
      <w:proofErr w:type="spellStart"/>
      <w:r w:rsidRPr="00516DB5">
        <w:rPr>
          <w:rFonts w:ascii="Times New Roman" w:hAnsi="Times New Roman" w:cs="Times New Roman"/>
          <w:lang w:val="pt-BR"/>
        </w:rPr>
        <w:t>pt-br</w:t>
      </w:r>
      <w:proofErr w:type="spellEnd"/>
      <w:r w:rsidRPr="00516DB5">
        <w:rPr>
          <w:rFonts w:ascii="Times New Roman" w:hAnsi="Times New Roman" w:cs="Times New Roman"/>
          <w:lang w:val="pt-BR"/>
        </w:rPr>
        <w:t>/</w:t>
      </w:r>
      <w:proofErr w:type="spellStart"/>
      <w:r w:rsidRPr="00516DB5">
        <w:rPr>
          <w:rFonts w:ascii="Times New Roman" w:hAnsi="Times New Roman" w:cs="Times New Roman"/>
          <w:lang w:val="pt-BR"/>
        </w:rPr>
        <w:t>sdgs</w:t>
      </w:r>
      <w:proofErr w:type="spellEnd"/>
      <w:r w:rsidRPr="00516DB5">
        <w:rPr>
          <w:rFonts w:ascii="Times New Roman" w:hAnsi="Times New Roman" w:cs="Times New Roman"/>
          <w:lang w:val="pt-BR"/>
        </w:rPr>
        <w:t>&gt;</w:t>
      </w:r>
    </w:p>
  </w:footnote>
  <w:footnote w:id="4">
    <w:p w14:paraId="4F10F82E" w14:textId="77777777" w:rsidR="00A31106" w:rsidRPr="00516DB5" w:rsidRDefault="00A31106" w:rsidP="00516DB5">
      <w:pPr>
        <w:pStyle w:val="Textodenotaderodap"/>
        <w:jc w:val="both"/>
        <w:rPr>
          <w:rFonts w:ascii="Times New Roman" w:hAnsi="Times New Roman" w:cs="Times New Roman"/>
          <w:lang w:val="pt-BR"/>
        </w:rPr>
      </w:pPr>
      <w:r w:rsidRPr="00516DB5">
        <w:rPr>
          <w:rStyle w:val="Refdenotaderodap"/>
          <w:rFonts w:ascii="Times New Roman" w:hAnsi="Times New Roman" w:cs="Times New Roman"/>
        </w:rPr>
        <w:footnoteRef/>
      </w:r>
      <w:r w:rsidRPr="00516DB5">
        <w:rPr>
          <w:rFonts w:ascii="Times New Roman" w:hAnsi="Times New Roman" w:cs="Times New Roman"/>
          <w:lang w:val="pt-BR"/>
        </w:rPr>
        <w:t xml:space="preserve"> No Guia Nacional de Contratações Sustentáveis (2022), cita-se que essa foi a interpretação estabelecida pelo PARECER n. 00067/2019/DECOR/CGU/AGU, aprovado pelo Excelentíssimo Advogado-Geral da União pelo r. DESPACHO n. 00801/2019/GAB/CGU/AGU, de 09/09/19, nos termos do Despacho do Consultor-Geral da União nº 00801/2019/GAB/CGU/AGU e do Despacho nº 00564/2019/DECOR/CGU/AGU</w:t>
      </w:r>
    </w:p>
  </w:footnote>
  <w:footnote w:id="5">
    <w:p w14:paraId="590DD101" w14:textId="77777777" w:rsidR="00A31106" w:rsidRPr="004464A7" w:rsidRDefault="00A31106" w:rsidP="00516DB5">
      <w:pPr>
        <w:pStyle w:val="Textodenotaderodap"/>
        <w:jc w:val="both"/>
        <w:rPr>
          <w:lang w:val="pt-BR"/>
        </w:rPr>
      </w:pPr>
      <w:r w:rsidRPr="00516DB5">
        <w:rPr>
          <w:rStyle w:val="Refdenotaderodap"/>
          <w:rFonts w:ascii="Times New Roman" w:hAnsi="Times New Roman" w:cs="Times New Roman"/>
        </w:rPr>
        <w:footnoteRef/>
      </w:r>
      <w:r w:rsidRPr="00516DB5">
        <w:rPr>
          <w:rFonts w:ascii="Times New Roman" w:hAnsi="Times New Roman" w:cs="Times New Roman"/>
          <w:lang w:val="pt-BR"/>
        </w:rPr>
        <w:t xml:space="preserve"> Mais informações disponíveis em: &lt;https://odsbrasil.gov.br/&gt;</w:t>
      </w:r>
    </w:p>
  </w:footnote>
  <w:footnote w:id="6">
    <w:p w14:paraId="0217FA78" w14:textId="77777777" w:rsidR="00A31106" w:rsidRPr="00516DB5" w:rsidRDefault="00A31106" w:rsidP="00C30228">
      <w:pPr>
        <w:pStyle w:val="Textodenotaderodap"/>
        <w:jc w:val="both"/>
        <w:rPr>
          <w:rFonts w:ascii="Times New Roman" w:hAnsi="Times New Roman" w:cs="Times New Roman"/>
          <w:lang w:val="pt-BR"/>
        </w:rPr>
      </w:pPr>
      <w:r w:rsidRPr="00516DB5">
        <w:rPr>
          <w:rStyle w:val="Refdenotaderodap"/>
          <w:rFonts w:ascii="Times New Roman" w:hAnsi="Times New Roman" w:cs="Times New Roman"/>
        </w:rPr>
        <w:footnoteRef/>
      </w:r>
      <w:r w:rsidRPr="00516DB5">
        <w:rPr>
          <w:rFonts w:ascii="Times New Roman" w:hAnsi="Times New Roman" w:cs="Times New Roman"/>
          <w:lang w:val="pt-BR"/>
        </w:rPr>
        <w:t xml:space="preserve"> “Art. 5º que ratifica o desenvolvimento nacional sustentável como princípio nas licitações e contratações públicas; Art. 6º, incisos XII, XVIII, alínea "h", XXIII, alínea "c", XXIV, alínea "e", XXV e XXV, alínea "a" que incorporam o tema em diversas conceituações essenciais; Art. 11, inciso IV e parágrafo único impondo o desenvolvimento nacional sustentável como finalidade a ser buscada; Art. 18, §1º, inciso XII, que, já na fase preparatória, estabelece a necessidade de avaliação prévia dos aspectos de sustentabilidade ali relacionados; Art. 25, §5º, inciso I e §6º e 115, §4º, que tratam do licenciamento ambiental; Art. 26, inciso II, que admite o estabelecimento de margem de preferência para de bens reciclados, recicláveis ou biodegradáveis; Art. 34, §1º, que permite a inclusão de custos decorrentes dos impactos ambientais na precificação do objeto, sempre que objetivamente mensuráveis, embora isso ainda precise ser regulamentado; Art. 42, inciso III, que inclui a avaliação do aspecto ambiental na comprovação da qualidade e conformidade do produto ofertado; Art. 45, incisos I a VI, contendo um rol amplo de requisitos de sustentabilidade a serem observados nas contratações de obras e serviços de engenharia; Art. 74, inciso III, alínea "h", que estabelece a inexigibilidade de licitação para serviços técnicos especializados de natureza predominantemente intelectual com interessados que realizem "controles de qualidade e tecnológico, análises, testes e ensaios de campo e laboratoriais, instrumentação e monitoramento de parâmetros específicos de obras e do meio ambiente".; Art. 75, inciso III, alínea "j" que assegura a dispensa de licitação para contratação de associações ou cooperativas catadores de materiais recicláveis; Art. 92, XVII, e 116, dando efetividade a políticas públicas de inclusão social; Art. 124, §2º e 137, inciso VI e §2º, inciso V, que permitem o reequilíbrio do contrato devido ao atraso na conclusão de procedimentos de desapropriação, desocupação, servidão administrativa ou licenciamento ambiental por circunstâncias alheias ao contratado bem como a extinção contratual; Art. 144, caput, contendo incentivos à competitividade mediante o estabelecimento de remuneração variável com base em critérios de sustentabilidade ambiental vinculada ao desempenho do contratado; Art. 147, incisos II e III, que condicionam a decisão sobre a suspensão da execução ou sobre a declaração de nulidade do contrato à avaliação, entre outros motivos, de aspectos de sustentabilidade socioambiental; Art. 178 que introduz crime específico de Omissão grave de dado ou de informação por projetista, por meio do Art. 337-O no qual seu §1º resta assim qualificado: “Consideram-se condição de contorno as informações e os levantamentos suficientes e necessários para a definição da solução de projeto e dos respectivos preços pelo licitante, incluídos sondagens, topografia, estudos de demanda, condições ambientais e demais elementos ambientais impactantes, considerados requisitos mínimos ou obrigatórios em normas técnicas que orientam a elaboração de projetos.”</w:t>
      </w:r>
    </w:p>
  </w:footnote>
  <w:footnote w:id="7">
    <w:p w14:paraId="6CF07EAB" w14:textId="77777777" w:rsidR="00A31106" w:rsidRPr="00516DB5" w:rsidRDefault="00A31106" w:rsidP="00516DB5">
      <w:pPr>
        <w:pStyle w:val="Textodenotaderodap"/>
        <w:jc w:val="both"/>
        <w:rPr>
          <w:rFonts w:ascii="Times New Roman" w:hAnsi="Times New Roman" w:cs="Times New Roman"/>
          <w:lang w:val="pt-BR"/>
        </w:rPr>
      </w:pPr>
      <w:r w:rsidRPr="00516DB5">
        <w:rPr>
          <w:rStyle w:val="Refdenotaderodap"/>
          <w:rFonts w:ascii="Times New Roman" w:hAnsi="Times New Roman" w:cs="Times New Roman"/>
        </w:rPr>
        <w:footnoteRef/>
      </w:r>
      <w:r w:rsidRPr="00516DB5">
        <w:rPr>
          <w:rFonts w:ascii="Times New Roman" w:hAnsi="Times New Roman" w:cs="Times New Roman"/>
          <w:lang w:val="pt-BR"/>
        </w:rPr>
        <w:t xml:space="preserve"> PARECER n. 00001/2021/CNS/CGU/AGU: EMENTA: I. Os órgãos e entidades que compõem a administração pública são obrigados a adotar critérios e práticas de sustentabilidade socioambiental e de acessibilidade nas contratações públicas, nas fases de planejamento, seleção de fornecedor, execução contratual, fiscalização e na gestão dos resíduos sólidos; II. A impossibilidade de adoção de tais critérios e práticas de sustentabilidade nas contratações públicas deverá ser justificada pelo gestor competente nos autos do processo administrativo, com a indicação das pertinentes razões de fato e/ou direito; III. Recomenda-se aos agentes da administração pública federal encarregados de realizar contratações públicas, que, no exercício de suas atribuições funcionais, consultem o Guia Nacional de Contratações Sustentáveis da Advocacia-Geral da União.</w:t>
      </w:r>
    </w:p>
  </w:footnote>
  <w:footnote w:id="8">
    <w:p w14:paraId="6138655A" w14:textId="77777777" w:rsidR="00A31106" w:rsidRPr="00516DB5" w:rsidRDefault="00A31106" w:rsidP="00516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 w:rsidRPr="00516DB5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516DB5">
        <w:rPr>
          <w:rFonts w:ascii="Times New Roman" w:hAnsi="Times New Roman" w:cs="Times New Roman"/>
          <w:sz w:val="20"/>
          <w:szCs w:val="20"/>
          <w:lang w:val="pt-BR"/>
        </w:rPr>
        <w:t xml:space="preserve"> Art. 4º Para os fins do disposto no art. 2º , são considerados critérios e práticas sustentáveis, entre outras:    I - baixo impacto sobre recursos naturais como flora, fauna, ar, solo e água;</w:t>
      </w:r>
      <w:r w:rsidRPr="00B31FE5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Pr="00516DB5">
        <w:rPr>
          <w:rFonts w:ascii="Times New Roman" w:hAnsi="Times New Roman" w:cs="Times New Roman"/>
          <w:sz w:val="20"/>
          <w:szCs w:val="20"/>
          <w:lang w:val="pt-BR"/>
        </w:rPr>
        <w:t>II – preferência para materiais, tecnologias e matérias-primas de origem local;</w:t>
      </w:r>
      <w:r w:rsidRPr="00B31FE5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Pr="00516DB5">
        <w:rPr>
          <w:rFonts w:ascii="Times New Roman" w:hAnsi="Times New Roman" w:cs="Times New Roman"/>
          <w:sz w:val="20"/>
          <w:szCs w:val="20"/>
          <w:lang w:val="pt-BR"/>
        </w:rPr>
        <w:t>III – maior eficiência na utilização de recursos naturais como água e energia;</w:t>
      </w:r>
      <w:r w:rsidRPr="00B31FE5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Pr="00516DB5">
        <w:rPr>
          <w:rFonts w:ascii="Times New Roman" w:hAnsi="Times New Roman" w:cs="Times New Roman"/>
          <w:sz w:val="20"/>
          <w:szCs w:val="20"/>
          <w:lang w:val="pt-BR"/>
        </w:rPr>
        <w:t>IV – maior geração de empregos, preferencialmente com mão de obra local;</w:t>
      </w:r>
      <w:r w:rsidRPr="00B31FE5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Pr="00516DB5">
        <w:rPr>
          <w:rFonts w:ascii="Times New Roman" w:hAnsi="Times New Roman" w:cs="Times New Roman"/>
          <w:sz w:val="20"/>
          <w:szCs w:val="20"/>
          <w:lang w:val="pt-BR"/>
        </w:rPr>
        <w:t>V – maior vida útil e menor custo de manutenção do bem e da obra; VI - uso de inovações que reduzam a pressão sobre recursos naturais; VII - origem sustentável dos recursos naturais utilizados nos bens, nos serviços e nas obras; VIII - utilização de produtos florestais madeireiros e não madeireiros originários de manejo florestal sustentável ou de reflorestamento. </w:t>
      </w:r>
    </w:p>
    <w:p w14:paraId="4B950895" w14:textId="77777777" w:rsidR="00A31106" w:rsidRPr="00DB4118" w:rsidRDefault="00A31106">
      <w:pPr>
        <w:pStyle w:val="Textodenotaderodap"/>
        <w:rPr>
          <w:lang w:val="pt-BR"/>
        </w:rPr>
      </w:pPr>
    </w:p>
  </w:footnote>
  <w:footnote w:id="9">
    <w:p w14:paraId="2F7722A2" w14:textId="77777777" w:rsidR="00A31106" w:rsidRPr="000D4FA8" w:rsidRDefault="00A3110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D4FA8">
        <w:rPr>
          <w:lang w:val="pt-BR"/>
        </w:rPr>
        <w:t xml:space="preserve"> </w:t>
      </w:r>
      <w:r>
        <w:rPr>
          <w:lang w:val="pt-BR"/>
        </w:rPr>
        <w:t>Disponível em &lt;</w:t>
      </w:r>
      <w:r w:rsidRPr="000D4FA8">
        <w:rPr>
          <w:lang w:val="pt-BR"/>
        </w:rPr>
        <w:t xml:space="preserve"> https://www.oecd.org/daf/competition/Highlights-OECD-Report-Fighting-Bid-Rigging-in-Brazil-2021-pt.pdf</w:t>
      </w:r>
      <w:r>
        <w:rPr>
          <w:lang w:val="pt-BR"/>
        </w:rPr>
        <w:t>&gt;</w:t>
      </w:r>
    </w:p>
  </w:footnote>
  <w:footnote w:id="10">
    <w:p w14:paraId="087866EA" w14:textId="77777777" w:rsidR="00A31106" w:rsidRPr="0082692E" w:rsidRDefault="00A3110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82692E">
        <w:rPr>
          <w:lang w:val="pt-BR"/>
        </w:rPr>
        <w:t xml:space="preserve"> </w:t>
      </w:r>
      <w:r>
        <w:rPr>
          <w:lang w:val="pt-BR"/>
        </w:rPr>
        <w:t>Disponível em &lt;</w:t>
      </w:r>
      <w:r w:rsidRPr="0082692E">
        <w:rPr>
          <w:lang w:val="pt-BR"/>
        </w:rPr>
        <w:t xml:space="preserve"> https://cdn.cade.gov.br/Portal/Not%C3%ADcias/2019/Cade%20publica%20Guia%20de%20Combate%20a%20Cart%C3%A9is%20em%20Licita%C3%A7%C3%A3o__guia-de-combate-a-carteis-em-licitacao-versao-final-1.pdf</w:t>
      </w:r>
      <w:r>
        <w:rPr>
          <w:lang w:val="pt-BR"/>
        </w:rPr>
        <w:t>&gt;</w:t>
      </w:r>
    </w:p>
  </w:footnote>
  <w:footnote w:id="11">
    <w:p w14:paraId="0E10CC1E" w14:textId="77777777" w:rsidR="00A31106" w:rsidRPr="0082692E" w:rsidRDefault="00A3110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82692E">
        <w:rPr>
          <w:lang w:val="pt-BR"/>
        </w:rPr>
        <w:t xml:space="preserve"> </w:t>
      </w:r>
      <w:r>
        <w:rPr>
          <w:lang w:val="pt-BR"/>
        </w:rPr>
        <w:t>Disponível em: &lt;</w:t>
      </w:r>
      <w:r w:rsidRPr="0082692E">
        <w:rPr>
          <w:lang w:val="pt-BR"/>
        </w:rPr>
        <w:t>https://www.gov.br/cade/pt-br/canais_atendimento/clique-denuncia</w:t>
      </w:r>
      <w:r>
        <w:rPr>
          <w:lang w:val="pt-BR"/>
        </w:rPr>
        <w:t>&gt;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2697"/>
    <w:multiLevelType w:val="hybridMultilevel"/>
    <w:tmpl w:val="EAE4B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87868"/>
    <w:multiLevelType w:val="hybridMultilevel"/>
    <w:tmpl w:val="FBC2C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F1E8C"/>
    <w:multiLevelType w:val="multilevel"/>
    <w:tmpl w:val="1CBCA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80372"/>
    <w:multiLevelType w:val="hybridMultilevel"/>
    <w:tmpl w:val="885225FC"/>
    <w:lvl w:ilvl="0" w:tplc="16B4584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02754"/>
    <w:multiLevelType w:val="hybridMultilevel"/>
    <w:tmpl w:val="F1DE5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E516C"/>
    <w:multiLevelType w:val="hybridMultilevel"/>
    <w:tmpl w:val="E3DAA15C"/>
    <w:lvl w:ilvl="0" w:tplc="6EF66F78">
      <w:start w:val="1"/>
      <w:numFmt w:val="decimal"/>
      <w:pStyle w:val="Para"/>
      <w:lvlText w:val="%1."/>
      <w:lvlJc w:val="left"/>
      <w:pPr>
        <w:ind w:left="680" w:hanging="340"/>
      </w:pPr>
      <w:rPr>
        <w:rFonts w:hint="default"/>
      </w:rPr>
    </w:lvl>
    <w:lvl w:ilvl="1" w:tplc="0DA27B04">
      <w:start w:val="1"/>
      <w:numFmt w:val="lowerLetter"/>
      <w:lvlText w:val="%2.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2" w:tplc="AF249572">
      <w:start w:val="1"/>
      <w:numFmt w:val="lowerRoman"/>
      <w:lvlText w:val="%3."/>
      <w:lvlJc w:val="right"/>
      <w:pPr>
        <w:ind w:left="1361" w:hanging="227"/>
      </w:pPr>
      <w:rPr>
        <w:rFonts w:hint="default"/>
      </w:rPr>
    </w:lvl>
    <w:lvl w:ilvl="3" w:tplc="6DA6E442">
      <w:start w:val="1"/>
      <w:numFmt w:val="lowerLetter"/>
      <w:lvlText w:val="%4)"/>
      <w:lvlJc w:val="left"/>
      <w:pPr>
        <w:tabs>
          <w:tab w:val="num" w:pos="1361"/>
        </w:tabs>
        <w:ind w:left="1701" w:hanging="340"/>
      </w:pPr>
      <w:rPr>
        <w:rFonts w:hint="default"/>
      </w:rPr>
    </w:lvl>
    <w:lvl w:ilvl="4" w:tplc="1BA86D40">
      <w:start w:val="1"/>
      <w:numFmt w:val="decimal"/>
      <w:lvlText w:val="%5)"/>
      <w:lvlJc w:val="left"/>
      <w:pPr>
        <w:tabs>
          <w:tab w:val="num" w:pos="1701"/>
        </w:tabs>
        <w:ind w:left="2041" w:hanging="34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C37E20"/>
    <w:multiLevelType w:val="hybridMultilevel"/>
    <w:tmpl w:val="B30EB5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46168"/>
    <w:multiLevelType w:val="hybridMultilevel"/>
    <w:tmpl w:val="7AA21AC6"/>
    <w:lvl w:ilvl="0" w:tplc="4AD2C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72AEE7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44A91"/>
    <w:multiLevelType w:val="hybridMultilevel"/>
    <w:tmpl w:val="B30C604E"/>
    <w:lvl w:ilvl="0" w:tplc="4AD2C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72AEE7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94DFF"/>
    <w:multiLevelType w:val="hybridMultilevel"/>
    <w:tmpl w:val="666E0748"/>
    <w:lvl w:ilvl="0" w:tplc="E3828F7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925908">
    <w:abstractNumId w:val="0"/>
  </w:num>
  <w:num w:numId="2" w16cid:durableId="1660692813">
    <w:abstractNumId w:val="3"/>
  </w:num>
  <w:num w:numId="3" w16cid:durableId="992222795">
    <w:abstractNumId w:val="7"/>
  </w:num>
  <w:num w:numId="4" w16cid:durableId="645470313">
    <w:abstractNumId w:val="8"/>
  </w:num>
  <w:num w:numId="5" w16cid:durableId="1059865438">
    <w:abstractNumId w:val="1"/>
  </w:num>
  <w:num w:numId="6" w16cid:durableId="1869949405">
    <w:abstractNumId w:val="4"/>
  </w:num>
  <w:num w:numId="7" w16cid:durableId="994988894">
    <w:abstractNumId w:val="9"/>
  </w:num>
  <w:num w:numId="8" w16cid:durableId="1457336245">
    <w:abstractNumId w:val="5"/>
  </w:num>
  <w:num w:numId="9" w16cid:durableId="2052339827">
    <w:abstractNumId w:val="6"/>
  </w:num>
  <w:num w:numId="10" w16cid:durableId="15889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01"/>
    <w:rsid w:val="00005E93"/>
    <w:rsid w:val="00016972"/>
    <w:rsid w:val="00077676"/>
    <w:rsid w:val="000B5967"/>
    <w:rsid w:val="000C4FB7"/>
    <w:rsid w:val="000D4FA8"/>
    <w:rsid w:val="000F59B8"/>
    <w:rsid w:val="001215FB"/>
    <w:rsid w:val="00177F6D"/>
    <w:rsid w:val="001B1795"/>
    <w:rsid w:val="00205374"/>
    <w:rsid w:val="002340A3"/>
    <w:rsid w:val="00240E35"/>
    <w:rsid w:val="0028295F"/>
    <w:rsid w:val="002F2BFF"/>
    <w:rsid w:val="00310C5B"/>
    <w:rsid w:val="003442C2"/>
    <w:rsid w:val="00411E7C"/>
    <w:rsid w:val="00433556"/>
    <w:rsid w:val="004464A7"/>
    <w:rsid w:val="00516DB5"/>
    <w:rsid w:val="00542D91"/>
    <w:rsid w:val="005709EF"/>
    <w:rsid w:val="00582AEA"/>
    <w:rsid w:val="00590E01"/>
    <w:rsid w:val="005A4F2C"/>
    <w:rsid w:val="005D7C33"/>
    <w:rsid w:val="00615191"/>
    <w:rsid w:val="00646293"/>
    <w:rsid w:val="006D0F3A"/>
    <w:rsid w:val="00715037"/>
    <w:rsid w:val="007E76FD"/>
    <w:rsid w:val="0082692E"/>
    <w:rsid w:val="00833D4F"/>
    <w:rsid w:val="008507B8"/>
    <w:rsid w:val="008601DC"/>
    <w:rsid w:val="008C4298"/>
    <w:rsid w:val="008F2ABC"/>
    <w:rsid w:val="00A1297F"/>
    <w:rsid w:val="00A234C4"/>
    <w:rsid w:val="00A31106"/>
    <w:rsid w:val="00A31BC6"/>
    <w:rsid w:val="00AB51DC"/>
    <w:rsid w:val="00AF4159"/>
    <w:rsid w:val="00B0012E"/>
    <w:rsid w:val="00B31FE5"/>
    <w:rsid w:val="00B45D37"/>
    <w:rsid w:val="00B5761B"/>
    <w:rsid w:val="00C30228"/>
    <w:rsid w:val="00CD33AE"/>
    <w:rsid w:val="00D60304"/>
    <w:rsid w:val="00D76644"/>
    <w:rsid w:val="00D77977"/>
    <w:rsid w:val="00D940A0"/>
    <w:rsid w:val="00DB4118"/>
    <w:rsid w:val="00DF4EEC"/>
    <w:rsid w:val="00E65594"/>
    <w:rsid w:val="00EA687F"/>
    <w:rsid w:val="00F4541B"/>
    <w:rsid w:val="00F56F6F"/>
    <w:rsid w:val="00F77075"/>
    <w:rsid w:val="00FC3DB3"/>
    <w:rsid w:val="00FD7DCC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96C9"/>
  <w15:chartTrackingRefBased/>
  <w15:docId w15:val="{629E09A3-FEBA-4017-926A-CA293B8B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D0F3A"/>
    <w:pPr>
      <w:ind w:left="720"/>
      <w:contextualSpacing/>
    </w:pPr>
  </w:style>
  <w:style w:type="paragraph" w:customStyle="1" w:styleId="Default">
    <w:name w:val="Default"/>
    <w:rsid w:val="005D7C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D7DC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D7DC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D7DCC"/>
    <w:rPr>
      <w:vertAlign w:val="superscript"/>
    </w:rPr>
  </w:style>
  <w:style w:type="paragraph" w:customStyle="1" w:styleId="Para">
    <w:name w:val="Para #"/>
    <w:basedOn w:val="Normal"/>
    <w:link w:val="ParaChar"/>
    <w:uiPriority w:val="4"/>
    <w:qFormat/>
    <w:rsid w:val="00542D91"/>
    <w:pPr>
      <w:numPr>
        <w:numId w:val="8"/>
      </w:numPr>
      <w:tabs>
        <w:tab w:val="left" w:pos="1361"/>
      </w:tabs>
      <w:spacing w:before="120" w:after="120" w:line="240" w:lineRule="auto"/>
      <w:ind w:right="680"/>
      <w:jc w:val="both"/>
    </w:pPr>
    <w:rPr>
      <w:rFonts w:ascii="Times New Roman" w:eastAsia="SimSun" w:hAnsi="Times New Roman" w:cs="Times New Roman"/>
      <w:lang w:val="en-GB"/>
    </w:rPr>
  </w:style>
  <w:style w:type="character" w:styleId="Hyperlink">
    <w:name w:val="Hyperlink"/>
    <w:basedOn w:val="Fontepargpadro"/>
    <w:uiPriority w:val="99"/>
    <w:unhideWhenUsed/>
    <w:rsid w:val="00542D91"/>
    <w:rPr>
      <w:color w:val="0563C1" w:themeColor="hyperlink"/>
      <w:u w:val="single"/>
    </w:rPr>
  </w:style>
  <w:style w:type="character" w:customStyle="1" w:styleId="ParaChar">
    <w:name w:val="Para # Char"/>
    <w:basedOn w:val="Fontepargpadro"/>
    <w:link w:val="Para"/>
    <w:uiPriority w:val="4"/>
    <w:rsid w:val="00542D91"/>
    <w:rPr>
      <w:rFonts w:ascii="Times New Roman" w:eastAsia="SimSun" w:hAnsi="Times New Roman" w:cs="Times New Roman"/>
      <w:lang w:val="en-GB"/>
    </w:rPr>
  </w:style>
  <w:style w:type="character" w:styleId="Refdenotadefim">
    <w:name w:val="endnote reference"/>
    <w:basedOn w:val="Fontepargpadro"/>
    <w:uiPriority w:val="99"/>
    <w:unhideWhenUsed/>
    <w:qFormat/>
    <w:rsid w:val="00542D91"/>
    <w:rPr>
      <w:rFonts w:ascii="Times New Roman" w:hAnsi="Times New Roman"/>
      <w:i w:val="0"/>
      <w:position w:val="0"/>
      <w:sz w:val="22"/>
      <w:vertAlign w:val="superscript"/>
    </w:rPr>
  </w:style>
  <w:style w:type="paragraph" w:styleId="Textodenotadefim">
    <w:name w:val="endnote text"/>
    <w:basedOn w:val="Textodenotaderodap"/>
    <w:link w:val="TextodenotadefimChar"/>
    <w:uiPriority w:val="99"/>
    <w:unhideWhenUsed/>
    <w:qFormat/>
    <w:rsid w:val="00542D91"/>
    <w:pPr>
      <w:spacing w:after="120"/>
      <w:ind w:left="680" w:right="680"/>
      <w:jc w:val="both"/>
    </w:pPr>
    <w:rPr>
      <w:rFonts w:ascii="Times New Roman" w:eastAsia="SimSun" w:hAnsi="Times New Roman" w:cs="Times New Roman"/>
      <w:szCs w:val="22"/>
      <w:lang w:val="en-GB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542D91"/>
    <w:rPr>
      <w:rFonts w:ascii="Times New Roman" w:eastAsia="SimSun" w:hAnsi="Times New Roman" w:cs="Times New Roman"/>
      <w:sz w:val="20"/>
      <w:lang w:val="en-GB"/>
    </w:rPr>
  </w:style>
  <w:style w:type="character" w:styleId="MenoPendente">
    <w:name w:val="Unresolved Mention"/>
    <w:basedOn w:val="Fontepargpadro"/>
    <w:uiPriority w:val="99"/>
    <w:semiHidden/>
    <w:unhideWhenUsed/>
    <w:rsid w:val="002F2BF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1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2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rary.worldbank.org/doi/abs/10.1596/3598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787/13130fbb-e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dn.cade.gov.br/Portal/centrais-de-conteudo/publicacoes/guias-do-cade/guia-de-combate-a-carteis-em-licitacao-versao-final-1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2ECF4-7F45-41AE-86E9-72533CE19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2988</TotalTime>
  <Pages>16</Pages>
  <Words>4893</Words>
  <Characters>27549</Characters>
  <Application>Microsoft Office Word</Application>
  <DocSecurity>0</DocSecurity>
  <Lines>417</Lines>
  <Paragraphs>116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Mateus Rocha</cp:lastModifiedBy>
  <cp:revision>5</cp:revision>
  <dcterms:created xsi:type="dcterms:W3CDTF">2023-08-23T17:17:00Z</dcterms:created>
  <dcterms:modified xsi:type="dcterms:W3CDTF">2023-09-15T15:08:00Z</dcterms:modified>
  <cp:category/>
</cp:coreProperties>
</file>