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2CF0" w14:textId="2FAB8C0D" w:rsidR="008428DE" w:rsidRPr="00F65B63" w:rsidRDefault="0058051A" w:rsidP="001C10C4">
      <w:pPr>
        <w:widowControl/>
        <w:shd w:val="clear" w:color="auto" w:fill="FFFFFF"/>
        <w:autoSpaceDE/>
        <w:autoSpaceDN/>
        <w:spacing w:line="360" w:lineRule="auto"/>
        <w:jc w:val="center"/>
        <w:rPr>
          <w:sz w:val="24"/>
          <w:szCs w:val="24"/>
        </w:rPr>
      </w:pPr>
      <w:bookmarkStart w:id="0" w:name="_Toc124428787"/>
      <w:r>
        <w:rPr>
          <w:sz w:val="24"/>
          <w:szCs w:val="24"/>
        </w:rPr>
        <w:t xml:space="preserve"> </w:t>
      </w:r>
    </w:p>
    <w:p w14:paraId="724EF2DA" w14:textId="39601197" w:rsidR="008428DE" w:rsidRPr="00F65B63" w:rsidRDefault="008428DE" w:rsidP="001C10C4">
      <w:pPr>
        <w:widowControl/>
        <w:shd w:val="clear" w:color="auto" w:fill="FFFFFF"/>
        <w:autoSpaceDE/>
        <w:autoSpaceDN/>
        <w:spacing w:line="360" w:lineRule="auto"/>
        <w:jc w:val="center"/>
        <w:rPr>
          <w:sz w:val="24"/>
          <w:szCs w:val="24"/>
        </w:rPr>
      </w:pPr>
    </w:p>
    <w:p w14:paraId="358F94D0" w14:textId="604CC9ED" w:rsidR="008428DE" w:rsidRPr="00F65B63" w:rsidRDefault="008428DE" w:rsidP="001C10C4">
      <w:pPr>
        <w:widowControl/>
        <w:shd w:val="clear" w:color="auto" w:fill="FFFFFF"/>
        <w:autoSpaceDE/>
        <w:autoSpaceDN/>
        <w:spacing w:line="360" w:lineRule="auto"/>
        <w:jc w:val="center"/>
        <w:rPr>
          <w:sz w:val="24"/>
          <w:szCs w:val="24"/>
        </w:rPr>
      </w:pPr>
    </w:p>
    <w:p w14:paraId="7CEB652E" w14:textId="6D959EFA" w:rsidR="008428DE" w:rsidRPr="00F65B63" w:rsidRDefault="008428DE" w:rsidP="001C10C4">
      <w:pPr>
        <w:widowControl/>
        <w:shd w:val="clear" w:color="auto" w:fill="FFFFFF"/>
        <w:autoSpaceDE/>
        <w:autoSpaceDN/>
        <w:spacing w:line="360" w:lineRule="auto"/>
        <w:jc w:val="center"/>
        <w:rPr>
          <w:sz w:val="24"/>
          <w:szCs w:val="24"/>
        </w:rPr>
      </w:pPr>
    </w:p>
    <w:p w14:paraId="2000D409" w14:textId="5AD31072" w:rsidR="008428DE" w:rsidRPr="00F65B63" w:rsidRDefault="008428DE" w:rsidP="001C10C4">
      <w:pPr>
        <w:widowControl/>
        <w:shd w:val="clear" w:color="auto" w:fill="FFFFFF"/>
        <w:autoSpaceDE/>
        <w:autoSpaceDN/>
        <w:spacing w:line="360" w:lineRule="auto"/>
        <w:jc w:val="center"/>
        <w:rPr>
          <w:sz w:val="24"/>
          <w:szCs w:val="24"/>
        </w:rPr>
      </w:pPr>
    </w:p>
    <w:p w14:paraId="6E2AC193" w14:textId="79510E46" w:rsidR="008428DE" w:rsidRPr="00F65B63" w:rsidRDefault="008428DE" w:rsidP="001C10C4">
      <w:pPr>
        <w:widowControl/>
        <w:shd w:val="clear" w:color="auto" w:fill="FFFFFF"/>
        <w:autoSpaceDE/>
        <w:autoSpaceDN/>
        <w:spacing w:line="360" w:lineRule="auto"/>
        <w:jc w:val="center"/>
        <w:rPr>
          <w:sz w:val="24"/>
          <w:szCs w:val="24"/>
        </w:rPr>
      </w:pPr>
    </w:p>
    <w:p w14:paraId="359D8698" w14:textId="77415619" w:rsidR="008428DE" w:rsidRPr="00F65B63" w:rsidRDefault="008428DE" w:rsidP="001C10C4">
      <w:pPr>
        <w:widowControl/>
        <w:shd w:val="clear" w:color="auto" w:fill="FFFFFF"/>
        <w:autoSpaceDE/>
        <w:autoSpaceDN/>
        <w:spacing w:line="360" w:lineRule="auto"/>
        <w:jc w:val="center"/>
        <w:rPr>
          <w:sz w:val="24"/>
          <w:szCs w:val="24"/>
        </w:rPr>
      </w:pPr>
    </w:p>
    <w:p w14:paraId="2090F7F7" w14:textId="7485945F" w:rsidR="008428DE" w:rsidRPr="00F65B63" w:rsidRDefault="008428DE" w:rsidP="001C10C4">
      <w:pPr>
        <w:widowControl/>
        <w:shd w:val="clear" w:color="auto" w:fill="FFFFFF"/>
        <w:autoSpaceDE/>
        <w:autoSpaceDN/>
        <w:spacing w:line="360" w:lineRule="auto"/>
        <w:jc w:val="center"/>
        <w:rPr>
          <w:sz w:val="24"/>
          <w:szCs w:val="24"/>
        </w:rPr>
      </w:pPr>
    </w:p>
    <w:p w14:paraId="4399F1F4" w14:textId="03E3F7C9" w:rsidR="008428DE" w:rsidRPr="00F65B63" w:rsidRDefault="008428DE" w:rsidP="001C10C4">
      <w:pPr>
        <w:widowControl/>
        <w:shd w:val="clear" w:color="auto" w:fill="FFFFFF"/>
        <w:autoSpaceDE/>
        <w:autoSpaceDN/>
        <w:spacing w:line="360" w:lineRule="auto"/>
        <w:jc w:val="center"/>
        <w:rPr>
          <w:sz w:val="24"/>
          <w:szCs w:val="24"/>
        </w:rPr>
      </w:pPr>
    </w:p>
    <w:p w14:paraId="5BA57AD6" w14:textId="76665302" w:rsidR="008428DE" w:rsidRPr="00F65B63" w:rsidRDefault="008428DE" w:rsidP="001C10C4">
      <w:pPr>
        <w:widowControl/>
        <w:shd w:val="clear" w:color="auto" w:fill="FFFFFF"/>
        <w:autoSpaceDE/>
        <w:autoSpaceDN/>
        <w:spacing w:line="360" w:lineRule="auto"/>
        <w:jc w:val="center"/>
        <w:rPr>
          <w:sz w:val="24"/>
          <w:szCs w:val="24"/>
        </w:rPr>
      </w:pPr>
    </w:p>
    <w:p w14:paraId="55673497" w14:textId="77777777" w:rsidR="008428DE" w:rsidRPr="00F65B63" w:rsidRDefault="008428DE" w:rsidP="008428DE">
      <w:pPr>
        <w:widowControl/>
        <w:shd w:val="clear" w:color="auto" w:fill="FFFFFF"/>
        <w:autoSpaceDE/>
        <w:autoSpaceDN/>
        <w:spacing w:line="360" w:lineRule="auto"/>
        <w:jc w:val="center"/>
        <w:rPr>
          <w:b/>
          <w:bCs/>
          <w:sz w:val="28"/>
          <w:szCs w:val="28"/>
          <w:lang w:val="pt-BR" w:eastAsia="pt-BR" w:bidi="ar-SA"/>
        </w:rPr>
      </w:pPr>
    </w:p>
    <w:p w14:paraId="73597180" w14:textId="5BC6AB92" w:rsidR="008428DE" w:rsidRPr="00F65B63" w:rsidRDefault="00263719" w:rsidP="008428DE">
      <w:pPr>
        <w:widowControl/>
        <w:shd w:val="clear" w:color="auto" w:fill="FFFFFF"/>
        <w:autoSpaceDE/>
        <w:autoSpaceDN/>
        <w:spacing w:line="360" w:lineRule="auto"/>
        <w:jc w:val="center"/>
        <w:rPr>
          <w:b/>
          <w:bCs/>
          <w:sz w:val="28"/>
          <w:szCs w:val="28"/>
          <w:lang w:val="pt-BR" w:eastAsia="pt-BR" w:bidi="ar-SA"/>
        </w:rPr>
      </w:pPr>
      <w:r w:rsidRPr="00F65B63">
        <w:rPr>
          <w:b/>
          <w:bCs/>
          <w:sz w:val="28"/>
          <w:szCs w:val="28"/>
          <w:lang w:val="pt-BR" w:eastAsia="pt-BR" w:bidi="ar-SA"/>
        </w:rPr>
        <w:t xml:space="preserve">CONSIDERAÇÕES SOBRE O </w:t>
      </w:r>
      <w:r w:rsidR="008428DE" w:rsidRPr="00F65B63">
        <w:rPr>
          <w:b/>
          <w:bCs/>
          <w:sz w:val="28"/>
          <w:szCs w:val="28"/>
          <w:lang w:val="pt-BR" w:eastAsia="pt-BR" w:bidi="ar-SA"/>
        </w:rPr>
        <w:t xml:space="preserve">TEMA 698 DO STF: </w:t>
      </w:r>
      <w:r w:rsidR="008C11A8">
        <w:rPr>
          <w:b/>
          <w:bCs/>
          <w:sz w:val="28"/>
          <w:szCs w:val="28"/>
          <w:lang w:val="pt-BR" w:eastAsia="pt-BR" w:bidi="ar-SA"/>
        </w:rPr>
        <w:t xml:space="preserve">judicialização de </w:t>
      </w:r>
      <w:r w:rsidRPr="00F65B63">
        <w:rPr>
          <w:b/>
          <w:bCs/>
          <w:sz w:val="28"/>
          <w:szCs w:val="28"/>
          <w:lang w:val="pt-BR" w:eastAsia="pt-BR" w:bidi="ar-SA"/>
        </w:rPr>
        <w:t xml:space="preserve">políticas públicas e </w:t>
      </w:r>
      <w:r w:rsidR="00D04F6E">
        <w:rPr>
          <w:b/>
          <w:bCs/>
          <w:sz w:val="28"/>
          <w:szCs w:val="28"/>
          <w:lang w:val="pt-BR" w:eastAsia="pt-BR" w:bidi="ar-SA"/>
        </w:rPr>
        <w:t xml:space="preserve">aplicação de </w:t>
      </w:r>
      <w:r w:rsidRPr="00F65B63">
        <w:rPr>
          <w:b/>
          <w:bCs/>
          <w:sz w:val="28"/>
          <w:szCs w:val="28"/>
          <w:lang w:val="pt-BR" w:eastAsia="pt-BR" w:bidi="ar-SA"/>
        </w:rPr>
        <w:t>técnicas estruturantes</w:t>
      </w:r>
    </w:p>
    <w:p w14:paraId="4E8B69D0" w14:textId="77777777" w:rsidR="008428DE" w:rsidRPr="00F65B63" w:rsidRDefault="008428DE" w:rsidP="001C10C4">
      <w:pPr>
        <w:widowControl/>
        <w:shd w:val="clear" w:color="auto" w:fill="FFFFFF"/>
        <w:autoSpaceDE/>
        <w:autoSpaceDN/>
        <w:spacing w:line="360" w:lineRule="auto"/>
        <w:jc w:val="center"/>
        <w:rPr>
          <w:sz w:val="24"/>
          <w:szCs w:val="24"/>
        </w:rPr>
      </w:pPr>
    </w:p>
    <w:p w14:paraId="58763EE7" w14:textId="77777777" w:rsidR="008428DE" w:rsidRPr="00F65B63" w:rsidRDefault="008428DE" w:rsidP="001C10C4">
      <w:pPr>
        <w:widowControl/>
        <w:shd w:val="clear" w:color="auto" w:fill="FFFFFF"/>
        <w:autoSpaceDE/>
        <w:autoSpaceDN/>
        <w:spacing w:line="360" w:lineRule="auto"/>
        <w:jc w:val="center"/>
        <w:rPr>
          <w:sz w:val="24"/>
          <w:szCs w:val="24"/>
        </w:rPr>
      </w:pPr>
    </w:p>
    <w:p w14:paraId="5324F2B8" w14:textId="77777777" w:rsidR="008428DE" w:rsidRPr="00F65B63" w:rsidRDefault="008428DE" w:rsidP="001C10C4">
      <w:pPr>
        <w:widowControl/>
        <w:shd w:val="clear" w:color="auto" w:fill="FFFFFF"/>
        <w:autoSpaceDE/>
        <w:autoSpaceDN/>
        <w:spacing w:line="360" w:lineRule="auto"/>
        <w:jc w:val="center"/>
        <w:rPr>
          <w:sz w:val="24"/>
          <w:szCs w:val="24"/>
        </w:rPr>
      </w:pPr>
    </w:p>
    <w:p w14:paraId="164800B7" w14:textId="77777777" w:rsidR="008428DE" w:rsidRPr="00F65B63" w:rsidRDefault="008428DE" w:rsidP="008428DE">
      <w:pPr>
        <w:widowControl/>
        <w:shd w:val="clear" w:color="auto" w:fill="FFFFFF"/>
        <w:autoSpaceDE/>
        <w:autoSpaceDN/>
        <w:spacing w:line="360" w:lineRule="auto"/>
        <w:ind w:left="2268"/>
        <w:jc w:val="right"/>
        <w:rPr>
          <w:sz w:val="24"/>
          <w:szCs w:val="24"/>
        </w:rPr>
      </w:pPr>
    </w:p>
    <w:p w14:paraId="13515267" w14:textId="77777777" w:rsidR="008428DE" w:rsidRPr="00F65B63" w:rsidRDefault="008428DE" w:rsidP="008428DE">
      <w:pPr>
        <w:widowControl/>
        <w:shd w:val="clear" w:color="auto" w:fill="FFFFFF"/>
        <w:autoSpaceDE/>
        <w:autoSpaceDN/>
        <w:spacing w:line="360" w:lineRule="auto"/>
        <w:ind w:left="2268"/>
        <w:jc w:val="right"/>
        <w:rPr>
          <w:sz w:val="24"/>
          <w:szCs w:val="24"/>
        </w:rPr>
      </w:pPr>
    </w:p>
    <w:p w14:paraId="5AD8DE95" w14:textId="4209F35B" w:rsidR="008428DE" w:rsidRPr="00F65B63" w:rsidRDefault="008428DE" w:rsidP="00122609">
      <w:pPr>
        <w:widowControl/>
        <w:shd w:val="clear" w:color="auto" w:fill="FFFFFF"/>
        <w:autoSpaceDE/>
        <w:autoSpaceDN/>
        <w:spacing w:line="360" w:lineRule="auto"/>
        <w:ind w:left="4536"/>
        <w:jc w:val="both"/>
        <w:rPr>
          <w:rStyle w:val="Forte"/>
          <w:rFonts w:eastAsiaTheme="majorEastAsia"/>
          <w:b w:val="0"/>
          <w:bCs w:val="0"/>
          <w:caps/>
          <w:sz w:val="24"/>
          <w:szCs w:val="24"/>
        </w:rPr>
      </w:pPr>
      <w:r w:rsidRPr="00F65B63">
        <w:rPr>
          <w:sz w:val="24"/>
          <w:szCs w:val="24"/>
        </w:rPr>
        <w:t>Tese submetida à Comissão Científica da 49ª edição do Congresso Nacional dos Procuradores dos Estados e do Distrito Federal – Tema: “Sustentabilidade e Direito ao futuro: o papel da Advocacia Pública”</w:t>
      </w:r>
    </w:p>
    <w:p w14:paraId="00934230" w14:textId="5147E414" w:rsidR="008428DE" w:rsidRPr="00F65B63" w:rsidRDefault="008428DE" w:rsidP="008428DE">
      <w:pPr>
        <w:widowControl/>
        <w:shd w:val="clear" w:color="auto" w:fill="FFFFFF"/>
        <w:autoSpaceDE/>
        <w:autoSpaceDN/>
        <w:spacing w:line="360" w:lineRule="auto"/>
        <w:jc w:val="center"/>
        <w:rPr>
          <w:rStyle w:val="Forte"/>
          <w:rFonts w:eastAsiaTheme="majorEastAsia"/>
          <w:b w:val="0"/>
          <w:bCs w:val="0"/>
          <w:caps/>
          <w:sz w:val="24"/>
          <w:szCs w:val="24"/>
        </w:rPr>
      </w:pPr>
    </w:p>
    <w:p w14:paraId="4E05BD37" w14:textId="77777777" w:rsidR="00122609" w:rsidRPr="00F65B63" w:rsidRDefault="00122609" w:rsidP="008428DE">
      <w:pPr>
        <w:widowControl/>
        <w:shd w:val="clear" w:color="auto" w:fill="FFFFFF"/>
        <w:autoSpaceDE/>
        <w:autoSpaceDN/>
        <w:spacing w:line="360" w:lineRule="auto"/>
        <w:jc w:val="center"/>
        <w:rPr>
          <w:rStyle w:val="Forte"/>
          <w:rFonts w:eastAsiaTheme="majorEastAsia"/>
          <w:b w:val="0"/>
          <w:bCs w:val="0"/>
          <w:caps/>
          <w:sz w:val="24"/>
          <w:szCs w:val="24"/>
        </w:rPr>
      </w:pPr>
    </w:p>
    <w:p w14:paraId="4ECB667B" w14:textId="77777777" w:rsidR="008428DE" w:rsidRPr="00F65B63" w:rsidRDefault="008428DE" w:rsidP="008428DE">
      <w:pPr>
        <w:widowControl/>
        <w:shd w:val="clear" w:color="auto" w:fill="FFFFFF"/>
        <w:autoSpaceDE/>
        <w:autoSpaceDN/>
        <w:spacing w:line="360" w:lineRule="auto"/>
        <w:jc w:val="center"/>
        <w:rPr>
          <w:rStyle w:val="Forte"/>
          <w:rFonts w:eastAsiaTheme="majorEastAsia"/>
          <w:b w:val="0"/>
          <w:bCs w:val="0"/>
          <w:caps/>
          <w:sz w:val="24"/>
          <w:szCs w:val="24"/>
        </w:rPr>
      </w:pPr>
    </w:p>
    <w:p w14:paraId="322D4CAB" w14:textId="6C27683E" w:rsidR="008428DE" w:rsidRPr="00F65B63" w:rsidRDefault="008428DE" w:rsidP="008428DE">
      <w:pPr>
        <w:widowControl/>
        <w:shd w:val="clear" w:color="auto" w:fill="FFFFFF"/>
        <w:autoSpaceDE/>
        <w:autoSpaceDN/>
        <w:spacing w:line="360" w:lineRule="auto"/>
        <w:jc w:val="center"/>
        <w:rPr>
          <w:sz w:val="24"/>
          <w:szCs w:val="24"/>
        </w:rPr>
      </w:pPr>
    </w:p>
    <w:p w14:paraId="158DDAC0" w14:textId="7B088129" w:rsidR="008428DE" w:rsidRPr="00F65B63" w:rsidRDefault="008428DE" w:rsidP="008428DE">
      <w:pPr>
        <w:widowControl/>
        <w:shd w:val="clear" w:color="auto" w:fill="FFFFFF"/>
        <w:autoSpaceDE/>
        <w:autoSpaceDN/>
        <w:spacing w:line="360" w:lineRule="auto"/>
        <w:rPr>
          <w:sz w:val="24"/>
          <w:szCs w:val="24"/>
        </w:rPr>
      </w:pPr>
    </w:p>
    <w:p w14:paraId="704E80A2" w14:textId="0EA9B393" w:rsidR="008428DE" w:rsidRPr="00F65B63" w:rsidRDefault="008428DE" w:rsidP="00122609">
      <w:pPr>
        <w:widowControl/>
        <w:shd w:val="clear" w:color="auto" w:fill="FFFFFF"/>
        <w:autoSpaceDE/>
        <w:autoSpaceDN/>
        <w:spacing w:line="360" w:lineRule="auto"/>
        <w:rPr>
          <w:sz w:val="24"/>
          <w:szCs w:val="24"/>
        </w:rPr>
      </w:pPr>
    </w:p>
    <w:p w14:paraId="1F5AD776" w14:textId="77777777" w:rsidR="008428DE" w:rsidRPr="00F65B63" w:rsidRDefault="008428DE" w:rsidP="008428DE">
      <w:pPr>
        <w:widowControl/>
        <w:shd w:val="clear" w:color="auto" w:fill="FFFFFF"/>
        <w:autoSpaceDE/>
        <w:autoSpaceDN/>
        <w:spacing w:line="360" w:lineRule="auto"/>
        <w:jc w:val="center"/>
        <w:rPr>
          <w:sz w:val="24"/>
          <w:szCs w:val="24"/>
        </w:rPr>
      </w:pPr>
    </w:p>
    <w:p w14:paraId="6181FC8B" w14:textId="61DD1044" w:rsidR="008428DE" w:rsidRPr="00F65B63" w:rsidRDefault="008428DE" w:rsidP="001C10C4">
      <w:pPr>
        <w:widowControl/>
        <w:shd w:val="clear" w:color="auto" w:fill="FFFFFF"/>
        <w:autoSpaceDE/>
        <w:autoSpaceDN/>
        <w:spacing w:line="360" w:lineRule="auto"/>
        <w:jc w:val="center"/>
        <w:rPr>
          <w:b/>
          <w:bCs/>
          <w:sz w:val="24"/>
          <w:szCs w:val="24"/>
          <w:lang w:val="pt-BR" w:eastAsia="pt-BR" w:bidi="ar-SA"/>
        </w:rPr>
      </w:pPr>
      <w:r w:rsidRPr="00F65B63">
        <w:rPr>
          <w:sz w:val="24"/>
          <w:szCs w:val="24"/>
          <w:shd w:val="clear" w:color="auto" w:fill="FFFFFF"/>
        </w:rPr>
        <w:t>XLIX</w:t>
      </w:r>
      <w:r w:rsidRPr="00F65B63">
        <w:rPr>
          <w:sz w:val="24"/>
          <w:szCs w:val="24"/>
        </w:rPr>
        <w:t xml:space="preserve"> CONGRESSO NACIONAL DOS PROCURADORES DOS ESTADOS E DO DISTRITO FEDERAL 2023</w:t>
      </w:r>
    </w:p>
    <w:p w14:paraId="48AC81B0" w14:textId="3629BF7C" w:rsidR="00A12F17" w:rsidRPr="00F65B63" w:rsidRDefault="00ED34F1" w:rsidP="00A12F17">
      <w:pPr>
        <w:tabs>
          <w:tab w:val="left" w:pos="2835"/>
          <w:tab w:val="left" w:pos="3119"/>
          <w:tab w:val="center" w:pos="4253"/>
        </w:tabs>
        <w:adjustRightInd w:val="0"/>
        <w:spacing w:line="360" w:lineRule="auto"/>
        <w:jc w:val="both"/>
        <w:rPr>
          <w:b/>
          <w:bCs/>
          <w:sz w:val="24"/>
          <w:szCs w:val="24"/>
        </w:rPr>
      </w:pPr>
      <w:r>
        <w:rPr>
          <w:b/>
          <w:bCs/>
          <w:sz w:val="24"/>
          <w:szCs w:val="24"/>
        </w:rPr>
        <w:t xml:space="preserve"> </w:t>
      </w:r>
    </w:p>
    <w:p w14:paraId="1CF815F4" w14:textId="77777777" w:rsidR="00A12F17" w:rsidRPr="00F65B63" w:rsidRDefault="00A12F17" w:rsidP="00A12F17">
      <w:pPr>
        <w:tabs>
          <w:tab w:val="left" w:pos="2835"/>
          <w:tab w:val="left" w:pos="3119"/>
          <w:tab w:val="center" w:pos="4253"/>
        </w:tabs>
        <w:adjustRightInd w:val="0"/>
        <w:spacing w:line="360" w:lineRule="auto"/>
        <w:jc w:val="both"/>
        <w:rPr>
          <w:b/>
          <w:bCs/>
          <w:sz w:val="24"/>
          <w:szCs w:val="24"/>
        </w:rPr>
      </w:pPr>
    </w:p>
    <w:p w14:paraId="1F7D9981" w14:textId="5B54C44F" w:rsidR="009851F9" w:rsidRPr="00F65B63" w:rsidRDefault="00A12F17" w:rsidP="006E3F1D">
      <w:pPr>
        <w:tabs>
          <w:tab w:val="left" w:pos="2835"/>
          <w:tab w:val="left" w:pos="3119"/>
          <w:tab w:val="center" w:pos="4253"/>
        </w:tabs>
        <w:adjustRightInd w:val="0"/>
        <w:spacing w:line="360" w:lineRule="auto"/>
        <w:jc w:val="both"/>
      </w:pPr>
      <w:r w:rsidRPr="00F65B63">
        <w:rPr>
          <w:b/>
          <w:i/>
          <w:iCs/>
        </w:rPr>
        <w:lastRenderedPageBreak/>
        <w:t>Resumo.</w:t>
      </w:r>
      <w:r w:rsidRPr="00F65B63">
        <w:rPr>
          <w:b/>
        </w:rPr>
        <w:t xml:space="preserve"> </w:t>
      </w:r>
      <w:bookmarkStart w:id="1" w:name="_Hlk104916637"/>
      <w:r w:rsidRPr="00F65B63">
        <w:t xml:space="preserve">Este artigo </w:t>
      </w:r>
      <w:r w:rsidR="006E3F1D" w:rsidRPr="00F65B63">
        <w:t>analisa</w:t>
      </w:r>
      <w:r w:rsidR="00D91EB9" w:rsidRPr="00F65B63">
        <w:t xml:space="preserve"> a tese vinculante firmada no Tema 698</w:t>
      </w:r>
      <w:r w:rsidR="0059688B" w:rsidRPr="00F65B63">
        <w:t xml:space="preserve"> d</w:t>
      </w:r>
      <w:r w:rsidR="00D91EB9" w:rsidRPr="00F65B63">
        <w:t>o Supremo Tribunal Federa</w:t>
      </w:r>
      <w:r w:rsidR="009851F9">
        <w:t xml:space="preserve">l, por meio da qual trouxe </w:t>
      </w:r>
      <w:r w:rsidR="00D91EB9" w:rsidRPr="00F65B63">
        <w:t>à baila o necessário emprego d</w:t>
      </w:r>
      <w:r w:rsidR="0059688B" w:rsidRPr="00F65B63">
        <w:t>e</w:t>
      </w:r>
      <w:r w:rsidR="00D91EB9" w:rsidRPr="00F65B63">
        <w:t xml:space="preserve"> técnicas estruturais</w:t>
      </w:r>
      <w:r w:rsidR="0059688B" w:rsidRPr="00F65B63">
        <w:t>/estruturantes</w:t>
      </w:r>
      <w:r w:rsidR="009851F9">
        <w:t xml:space="preserve"> na intervenção jurisdicional em políticas públicas.</w:t>
      </w:r>
      <w:r w:rsidR="006E3F1D" w:rsidRPr="00F65B63">
        <w:t xml:space="preserve"> </w:t>
      </w:r>
      <w:r w:rsidR="0059688B" w:rsidRPr="00F65B63">
        <w:t xml:space="preserve">Essa </w:t>
      </w:r>
      <w:r w:rsidR="006E3F1D" w:rsidRPr="00F65B63">
        <w:t xml:space="preserve">intervenção é uma realidade, sendo mister o emprego de técnicas processuais que </w:t>
      </w:r>
      <w:r w:rsidR="00D04F6E">
        <w:t xml:space="preserve">efetivamente </w:t>
      </w:r>
      <w:r w:rsidR="006E3F1D" w:rsidRPr="00F65B63">
        <w:t>promovam o interesse público.</w:t>
      </w:r>
      <w:bookmarkEnd w:id="1"/>
    </w:p>
    <w:p w14:paraId="0F665F6E" w14:textId="77777777" w:rsidR="006E3F1D" w:rsidRPr="00F65B63" w:rsidRDefault="006E3F1D" w:rsidP="006E3F1D">
      <w:pPr>
        <w:tabs>
          <w:tab w:val="left" w:pos="2835"/>
          <w:tab w:val="left" w:pos="3119"/>
          <w:tab w:val="center" w:pos="4253"/>
        </w:tabs>
        <w:adjustRightInd w:val="0"/>
        <w:spacing w:line="360" w:lineRule="auto"/>
        <w:jc w:val="both"/>
      </w:pPr>
    </w:p>
    <w:p w14:paraId="2E8EB368" w14:textId="0F3DD39E" w:rsidR="00A12F17" w:rsidRPr="0058051A" w:rsidRDefault="00A12F17" w:rsidP="00A12F17">
      <w:pPr>
        <w:spacing w:line="360" w:lineRule="auto"/>
        <w:jc w:val="both"/>
        <w:rPr>
          <w:lang w:val="pt-BR"/>
        </w:rPr>
      </w:pPr>
      <w:r w:rsidRPr="00F65B63">
        <w:rPr>
          <w:b/>
          <w:i/>
          <w:iCs/>
        </w:rPr>
        <w:t>Palavras-chave:</w:t>
      </w:r>
      <w:r w:rsidRPr="00F65B63">
        <w:t xml:space="preserve"> </w:t>
      </w:r>
      <w:r w:rsidR="006E3F1D" w:rsidRPr="00F65B63">
        <w:t>Intervenção jurisdicional</w:t>
      </w:r>
      <w:r w:rsidR="0059688B" w:rsidRPr="00F65B63">
        <w:t>. Po</w:t>
      </w:r>
      <w:r w:rsidR="006E3F1D" w:rsidRPr="00F65B63">
        <w:t>líticas públicas. Técnicas estruturais</w:t>
      </w:r>
      <w:r w:rsidR="0059688B" w:rsidRPr="00F65B63">
        <w:t>/estruturantes</w:t>
      </w:r>
      <w:r w:rsidR="006E3F1D" w:rsidRPr="00F65B63">
        <w:t>. Processo estrutural. Tema 698 do STF.</w:t>
      </w:r>
    </w:p>
    <w:p w14:paraId="338576D9" w14:textId="182BF1C9" w:rsidR="00A12F17" w:rsidRPr="0058051A" w:rsidRDefault="00A12F17" w:rsidP="00A12F17">
      <w:pPr>
        <w:spacing w:line="360" w:lineRule="auto"/>
        <w:jc w:val="both"/>
        <w:rPr>
          <w:sz w:val="24"/>
          <w:szCs w:val="24"/>
          <w:lang w:val="pt-BR"/>
        </w:rPr>
      </w:pPr>
    </w:p>
    <w:p w14:paraId="68E77599" w14:textId="77777777" w:rsidR="006E3F1D" w:rsidRPr="0058051A" w:rsidRDefault="006E3F1D" w:rsidP="00A12F17">
      <w:pPr>
        <w:spacing w:line="360" w:lineRule="auto"/>
        <w:jc w:val="both"/>
        <w:rPr>
          <w:sz w:val="24"/>
          <w:szCs w:val="24"/>
          <w:lang w:val="pt-BR"/>
        </w:rPr>
      </w:pPr>
    </w:p>
    <w:p w14:paraId="222D230C" w14:textId="69F17255" w:rsidR="00A12F17" w:rsidRPr="0058051A" w:rsidRDefault="00A12F17" w:rsidP="00A12F17">
      <w:pPr>
        <w:spacing w:line="360" w:lineRule="auto"/>
        <w:jc w:val="both"/>
        <w:rPr>
          <w:sz w:val="24"/>
          <w:szCs w:val="24"/>
          <w:lang w:val="pt-BR"/>
        </w:rPr>
      </w:pPr>
      <w:r w:rsidRPr="0058051A">
        <w:rPr>
          <w:sz w:val="24"/>
          <w:szCs w:val="24"/>
          <w:lang w:val="pt-BR"/>
        </w:rPr>
        <w:t xml:space="preserve">SUMÁRIO. 1 </w:t>
      </w:r>
      <w:bookmarkStart w:id="2" w:name="_Hlk104916643"/>
      <w:r w:rsidRPr="0058051A">
        <w:rPr>
          <w:sz w:val="24"/>
          <w:szCs w:val="24"/>
          <w:lang w:val="pt-BR"/>
        </w:rPr>
        <w:t>D</w:t>
      </w:r>
      <w:r w:rsidR="006E3F1D" w:rsidRPr="0058051A">
        <w:rPr>
          <w:sz w:val="24"/>
          <w:szCs w:val="24"/>
          <w:lang w:val="pt-BR"/>
        </w:rPr>
        <w:t xml:space="preserve">O TEMA ESCOLHIDO. </w:t>
      </w:r>
      <w:r w:rsidRPr="0058051A">
        <w:rPr>
          <w:sz w:val="24"/>
          <w:szCs w:val="24"/>
          <w:lang w:val="pt-BR"/>
        </w:rPr>
        <w:t>2</w:t>
      </w:r>
      <w:r w:rsidR="006E3F1D" w:rsidRPr="0058051A">
        <w:rPr>
          <w:sz w:val="24"/>
          <w:szCs w:val="24"/>
          <w:lang w:val="pt-BR"/>
        </w:rPr>
        <w:t>.</w:t>
      </w:r>
      <w:r w:rsidRPr="0058051A">
        <w:rPr>
          <w:sz w:val="24"/>
          <w:szCs w:val="24"/>
          <w:lang w:val="pt-BR"/>
        </w:rPr>
        <w:t xml:space="preserve"> </w:t>
      </w:r>
      <w:r w:rsidR="006E3F1D" w:rsidRPr="0058051A">
        <w:rPr>
          <w:sz w:val="24"/>
          <w:szCs w:val="24"/>
          <w:lang w:val="pt-BR"/>
        </w:rPr>
        <w:t xml:space="preserve">AS </w:t>
      </w:r>
      <w:r w:rsidR="006E3F1D" w:rsidRPr="0058051A">
        <w:rPr>
          <w:i/>
          <w:iCs/>
          <w:sz w:val="24"/>
          <w:szCs w:val="24"/>
          <w:lang w:val="pt-BR"/>
        </w:rPr>
        <w:t>STRUCTURAL INJUNCTIONS</w:t>
      </w:r>
      <w:r w:rsidR="00D04F6E" w:rsidRPr="0058051A">
        <w:rPr>
          <w:i/>
          <w:iCs/>
          <w:sz w:val="24"/>
          <w:szCs w:val="24"/>
          <w:lang w:val="pt-BR"/>
        </w:rPr>
        <w:t xml:space="preserve">. </w:t>
      </w:r>
      <w:r w:rsidR="00497997" w:rsidRPr="0058051A">
        <w:rPr>
          <w:sz w:val="24"/>
          <w:szCs w:val="24"/>
          <w:lang w:val="pt-BR"/>
        </w:rPr>
        <w:t>3</w:t>
      </w:r>
      <w:r w:rsidRPr="0058051A">
        <w:rPr>
          <w:sz w:val="24"/>
          <w:szCs w:val="24"/>
          <w:lang w:val="pt-BR"/>
        </w:rPr>
        <w:t>.</w:t>
      </w:r>
      <w:r w:rsidR="006E3F1D" w:rsidRPr="0058051A">
        <w:rPr>
          <w:sz w:val="24"/>
          <w:szCs w:val="24"/>
          <w:lang w:val="pt-BR"/>
        </w:rPr>
        <w:t xml:space="preserve"> </w:t>
      </w:r>
      <w:r w:rsidR="006E3F1D" w:rsidRPr="00F65B63">
        <w:rPr>
          <w:sz w:val="24"/>
          <w:szCs w:val="24"/>
        </w:rPr>
        <w:t>CRONOGRAMAS NEGOCIADOS DE CUMPRIMENTO VOLUNTÁRIO</w:t>
      </w:r>
      <w:r w:rsidR="0059688B" w:rsidRPr="00F65B63">
        <w:rPr>
          <w:sz w:val="24"/>
          <w:szCs w:val="24"/>
        </w:rPr>
        <w:t>.</w:t>
      </w:r>
      <w:r w:rsidRPr="0058051A">
        <w:rPr>
          <w:sz w:val="24"/>
          <w:szCs w:val="24"/>
          <w:lang w:val="pt-BR"/>
        </w:rPr>
        <w:t xml:space="preserve"> </w:t>
      </w:r>
      <w:r w:rsidR="00497997" w:rsidRPr="0058051A">
        <w:rPr>
          <w:sz w:val="24"/>
          <w:szCs w:val="24"/>
          <w:lang w:val="pt-BR"/>
        </w:rPr>
        <w:t>4</w:t>
      </w:r>
      <w:r w:rsidR="006E3F1D" w:rsidRPr="0058051A">
        <w:rPr>
          <w:sz w:val="24"/>
          <w:szCs w:val="24"/>
          <w:lang w:val="pt-BR"/>
        </w:rPr>
        <w:t>.</w:t>
      </w:r>
      <w:r w:rsidRPr="0058051A">
        <w:rPr>
          <w:sz w:val="24"/>
          <w:szCs w:val="24"/>
          <w:lang w:val="pt-BR"/>
        </w:rPr>
        <w:t xml:space="preserve"> </w:t>
      </w:r>
      <w:r w:rsidR="006E3F1D" w:rsidRPr="0058051A">
        <w:rPr>
          <w:sz w:val="24"/>
          <w:szCs w:val="24"/>
          <w:lang w:val="pt-BR"/>
        </w:rPr>
        <w:t>A</w:t>
      </w:r>
      <w:r w:rsidR="00497997" w:rsidRPr="0058051A">
        <w:rPr>
          <w:sz w:val="24"/>
          <w:szCs w:val="24"/>
          <w:lang w:val="pt-BR"/>
        </w:rPr>
        <w:t xml:space="preserve">NÁLISE DE </w:t>
      </w:r>
      <w:r w:rsidR="006E3F1D" w:rsidRPr="0058051A">
        <w:rPr>
          <w:sz w:val="24"/>
          <w:szCs w:val="24"/>
          <w:lang w:val="pt-BR"/>
        </w:rPr>
        <w:t>CASO ENVOLVENDO O ESTADO DE SÃO PAULO</w:t>
      </w:r>
      <w:r w:rsidR="0059688B" w:rsidRPr="0058051A">
        <w:rPr>
          <w:sz w:val="24"/>
          <w:szCs w:val="24"/>
          <w:lang w:val="pt-BR"/>
        </w:rPr>
        <w:t>.</w:t>
      </w:r>
      <w:r w:rsidRPr="0058051A">
        <w:rPr>
          <w:sz w:val="24"/>
          <w:szCs w:val="24"/>
          <w:lang w:val="pt-BR"/>
        </w:rPr>
        <w:t xml:space="preserve"> </w:t>
      </w:r>
      <w:r w:rsidR="00497997" w:rsidRPr="0058051A">
        <w:rPr>
          <w:sz w:val="24"/>
          <w:szCs w:val="24"/>
          <w:lang w:val="pt-BR"/>
        </w:rPr>
        <w:t>5</w:t>
      </w:r>
      <w:r w:rsidR="006E3F1D" w:rsidRPr="0058051A">
        <w:rPr>
          <w:sz w:val="24"/>
          <w:szCs w:val="24"/>
          <w:lang w:val="pt-BR"/>
        </w:rPr>
        <w:t>.</w:t>
      </w:r>
      <w:r w:rsidRPr="0058051A">
        <w:rPr>
          <w:sz w:val="24"/>
          <w:szCs w:val="24"/>
          <w:lang w:val="pt-BR"/>
        </w:rPr>
        <w:t xml:space="preserve"> C</w:t>
      </w:r>
      <w:r w:rsidR="006E3F1D" w:rsidRPr="0058051A">
        <w:rPr>
          <w:sz w:val="24"/>
          <w:szCs w:val="24"/>
          <w:lang w:val="pt-BR"/>
        </w:rPr>
        <w:t>ONCLUSÕES</w:t>
      </w:r>
      <w:r w:rsidRPr="0058051A">
        <w:rPr>
          <w:sz w:val="24"/>
          <w:szCs w:val="24"/>
          <w:lang w:val="pt-BR"/>
        </w:rPr>
        <w:t>. R</w:t>
      </w:r>
      <w:r w:rsidR="006E3F1D" w:rsidRPr="0058051A">
        <w:rPr>
          <w:sz w:val="24"/>
          <w:szCs w:val="24"/>
          <w:lang w:val="pt-BR"/>
        </w:rPr>
        <w:t>EFERÊNCIAS</w:t>
      </w:r>
      <w:r w:rsidRPr="0058051A">
        <w:rPr>
          <w:sz w:val="24"/>
          <w:szCs w:val="24"/>
          <w:lang w:val="pt-BR"/>
        </w:rPr>
        <w:t>.</w:t>
      </w:r>
      <w:bookmarkEnd w:id="2"/>
    </w:p>
    <w:p w14:paraId="35B55200" w14:textId="129756A9" w:rsidR="00A12F17" w:rsidRPr="00F65B63" w:rsidRDefault="00A12F17" w:rsidP="001C10C4">
      <w:pPr>
        <w:widowControl/>
        <w:shd w:val="clear" w:color="auto" w:fill="FFFFFF"/>
        <w:autoSpaceDE/>
        <w:autoSpaceDN/>
        <w:spacing w:line="360" w:lineRule="auto"/>
        <w:rPr>
          <w:sz w:val="24"/>
          <w:szCs w:val="24"/>
          <w:lang w:val="pt-BR" w:eastAsia="pt-BR" w:bidi="ar-SA"/>
        </w:rPr>
      </w:pPr>
    </w:p>
    <w:p w14:paraId="52E45055" w14:textId="77777777" w:rsidR="006E3F1D" w:rsidRPr="00F65B63" w:rsidRDefault="006E3F1D" w:rsidP="001C10C4">
      <w:pPr>
        <w:widowControl/>
        <w:shd w:val="clear" w:color="auto" w:fill="FFFFFF"/>
        <w:autoSpaceDE/>
        <w:autoSpaceDN/>
        <w:spacing w:line="360" w:lineRule="auto"/>
        <w:rPr>
          <w:sz w:val="24"/>
          <w:szCs w:val="24"/>
          <w:lang w:val="pt-BR" w:eastAsia="pt-BR" w:bidi="ar-SA"/>
        </w:rPr>
      </w:pPr>
    </w:p>
    <w:p w14:paraId="337050A6" w14:textId="28BB3DAC" w:rsidR="001C10C4" w:rsidRPr="00F65B63" w:rsidRDefault="001C10C4" w:rsidP="001C10C4">
      <w:pPr>
        <w:widowControl/>
        <w:shd w:val="clear" w:color="auto" w:fill="FFFFFF"/>
        <w:autoSpaceDE/>
        <w:autoSpaceDN/>
        <w:spacing w:line="360" w:lineRule="auto"/>
        <w:ind w:firstLine="708"/>
        <w:rPr>
          <w:sz w:val="24"/>
          <w:szCs w:val="24"/>
          <w:lang w:val="pt-BR" w:eastAsia="pt-BR" w:bidi="ar-SA"/>
        </w:rPr>
      </w:pPr>
      <w:r w:rsidRPr="00F65B63">
        <w:rPr>
          <w:sz w:val="24"/>
          <w:szCs w:val="24"/>
          <w:lang w:val="pt-BR" w:eastAsia="pt-BR" w:bidi="ar-SA"/>
        </w:rPr>
        <w:t>1</w:t>
      </w:r>
      <w:r w:rsidR="00A12F17" w:rsidRPr="00F65B63">
        <w:rPr>
          <w:sz w:val="24"/>
          <w:szCs w:val="24"/>
          <w:lang w:val="pt-BR" w:eastAsia="pt-BR" w:bidi="ar-SA"/>
        </w:rPr>
        <w:t>.</w:t>
      </w:r>
      <w:r w:rsidRPr="00F65B63">
        <w:rPr>
          <w:sz w:val="24"/>
          <w:szCs w:val="24"/>
          <w:lang w:val="pt-BR" w:eastAsia="pt-BR" w:bidi="ar-SA"/>
        </w:rPr>
        <w:t xml:space="preserve"> </w:t>
      </w:r>
      <w:r w:rsidR="002058D8" w:rsidRPr="00F65B63">
        <w:rPr>
          <w:sz w:val="24"/>
          <w:szCs w:val="24"/>
          <w:lang w:val="pt-BR" w:eastAsia="pt-BR" w:bidi="ar-SA"/>
        </w:rPr>
        <w:t>D</w:t>
      </w:r>
      <w:r w:rsidR="006E3F1D" w:rsidRPr="00F65B63">
        <w:rPr>
          <w:sz w:val="24"/>
          <w:szCs w:val="24"/>
          <w:lang w:val="pt-BR" w:eastAsia="pt-BR" w:bidi="ar-SA"/>
        </w:rPr>
        <w:t>O TEMA</w:t>
      </w:r>
      <w:r w:rsidR="002058D8" w:rsidRPr="00F65B63">
        <w:rPr>
          <w:sz w:val="24"/>
          <w:szCs w:val="24"/>
          <w:lang w:val="pt-BR" w:eastAsia="pt-BR" w:bidi="ar-SA"/>
        </w:rPr>
        <w:t xml:space="preserve"> ESCOLHIDO</w:t>
      </w:r>
    </w:p>
    <w:p w14:paraId="0D9C5665" w14:textId="77777777" w:rsidR="001C10C4" w:rsidRPr="00F65B63" w:rsidRDefault="001C10C4" w:rsidP="001C10C4">
      <w:pPr>
        <w:widowControl/>
        <w:shd w:val="clear" w:color="auto" w:fill="FFFFFF"/>
        <w:autoSpaceDE/>
        <w:autoSpaceDN/>
        <w:spacing w:line="360" w:lineRule="auto"/>
        <w:ind w:firstLine="708"/>
        <w:rPr>
          <w:sz w:val="24"/>
          <w:szCs w:val="24"/>
          <w:lang w:val="pt-BR" w:eastAsia="pt-BR" w:bidi="ar-SA"/>
        </w:rPr>
      </w:pPr>
    </w:p>
    <w:p w14:paraId="2E51E2B5" w14:textId="2A2B77B8" w:rsidR="001C10C4" w:rsidRPr="00F65B63" w:rsidRDefault="003C12C9" w:rsidP="001C10C4">
      <w:pPr>
        <w:widowControl/>
        <w:shd w:val="clear" w:color="auto" w:fill="FFFFFF"/>
        <w:autoSpaceDE/>
        <w:autoSpaceDN/>
        <w:spacing w:line="360" w:lineRule="auto"/>
        <w:ind w:firstLine="708"/>
        <w:rPr>
          <w:sz w:val="24"/>
          <w:szCs w:val="24"/>
          <w:lang w:val="pt-BR" w:eastAsia="pt-BR" w:bidi="ar-SA"/>
        </w:rPr>
      </w:pPr>
      <w:r w:rsidRPr="00F65B63">
        <w:rPr>
          <w:sz w:val="24"/>
          <w:szCs w:val="24"/>
          <w:lang w:val="pt-BR" w:eastAsia="pt-BR" w:bidi="ar-SA"/>
        </w:rPr>
        <w:t xml:space="preserve">O Supremo Tribunal Federal, </w:t>
      </w:r>
      <w:r w:rsidR="001C10C4" w:rsidRPr="00F65B63">
        <w:rPr>
          <w:sz w:val="24"/>
          <w:szCs w:val="24"/>
          <w:lang w:val="pt-BR" w:eastAsia="pt-BR" w:bidi="ar-SA"/>
        </w:rPr>
        <w:t xml:space="preserve">em 06 de fevereiro de 2014, </w:t>
      </w:r>
      <w:r w:rsidRPr="00F65B63">
        <w:rPr>
          <w:sz w:val="24"/>
          <w:szCs w:val="24"/>
          <w:lang w:val="pt-BR" w:eastAsia="pt-BR" w:bidi="ar-SA"/>
        </w:rPr>
        <w:t xml:space="preserve">reconheceu a repercussão geral </w:t>
      </w:r>
      <w:r w:rsidR="001C10C4" w:rsidRPr="00F65B63">
        <w:rPr>
          <w:sz w:val="24"/>
          <w:szCs w:val="24"/>
          <w:lang w:val="pt-BR" w:eastAsia="pt-BR" w:bidi="ar-SA"/>
        </w:rPr>
        <w:t>do</w:t>
      </w:r>
      <w:r w:rsidRPr="00F65B63">
        <w:rPr>
          <w:sz w:val="24"/>
          <w:szCs w:val="24"/>
          <w:lang w:val="pt-BR" w:eastAsia="pt-BR" w:bidi="ar-SA"/>
        </w:rPr>
        <w:t xml:space="preserve"> tema versado no R</w:t>
      </w:r>
      <w:r w:rsidR="004778B0" w:rsidRPr="00F65B63">
        <w:rPr>
          <w:sz w:val="24"/>
          <w:szCs w:val="24"/>
          <w:lang w:val="pt-BR" w:eastAsia="pt-BR" w:bidi="ar-SA"/>
        </w:rPr>
        <w:t xml:space="preserve">ecurso </w:t>
      </w:r>
      <w:r w:rsidRPr="00F65B63">
        <w:rPr>
          <w:sz w:val="24"/>
          <w:szCs w:val="24"/>
          <w:lang w:val="pt-BR" w:eastAsia="pt-BR" w:bidi="ar-SA"/>
        </w:rPr>
        <w:t>E</w:t>
      </w:r>
      <w:r w:rsidR="004778B0" w:rsidRPr="00F65B63">
        <w:rPr>
          <w:sz w:val="24"/>
          <w:szCs w:val="24"/>
          <w:lang w:val="pt-BR" w:eastAsia="pt-BR" w:bidi="ar-SA"/>
        </w:rPr>
        <w:t>xtraordinário</w:t>
      </w:r>
      <w:r w:rsidRPr="00F65B63">
        <w:rPr>
          <w:sz w:val="24"/>
          <w:szCs w:val="24"/>
          <w:lang w:val="pt-BR" w:eastAsia="pt-BR" w:bidi="ar-SA"/>
        </w:rPr>
        <w:t xml:space="preserve"> 684.612/RJ</w:t>
      </w:r>
      <w:r w:rsidR="000035A4" w:rsidRPr="00F65B63">
        <w:rPr>
          <w:sz w:val="24"/>
          <w:szCs w:val="24"/>
          <w:lang w:val="pt-BR" w:eastAsia="pt-BR" w:bidi="ar-SA"/>
        </w:rPr>
        <w:t xml:space="preserve"> </w:t>
      </w:r>
      <w:r w:rsidRPr="00F65B63">
        <w:rPr>
          <w:sz w:val="24"/>
          <w:szCs w:val="24"/>
          <w:lang w:val="pt-BR" w:eastAsia="pt-BR" w:bidi="ar-SA"/>
        </w:rPr>
        <w:t>(T</w:t>
      </w:r>
      <w:r w:rsidR="004778B0" w:rsidRPr="00F65B63">
        <w:rPr>
          <w:sz w:val="24"/>
          <w:szCs w:val="24"/>
          <w:lang w:val="pt-BR" w:eastAsia="pt-BR" w:bidi="ar-SA"/>
        </w:rPr>
        <w:t>ema</w:t>
      </w:r>
      <w:r w:rsidRPr="00F65B63">
        <w:rPr>
          <w:sz w:val="24"/>
          <w:szCs w:val="24"/>
          <w:lang w:val="pt-BR" w:eastAsia="pt-BR" w:bidi="ar-SA"/>
        </w:rPr>
        <w:t xml:space="preserve"> 698</w:t>
      </w:r>
      <w:r w:rsidR="000035A4" w:rsidRPr="00F65B63">
        <w:rPr>
          <w:sz w:val="24"/>
          <w:szCs w:val="24"/>
          <w:lang w:val="pt-BR" w:eastAsia="pt-BR" w:bidi="ar-SA"/>
        </w:rPr>
        <w:t>), conforme a ementa que segue</w:t>
      </w:r>
      <w:r w:rsidR="001C10C4" w:rsidRPr="00F65B63">
        <w:rPr>
          <w:sz w:val="24"/>
          <w:szCs w:val="24"/>
          <w:lang w:val="pt-BR" w:eastAsia="pt-BR" w:bidi="ar-SA"/>
        </w:rPr>
        <w:t>:</w:t>
      </w:r>
    </w:p>
    <w:p w14:paraId="517A7B32" w14:textId="77777777" w:rsidR="001C10C4" w:rsidRPr="00F65B63" w:rsidRDefault="001C10C4" w:rsidP="001C10C4">
      <w:pPr>
        <w:spacing w:line="360" w:lineRule="auto"/>
        <w:jc w:val="both"/>
        <w:rPr>
          <w:sz w:val="24"/>
          <w:szCs w:val="24"/>
        </w:rPr>
      </w:pPr>
    </w:p>
    <w:p w14:paraId="7FBA5A0C" w14:textId="0AFFAD61" w:rsidR="00D77682" w:rsidRPr="00F65B63" w:rsidRDefault="00AD6CAC" w:rsidP="00200830">
      <w:pPr>
        <w:spacing w:line="360" w:lineRule="auto"/>
        <w:ind w:left="2268"/>
        <w:jc w:val="both"/>
      </w:pPr>
      <w:r w:rsidRPr="00F65B63">
        <w:t>“</w:t>
      </w:r>
      <w:r w:rsidR="001C10C4" w:rsidRPr="00F65B63">
        <w:t>ADMINISTRATIVO E CONSTITUCIONAL. IMPLEMENTAÇÃO DE POLÍTICAS PÚBLICAS ESPECI</w:t>
      </w:r>
      <w:r w:rsidR="00200830" w:rsidRPr="00F65B63">
        <w:t>FIC</w:t>
      </w:r>
      <w:r w:rsidR="001C10C4" w:rsidRPr="00F65B63">
        <w:t>AMENTE QUANTO À SUFICIÊNCIA DE PROFISSIONAIS NA ÁREA DE SAÚDE. ALEGADA CONTRARIEDADE AOS ARTS. 2º E 196 DA CONSTITUIÇÃO DA REPÚBLICA. Repercussão geral reconhecida do tema relativo aos limites da competência do Poder Judiciário para determinar obrigações de fazer ao Estado, consistentes em concursos públicos, contratação de servidores e execução de obras que atendam o direito social da saúde, ao qual a Constituição da República garante especial proteção</w:t>
      </w:r>
      <w:r w:rsidRPr="00F65B63">
        <w:t>”</w:t>
      </w:r>
      <w:r w:rsidR="001C10C4" w:rsidRPr="00F65B63">
        <w:t>.</w:t>
      </w:r>
      <w:r w:rsidR="00D77682" w:rsidRPr="00F65B63">
        <w:t xml:space="preserve"> </w:t>
      </w:r>
    </w:p>
    <w:p w14:paraId="4247FF7C" w14:textId="77777777" w:rsidR="00D77682" w:rsidRPr="00F65B63" w:rsidRDefault="00D77682" w:rsidP="00D77682">
      <w:pPr>
        <w:spacing w:line="360" w:lineRule="auto"/>
        <w:jc w:val="both"/>
        <w:rPr>
          <w:sz w:val="24"/>
          <w:szCs w:val="24"/>
        </w:rPr>
      </w:pPr>
    </w:p>
    <w:p w14:paraId="5CA2C3B8" w14:textId="5B0266B2" w:rsidR="00193DF0" w:rsidRPr="00F65B63" w:rsidRDefault="00AD6CAC" w:rsidP="00D77682">
      <w:pPr>
        <w:spacing w:line="360" w:lineRule="auto"/>
        <w:ind w:firstLine="708"/>
        <w:jc w:val="both"/>
        <w:rPr>
          <w:sz w:val="24"/>
          <w:szCs w:val="24"/>
        </w:rPr>
      </w:pPr>
      <w:r w:rsidRPr="00F65B63">
        <w:rPr>
          <w:sz w:val="24"/>
          <w:szCs w:val="24"/>
        </w:rPr>
        <w:t>Esse</w:t>
      </w:r>
      <w:r w:rsidR="00D77682" w:rsidRPr="00F65B63">
        <w:rPr>
          <w:sz w:val="24"/>
          <w:szCs w:val="24"/>
        </w:rPr>
        <w:t xml:space="preserve"> </w:t>
      </w:r>
      <w:r w:rsidR="00D77682" w:rsidRPr="00F65B63">
        <w:rPr>
          <w:i/>
          <w:iCs/>
          <w:sz w:val="24"/>
          <w:szCs w:val="24"/>
        </w:rPr>
        <w:t xml:space="preserve">leading case </w:t>
      </w:r>
      <w:r w:rsidR="00D77682" w:rsidRPr="00F65B63">
        <w:rPr>
          <w:sz w:val="24"/>
          <w:szCs w:val="24"/>
        </w:rPr>
        <w:t>envolve</w:t>
      </w:r>
      <w:r w:rsidRPr="00F65B63">
        <w:rPr>
          <w:sz w:val="24"/>
          <w:szCs w:val="24"/>
        </w:rPr>
        <w:t xml:space="preserve"> uma</w:t>
      </w:r>
      <w:r w:rsidR="00D77682" w:rsidRPr="00F65B63">
        <w:rPr>
          <w:sz w:val="24"/>
          <w:szCs w:val="24"/>
        </w:rPr>
        <w:t xml:space="preserve"> ação civil pública </w:t>
      </w:r>
      <w:r w:rsidR="00193DF0" w:rsidRPr="00F65B63">
        <w:rPr>
          <w:sz w:val="24"/>
          <w:szCs w:val="24"/>
        </w:rPr>
        <w:t xml:space="preserve">(nº 0048233-21.2003.8.19.0001) </w:t>
      </w:r>
      <w:r w:rsidR="00D77682" w:rsidRPr="00F65B63">
        <w:rPr>
          <w:sz w:val="24"/>
          <w:szCs w:val="24"/>
        </w:rPr>
        <w:t>ajuizada pelo Ministério Público do Estado do Rio de Janeiro</w:t>
      </w:r>
      <w:r w:rsidR="00193DF0" w:rsidRPr="00F65B63">
        <w:rPr>
          <w:sz w:val="24"/>
          <w:szCs w:val="24"/>
        </w:rPr>
        <w:t xml:space="preserve"> contra o Município do Rio de Janeiro</w:t>
      </w:r>
      <w:r w:rsidR="00D77682" w:rsidRPr="00F65B63">
        <w:rPr>
          <w:sz w:val="24"/>
          <w:szCs w:val="24"/>
        </w:rPr>
        <w:t xml:space="preserve"> em razão d</w:t>
      </w:r>
      <w:r w:rsidRPr="00F65B63">
        <w:rPr>
          <w:sz w:val="24"/>
          <w:szCs w:val="24"/>
        </w:rPr>
        <w:t>a</w:t>
      </w:r>
      <w:r w:rsidR="00193DF0" w:rsidRPr="00F65B63">
        <w:rPr>
          <w:sz w:val="24"/>
          <w:szCs w:val="24"/>
        </w:rPr>
        <w:t>s precárias condições de estrutura e atendimento n</w:t>
      </w:r>
      <w:r w:rsidR="00D77682" w:rsidRPr="00F65B63">
        <w:rPr>
          <w:sz w:val="24"/>
          <w:szCs w:val="24"/>
        </w:rPr>
        <w:t>o Hospital</w:t>
      </w:r>
      <w:r w:rsidR="00193DF0" w:rsidRPr="00F65B63">
        <w:rPr>
          <w:sz w:val="24"/>
          <w:szCs w:val="24"/>
        </w:rPr>
        <w:t xml:space="preserve"> Municipal</w:t>
      </w:r>
      <w:r w:rsidR="00D77682" w:rsidRPr="00F65B63">
        <w:rPr>
          <w:sz w:val="24"/>
          <w:szCs w:val="24"/>
        </w:rPr>
        <w:t xml:space="preserve"> Salgado Filho. </w:t>
      </w:r>
    </w:p>
    <w:p w14:paraId="53CF98C2" w14:textId="55A5AFC4" w:rsidR="00193DF0" w:rsidRPr="00F65B63" w:rsidRDefault="00193DF0" w:rsidP="00193DF0">
      <w:pPr>
        <w:spacing w:line="360" w:lineRule="auto"/>
        <w:ind w:firstLine="720"/>
        <w:jc w:val="both"/>
        <w:rPr>
          <w:sz w:val="24"/>
          <w:szCs w:val="24"/>
        </w:rPr>
      </w:pPr>
      <w:r w:rsidRPr="00F65B63">
        <w:rPr>
          <w:sz w:val="24"/>
          <w:szCs w:val="24"/>
        </w:rPr>
        <w:t>O pedido foi julgado improcedente, mas a 6ª Câmara Cível do T</w:t>
      </w:r>
      <w:r w:rsidR="004778B0" w:rsidRPr="00F65B63">
        <w:rPr>
          <w:sz w:val="24"/>
          <w:szCs w:val="24"/>
        </w:rPr>
        <w:t>JRJ</w:t>
      </w:r>
      <w:r w:rsidRPr="00F65B63">
        <w:rPr>
          <w:sz w:val="24"/>
          <w:szCs w:val="24"/>
        </w:rPr>
        <w:t xml:space="preserve">, por unanimidade, deu provimento à apelação interposta pelo MPRJ, </w:t>
      </w:r>
      <w:r w:rsidR="004778B0" w:rsidRPr="00F65B63">
        <w:rPr>
          <w:sz w:val="24"/>
          <w:szCs w:val="24"/>
        </w:rPr>
        <w:t xml:space="preserve">condenando </w:t>
      </w:r>
      <w:r w:rsidRPr="00F65B63">
        <w:rPr>
          <w:sz w:val="24"/>
          <w:szCs w:val="24"/>
        </w:rPr>
        <w:t xml:space="preserve">o réu </w:t>
      </w:r>
      <w:r w:rsidR="004778B0" w:rsidRPr="00F65B63">
        <w:rPr>
          <w:sz w:val="24"/>
          <w:szCs w:val="24"/>
        </w:rPr>
        <w:t>à implementação das</w:t>
      </w:r>
      <w:r w:rsidRPr="00F65B63">
        <w:rPr>
          <w:sz w:val="24"/>
          <w:szCs w:val="24"/>
        </w:rPr>
        <w:t xml:space="preserve"> seguintes obrigações de fazer: </w:t>
      </w:r>
      <w:r w:rsidRPr="00F65B63">
        <w:rPr>
          <w:i/>
          <w:sz w:val="24"/>
          <w:szCs w:val="24"/>
        </w:rPr>
        <w:t xml:space="preserve">(a) </w:t>
      </w:r>
      <w:r w:rsidRPr="00F65B63">
        <w:rPr>
          <w:sz w:val="24"/>
          <w:szCs w:val="24"/>
        </w:rPr>
        <w:t xml:space="preserve">o suprimento do déficit de pessoal mencionado no demonstrativo encaminhado pela própria direção do hospital, por meio da realização de concurso público de provas </w:t>
      </w:r>
      <w:r w:rsidRPr="00F65B63">
        <w:rPr>
          <w:sz w:val="24"/>
          <w:szCs w:val="24"/>
        </w:rPr>
        <w:lastRenderedPageBreak/>
        <w:t>e títulos para provimento dos cargos de médico e funcionários técnicos, com a nomeação e posse dos profissionais aprovados no certame;</w:t>
      </w:r>
      <w:r w:rsidR="004778B0" w:rsidRPr="00F65B63">
        <w:rPr>
          <w:sz w:val="24"/>
          <w:szCs w:val="24"/>
        </w:rPr>
        <w:t xml:space="preserve"> e</w:t>
      </w:r>
      <w:r w:rsidRPr="00F65B63">
        <w:rPr>
          <w:sz w:val="24"/>
          <w:szCs w:val="24"/>
        </w:rPr>
        <w:t xml:space="preserve"> </w:t>
      </w:r>
      <w:r w:rsidRPr="00F65B63">
        <w:rPr>
          <w:i/>
          <w:sz w:val="24"/>
          <w:szCs w:val="24"/>
        </w:rPr>
        <w:t>(b)</w:t>
      </w:r>
      <w:r w:rsidRPr="00F65B63">
        <w:rPr>
          <w:sz w:val="24"/>
          <w:szCs w:val="24"/>
        </w:rPr>
        <w:t xml:space="preserve"> a correção dos procedimentos e o saneamento das irregularidades expostas no relatório do Conselho Regional de Medicina, no prazo de 6 (seis) meses, sob pena de multa diária de R$ 5.000,00 (cinco mil reais</w:t>
      </w:r>
      <w:r w:rsidR="004778B0" w:rsidRPr="00F65B63">
        <w:rPr>
          <w:sz w:val="24"/>
          <w:szCs w:val="24"/>
        </w:rPr>
        <w:t>)</w:t>
      </w:r>
      <w:r w:rsidRPr="00F65B63">
        <w:rPr>
          <w:sz w:val="24"/>
          <w:szCs w:val="24"/>
        </w:rPr>
        <w:t xml:space="preserve">. O Município interpôs o mencionado Recurso Extraordinário (RE 684.612), </w:t>
      </w:r>
      <w:r w:rsidRPr="00F65B63">
        <w:rPr>
          <w:i/>
          <w:iCs/>
          <w:sz w:val="24"/>
          <w:szCs w:val="24"/>
        </w:rPr>
        <w:t>leading case</w:t>
      </w:r>
      <w:r w:rsidRPr="00F65B63">
        <w:rPr>
          <w:sz w:val="24"/>
          <w:szCs w:val="24"/>
        </w:rPr>
        <w:t xml:space="preserve"> do Tema 698 do STF</w:t>
      </w:r>
      <w:r w:rsidR="004778B0" w:rsidRPr="00F65B63">
        <w:rPr>
          <w:rStyle w:val="Refdenotaderodap"/>
          <w:sz w:val="24"/>
          <w:szCs w:val="24"/>
        </w:rPr>
        <w:footnoteReference w:id="1"/>
      </w:r>
      <w:r w:rsidRPr="00F65B63">
        <w:rPr>
          <w:sz w:val="24"/>
          <w:szCs w:val="24"/>
        </w:rPr>
        <w:t>.</w:t>
      </w:r>
    </w:p>
    <w:p w14:paraId="6FF75A1A" w14:textId="2D80CC94" w:rsidR="001C10C4" w:rsidRPr="00F65B63" w:rsidRDefault="001C10C4" w:rsidP="001C10C4">
      <w:pPr>
        <w:spacing w:line="360" w:lineRule="auto"/>
        <w:ind w:firstLine="720"/>
        <w:jc w:val="both"/>
        <w:rPr>
          <w:sz w:val="24"/>
          <w:szCs w:val="24"/>
        </w:rPr>
      </w:pPr>
      <w:r w:rsidRPr="00F65B63">
        <w:rPr>
          <w:sz w:val="24"/>
          <w:szCs w:val="24"/>
        </w:rPr>
        <w:t>Em 03 de julho de 2023, o S</w:t>
      </w:r>
      <w:r w:rsidR="004778B0" w:rsidRPr="00F65B63">
        <w:rPr>
          <w:sz w:val="24"/>
          <w:szCs w:val="24"/>
        </w:rPr>
        <w:t>TF</w:t>
      </w:r>
      <w:r w:rsidRPr="00F65B63">
        <w:rPr>
          <w:sz w:val="24"/>
          <w:szCs w:val="24"/>
        </w:rPr>
        <w:t xml:space="preserve"> julgou </w:t>
      </w:r>
      <w:r w:rsidR="004778B0" w:rsidRPr="00F65B63">
        <w:rPr>
          <w:sz w:val="24"/>
          <w:szCs w:val="24"/>
        </w:rPr>
        <w:t>referido</w:t>
      </w:r>
      <w:r w:rsidRPr="00F65B63">
        <w:rPr>
          <w:sz w:val="24"/>
          <w:szCs w:val="24"/>
        </w:rPr>
        <w:t xml:space="preserve"> </w:t>
      </w:r>
      <w:r w:rsidR="005A7CF2" w:rsidRPr="00F65B63">
        <w:rPr>
          <w:sz w:val="24"/>
          <w:szCs w:val="24"/>
        </w:rPr>
        <w:t xml:space="preserve">recurso, tendo fixado tese ao </w:t>
      </w:r>
      <w:r w:rsidRPr="00F65B63">
        <w:rPr>
          <w:sz w:val="24"/>
          <w:szCs w:val="24"/>
        </w:rPr>
        <w:t>tema</w:t>
      </w:r>
      <w:r w:rsidR="00200830" w:rsidRPr="00F65B63">
        <w:rPr>
          <w:rStyle w:val="Refdenotaderodap"/>
          <w:sz w:val="24"/>
          <w:szCs w:val="24"/>
        </w:rPr>
        <w:footnoteReference w:id="2"/>
      </w:r>
      <w:r w:rsidRPr="00F65B63">
        <w:rPr>
          <w:sz w:val="24"/>
          <w:szCs w:val="24"/>
        </w:rPr>
        <w:t xml:space="preserve">. </w:t>
      </w:r>
      <w:r w:rsidR="004778B0" w:rsidRPr="00F65B63">
        <w:rPr>
          <w:sz w:val="24"/>
          <w:szCs w:val="24"/>
        </w:rPr>
        <w:t>Segue ementa,</w:t>
      </w:r>
      <w:r w:rsidRPr="00F65B63">
        <w:rPr>
          <w:i/>
          <w:iCs/>
          <w:sz w:val="24"/>
          <w:szCs w:val="24"/>
        </w:rPr>
        <w:t xml:space="preserve"> </w:t>
      </w:r>
      <w:r w:rsidR="004778B0" w:rsidRPr="00F65B63">
        <w:rPr>
          <w:i/>
          <w:iCs/>
          <w:sz w:val="24"/>
          <w:szCs w:val="24"/>
        </w:rPr>
        <w:t>in v</w:t>
      </w:r>
      <w:r w:rsidRPr="00F65B63">
        <w:rPr>
          <w:i/>
          <w:iCs/>
          <w:sz w:val="24"/>
          <w:szCs w:val="24"/>
        </w:rPr>
        <w:t>erbis</w:t>
      </w:r>
      <w:r w:rsidRPr="00F65B63">
        <w:rPr>
          <w:sz w:val="24"/>
          <w:szCs w:val="24"/>
        </w:rPr>
        <w:t>:</w:t>
      </w:r>
    </w:p>
    <w:p w14:paraId="7F488E0E" w14:textId="7A52497D" w:rsidR="001C10C4" w:rsidRPr="00F65B63" w:rsidRDefault="001C10C4" w:rsidP="001C10C4">
      <w:pPr>
        <w:spacing w:line="360" w:lineRule="auto"/>
        <w:ind w:firstLine="720"/>
        <w:jc w:val="both"/>
        <w:rPr>
          <w:sz w:val="24"/>
          <w:szCs w:val="24"/>
        </w:rPr>
      </w:pPr>
    </w:p>
    <w:p w14:paraId="5D2B177C" w14:textId="77777777" w:rsidR="004778B0" w:rsidRPr="00F65B63" w:rsidRDefault="004778B0" w:rsidP="00200830">
      <w:pPr>
        <w:spacing w:line="360" w:lineRule="auto"/>
        <w:ind w:left="2268"/>
        <w:jc w:val="both"/>
      </w:pPr>
      <w:r w:rsidRPr="00F65B63">
        <w:t xml:space="preserve">DIREITO CONSTITUCIONAL E ADMINISTRATIVO. RECURSO EXTRAORDINÁRIO COM REPERCUSSÃO GERAL. INTERVENÇÃO DO PODER JUDICIÁRIO EM POLÍTICAS PÚBLICAS. DIREITO SOCIAL À SAÚDE. </w:t>
      </w:r>
    </w:p>
    <w:p w14:paraId="43AECDBE" w14:textId="77777777" w:rsidR="004778B0" w:rsidRPr="00F65B63" w:rsidRDefault="004778B0" w:rsidP="00200830">
      <w:pPr>
        <w:spacing w:line="360" w:lineRule="auto"/>
        <w:ind w:left="2268"/>
        <w:jc w:val="both"/>
      </w:pPr>
    </w:p>
    <w:p w14:paraId="41957C34" w14:textId="77777777" w:rsidR="004778B0" w:rsidRPr="00F65B63" w:rsidRDefault="004778B0" w:rsidP="00200830">
      <w:pPr>
        <w:spacing w:line="360" w:lineRule="auto"/>
        <w:ind w:left="2268"/>
        <w:jc w:val="both"/>
      </w:pPr>
      <w:r w:rsidRPr="00F65B63">
        <w:t xml:space="preserve">1. Recurso extraordinário, com repercussão geral, que discute os limites do Poder Judiciário para determinar obrigações de fazer ao Estado, consistentes na realização de concursos públicos, contratação de servidores e execução de obras que atendam o direito social da saúde. No caso concreto, busca-se a condenação do Município à realização de concurso público para provimento de cargos em hospital específico, além da correção de irregularidades apontadas em relatório do Conselho Regional de Medicina. </w:t>
      </w:r>
    </w:p>
    <w:p w14:paraId="63494C51" w14:textId="77777777" w:rsidR="004778B0" w:rsidRPr="00F65B63" w:rsidRDefault="004778B0" w:rsidP="00200830">
      <w:pPr>
        <w:spacing w:line="360" w:lineRule="auto"/>
        <w:ind w:left="2268"/>
        <w:jc w:val="both"/>
      </w:pPr>
    </w:p>
    <w:p w14:paraId="703BE209" w14:textId="77777777" w:rsidR="004778B0" w:rsidRPr="00F65B63" w:rsidRDefault="004778B0" w:rsidP="00200830">
      <w:pPr>
        <w:spacing w:line="360" w:lineRule="auto"/>
        <w:ind w:left="2268"/>
        <w:jc w:val="both"/>
      </w:pPr>
      <w:r w:rsidRPr="00F65B63">
        <w:t xml:space="preserve">2. O acórdão recorrido determinou ao Município: (i) o suprimento do déficit de pessoal, especificamente por meio da realização de concurso público de provas e títulos para provimento dos cargos de médico e funcionários técnicos, com a nomeação e posse dos profissionais aprovados no certame; e (ii) a correção dos procedimentos e o saneamento das irregularidades expostas no relatório do Conselho Regional de Medicina, com a fixação de prazo e multa pelo descumprimento. </w:t>
      </w:r>
    </w:p>
    <w:p w14:paraId="7F2E0B88" w14:textId="77777777" w:rsidR="004778B0" w:rsidRPr="00F65B63" w:rsidRDefault="004778B0" w:rsidP="00200830">
      <w:pPr>
        <w:spacing w:line="360" w:lineRule="auto"/>
        <w:ind w:left="2268"/>
        <w:jc w:val="both"/>
      </w:pPr>
    </w:p>
    <w:p w14:paraId="7812BC73" w14:textId="77777777" w:rsidR="004778B0" w:rsidRPr="00F65B63" w:rsidRDefault="004778B0" w:rsidP="00200830">
      <w:pPr>
        <w:spacing w:line="360" w:lineRule="auto"/>
        <w:ind w:left="2268"/>
        <w:jc w:val="both"/>
      </w:pPr>
      <w:r w:rsidRPr="00F65B63">
        <w:t xml:space="preserve">3. A saúde é um bem jurídico constitucionalmente tutelado, por cuja integridade deve zelar o Poder Público, a quem incumbe formular - e implementar - políticas sociais e econômicas que visem a garantir, aos cidadãos, o acesso universal e igualitário às ações e serviços para sua promoção, proteção e recuperação. </w:t>
      </w:r>
    </w:p>
    <w:p w14:paraId="4F46B2F7" w14:textId="77777777" w:rsidR="004778B0" w:rsidRPr="00F65B63" w:rsidRDefault="004778B0" w:rsidP="00200830">
      <w:pPr>
        <w:spacing w:line="360" w:lineRule="auto"/>
        <w:ind w:left="2268"/>
        <w:jc w:val="both"/>
      </w:pPr>
    </w:p>
    <w:p w14:paraId="21756F28" w14:textId="77777777" w:rsidR="004778B0" w:rsidRPr="00F65B63" w:rsidRDefault="004778B0" w:rsidP="00200830">
      <w:pPr>
        <w:spacing w:line="360" w:lineRule="auto"/>
        <w:ind w:left="2268"/>
        <w:jc w:val="both"/>
      </w:pPr>
      <w:r w:rsidRPr="00F65B63">
        <w:t xml:space="preserve">4. A intervenção casuística do Poder Judiciário, definindo a forma de contratação de pessoal e da gestão dos serviços de saúde, coloca em risco a própria continuidade das políticas públicas de saúde, já que desorganiza a atividade administrativa e compromete a alocação racional dos escassos recursos públicos. Necessidade de se estabelecer parâmetros para que a atuação judicial seja pautada por critérios de razoabilidade e eficiência, respeitado o espaço de discricionariedade do administrador. </w:t>
      </w:r>
    </w:p>
    <w:p w14:paraId="012E669C" w14:textId="77777777" w:rsidR="004778B0" w:rsidRPr="00F65B63" w:rsidRDefault="004778B0" w:rsidP="00200830">
      <w:pPr>
        <w:spacing w:line="360" w:lineRule="auto"/>
        <w:ind w:left="2268"/>
        <w:jc w:val="both"/>
      </w:pPr>
    </w:p>
    <w:p w14:paraId="1910326E" w14:textId="77777777" w:rsidR="004778B0" w:rsidRPr="00F65B63" w:rsidRDefault="004778B0" w:rsidP="00200830">
      <w:pPr>
        <w:spacing w:line="360" w:lineRule="auto"/>
        <w:ind w:left="2268"/>
        <w:jc w:val="both"/>
      </w:pPr>
      <w:r w:rsidRPr="00F65B63">
        <w:t xml:space="preserve">5. Parcial provimento do recurso extraordinário, para anular o acórdão recorrido e determinar o retorno dos autos à origem, para novo exame da matéria, de acordo com as circunstâncias fáticas atuais do Hospital Municipal Salgado Filho e com os parâmetros aqui fixados. </w:t>
      </w:r>
    </w:p>
    <w:p w14:paraId="3E4C8194" w14:textId="77777777" w:rsidR="004778B0" w:rsidRPr="00F65B63" w:rsidRDefault="004778B0" w:rsidP="00200830">
      <w:pPr>
        <w:spacing w:line="360" w:lineRule="auto"/>
        <w:ind w:left="2268"/>
        <w:jc w:val="both"/>
      </w:pPr>
    </w:p>
    <w:p w14:paraId="41DA475B" w14:textId="6E45DB2E" w:rsidR="004778B0" w:rsidRPr="00F65B63" w:rsidRDefault="004778B0" w:rsidP="00200830">
      <w:pPr>
        <w:spacing w:line="360" w:lineRule="auto"/>
        <w:ind w:left="2268"/>
        <w:jc w:val="both"/>
      </w:pPr>
      <w:r w:rsidRPr="00F65B63">
        <w:t>6. Fixação das seguintes teses de julgamento: “1. A intervenção do Poder Judiciário em políticas públicas voltadas à realização de direitos fundamentais, em caso de ausência ou deficiência grave do serviço, não viola o princípio da separação dos poderes. 2. A decisão judicial, como regra, em lugar de determinar medidas pontuais, deve apontar as finalidades a serem alcançadas e determinar à Administração Pública que apresente um plano e/ou os meios adequados para alcançar o resultado</w:t>
      </w:r>
      <w:r w:rsidR="00200830" w:rsidRPr="00F65B63">
        <w:t>.</w:t>
      </w:r>
      <w:r w:rsidRPr="00F65B63">
        <w:t xml:space="preserve"> 3. No caso de serviços de saúde, o déficit de profissionais pode ser suprido por concurso público ou, por exemplo, pelo remanejamento de recursos humanos e pela contratação de organizações sociais (OS) e organizações da sociedade civil de interesse público (OSCIP)”.</w:t>
      </w:r>
    </w:p>
    <w:p w14:paraId="2C5FC0A3" w14:textId="12F90EC1" w:rsidR="002058D8" w:rsidRPr="00F65B63" w:rsidRDefault="002058D8" w:rsidP="002058D8">
      <w:pPr>
        <w:spacing w:line="360" w:lineRule="auto"/>
        <w:jc w:val="both"/>
        <w:rPr>
          <w:sz w:val="24"/>
          <w:szCs w:val="24"/>
          <w:shd w:val="clear" w:color="auto" w:fill="FFFFFF"/>
        </w:rPr>
      </w:pPr>
      <w:bookmarkStart w:id="4" w:name="_Toc124157110"/>
      <w:bookmarkStart w:id="5" w:name="_Toc124428788"/>
      <w:bookmarkEnd w:id="0"/>
    </w:p>
    <w:p w14:paraId="77B7CF49" w14:textId="3DBB14FC" w:rsidR="00193DF0" w:rsidRPr="00F65B63" w:rsidRDefault="0059688B" w:rsidP="002058D8">
      <w:pPr>
        <w:spacing w:line="360" w:lineRule="auto"/>
        <w:jc w:val="both"/>
        <w:rPr>
          <w:sz w:val="24"/>
          <w:szCs w:val="24"/>
          <w:shd w:val="clear" w:color="auto" w:fill="FFFFFF"/>
        </w:rPr>
      </w:pPr>
      <w:r w:rsidRPr="00F65B63">
        <w:rPr>
          <w:sz w:val="24"/>
          <w:szCs w:val="24"/>
          <w:shd w:val="clear" w:color="auto" w:fill="FFFFFF"/>
        </w:rPr>
        <w:tab/>
        <w:t>Trata-se de tema muito relevante e de grande impacto à Administração Pública, bem como à Advocacia Pública, pelo que restou escolhido para a elaboração do presente artigo jurídico.</w:t>
      </w:r>
    </w:p>
    <w:p w14:paraId="7C903FF0" w14:textId="77777777" w:rsidR="0059688B" w:rsidRPr="00F65B63" w:rsidRDefault="0059688B" w:rsidP="002058D8">
      <w:pPr>
        <w:spacing w:line="360" w:lineRule="auto"/>
        <w:jc w:val="both"/>
        <w:rPr>
          <w:sz w:val="24"/>
          <w:szCs w:val="24"/>
          <w:shd w:val="clear" w:color="auto" w:fill="FFFFFF"/>
        </w:rPr>
      </w:pPr>
    </w:p>
    <w:p w14:paraId="3A200FCE" w14:textId="3536182F" w:rsidR="002058D8" w:rsidRPr="00F65B63" w:rsidRDefault="002058D8" w:rsidP="002058D8">
      <w:pPr>
        <w:spacing w:line="360" w:lineRule="auto"/>
        <w:jc w:val="both"/>
        <w:rPr>
          <w:sz w:val="24"/>
          <w:szCs w:val="24"/>
        </w:rPr>
      </w:pPr>
      <w:r w:rsidRPr="00F65B63">
        <w:rPr>
          <w:sz w:val="24"/>
          <w:szCs w:val="24"/>
          <w:shd w:val="clear" w:color="auto" w:fill="FFFFFF"/>
        </w:rPr>
        <w:tab/>
        <w:t>2</w:t>
      </w:r>
      <w:r w:rsidR="008428DE" w:rsidRPr="00F65B63">
        <w:rPr>
          <w:sz w:val="24"/>
          <w:szCs w:val="24"/>
          <w:shd w:val="clear" w:color="auto" w:fill="FFFFFF"/>
        </w:rPr>
        <w:t>.</w:t>
      </w:r>
      <w:r w:rsidRPr="00F65B63">
        <w:rPr>
          <w:sz w:val="24"/>
          <w:szCs w:val="24"/>
          <w:shd w:val="clear" w:color="auto" w:fill="FFFFFF"/>
        </w:rPr>
        <w:t xml:space="preserve"> AS </w:t>
      </w:r>
      <w:r w:rsidRPr="00F65B63">
        <w:rPr>
          <w:i/>
          <w:iCs/>
          <w:sz w:val="24"/>
          <w:szCs w:val="24"/>
          <w:shd w:val="clear" w:color="auto" w:fill="FFFFFF"/>
        </w:rPr>
        <w:t>STRUCTURAL INJUNCTIONS</w:t>
      </w:r>
    </w:p>
    <w:p w14:paraId="23EB9278" w14:textId="35E0F10E" w:rsidR="002058D8" w:rsidRPr="00F65B63" w:rsidRDefault="002058D8" w:rsidP="002058D8">
      <w:pPr>
        <w:pStyle w:val="Ttulo2"/>
        <w:spacing w:before="0" w:after="0"/>
        <w:ind w:left="788"/>
        <w:rPr>
          <w:rFonts w:cs="Times New Roman"/>
          <w:i/>
          <w:iCs/>
          <w:szCs w:val="24"/>
        </w:rPr>
      </w:pPr>
    </w:p>
    <w:p w14:paraId="0402F553" w14:textId="77777777" w:rsidR="00497997" w:rsidRPr="00F65B63" w:rsidRDefault="00497997" w:rsidP="00497997">
      <w:pPr>
        <w:spacing w:line="360" w:lineRule="auto"/>
        <w:ind w:firstLine="720"/>
        <w:jc w:val="both"/>
        <w:rPr>
          <w:sz w:val="24"/>
          <w:szCs w:val="24"/>
        </w:rPr>
      </w:pPr>
      <w:r w:rsidRPr="00F65B63">
        <w:rPr>
          <w:sz w:val="24"/>
          <w:szCs w:val="24"/>
        </w:rPr>
        <w:t xml:space="preserve">Vige entre nós o sistema de </w:t>
      </w:r>
      <w:r w:rsidRPr="00F65B63">
        <w:rPr>
          <w:i/>
          <w:iCs/>
          <w:sz w:val="24"/>
          <w:szCs w:val="24"/>
        </w:rPr>
        <w:t>checks and balances</w:t>
      </w:r>
      <w:r w:rsidRPr="00F65B63">
        <w:rPr>
          <w:sz w:val="24"/>
          <w:szCs w:val="24"/>
        </w:rPr>
        <w:t xml:space="preserve">, típico do Estado de Direito, tornando </w:t>
      </w:r>
      <w:r w:rsidRPr="00F65B63">
        <w:rPr>
          <w:sz w:val="24"/>
          <w:szCs w:val="24"/>
        </w:rPr>
        <w:lastRenderedPageBreak/>
        <w:t xml:space="preserve">possível o acesso ao Judiciário para que este analise, teoricamente como </w:t>
      </w:r>
      <w:r w:rsidRPr="00F65B63">
        <w:rPr>
          <w:i/>
          <w:iCs/>
          <w:sz w:val="24"/>
          <w:szCs w:val="24"/>
        </w:rPr>
        <w:t>ultima ratio</w:t>
      </w:r>
      <w:r w:rsidRPr="00F65B63">
        <w:rPr>
          <w:sz w:val="24"/>
          <w:szCs w:val="24"/>
        </w:rPr>
        <w:t>, atos administrativos eivados de ilegalidade, inconstitucionalidade, abuso de poder e/ou omissão.</w:t>
      </w:r>
    </w:p>
    <w:p w14:paraId="008A1D84" w14:textId="77777777" w:rsidR="00497997" w:rsidRPr="00F65B63" w:rsidRDefault="00497997" w:rsidP="00497997">
      <w:pPr>
        <w:spacing w:line="360" w:lineRule="auto"/>
        <w:ind w:firstLine="720"/>
        <w:jc w:val="both"/>
        <w:rPr>
          <w:sz w:val="24"/>
          <w:szCs w:val="24"/>
        </w:rPr>
      </w:pPr>
      <w:r w:rsidRPr="00F65B63">
        <w:rPr>
          <w:sz w:val="24"/>
          <w:szCs w:val="24"/>
        </w:rPr>
        <w:t xml:space="preserve">É verdade que o controle jurisdicional do ato administrativo e, por conseguinte, a intervenção jurisdicional em política pública é um fenômeno praticamente irreversível, principalmente porque fundamentados na nossa analítica Constituição Federal. </w:t>
      </w:r>
    </w:p>
    <w:p w14:paraId="4D9AF272" w14:textId="77777777" w:rsidR="00497997" w:rsidRPr="00F65B63" w:rsidRDefault="00497997" w:rsidP="00497997">
      <w:pPr>
        <w:spacing w:line="360" w:lineRule="auto"/>
        <w:ind w:firstLine="720"/>
        <w:jc w:val="both"/>
        <w:rPr>
          <w:sz w:val="24"/>
          <w:szCs w:val="24"/>
        </w:rPr>
      </w:pPr>
      <w:r w:rsidRPr="00F65B63">
        <w:rPr>
          <w:sz w:val="24"/>
          <w:szCs w:val="24"/>
        </w:rPr>
        <w:t>A este respeito, ressalta Sérgio Cruz Arenhart</w:t>
      </w:r>
      <w:r w:rsidRPr="00F65B63">
        <w:rPr>
          <w:sz w:val="24"/>
          <w:szCs w:val="24"/>
          <w:vertAlign w:val="superscript"/>
        </w:rPr>
        <w:footnoteReference w:id="3"/>
      </w:r>
      <w:r w:rsidRPr="00F65B63">
        <w:rPr>
          <w:sz w:val="24"/>
          <w:szCs w:val="24"/>
        </w:rPr>
        <w:t xml:space="preserve"> que, ainda que hajam críticas a esse controle (como a invocação da separação estanque dos Poderes e da suposta ilegitimidade democrática dos magistrados), a questão “deixa de centrar-se na discussão sobre a possibilidade dessa intervenção, passando a importar mais o debate a respeito do modo e do ambiente em que esse tipo de conflito deve ser levado à análise judicial”. </w:t>
      </w:r>
    </w:p>
    <w:p w14:paraId="4C53E0AC" w14:textId="77777777" w:rsidR="00497997" w:rsidRPr="00F65B63" w:rsidRDefault="00497997" w:rsidP="00497997">
      <w:pPr>
        <w:spacing w:line="360" w:lineRule="auto"/>
        <w:ind w:firstLine="720"/>
        <w:jc w:val="both"/>
        <w:rPr>
          <w:sz w:val="24"/>
          <w:szCs w:val="24"/>
        </w:rPr>
      </w:pPr>
      <w:r w:rsidRPr="00F65B63">
        <w:rPr>
          <w:sz w:val="24"/>
          <w:szCs w:val="24"/>
        </w:rPr>
        <w:t>As reiteradas condenações judiciais sofridas pelo Poder Público, em especial relativas à consecução de direitos sociais fundamentais, desgastam sobremaneira as relações entre os Poderes estatais, principalmente por gerarem consequências na organização das políticas públicas e, por conseguinte, em seu planejamento orçamentário.</w:t>
      </w:r>
    </w:p>
    <w:p w14:paraId="48DF02F2" w14:textId="44F8ECC0" w:rsidR="00497997" w:rsidRPr="00F65B63" w:rsidRDefault="00497997" w:rsidP="00497997">
      <w:pPr>
        <w:spacing w:line="360" w:lineRule="auto"/>
        <w:ind w:firstLine="720"/>
        <w:jc w:val="both"/>
        <w:rPr>
          <w:sz w:val="24"/>
          <w:szCs w:val="24"/>
        </w:rPr>
      </w:pPr>
      <w:r w:rsidRPr="00F65B63">
        <w:rPr>
          <w:sz w:val="24"/>
          <w:szCs w:val="24"/>
        </w:rPr>
        <w:t xml:space="preserve">O (des)cumprimento judicial nesse contexto vem demonstrando a incapacidade dos gestores públicos de realizarem um sem-número de obrigações de fazer (em regra, na forma </w:t>
      </w:r>
      <w:r w:rsidR="00BD4AFF" w:rsidRPr="00F65B63">
        <w:rPr>
          <w:sz w:val="24"/>
          <w:szCs w:val="24"/>
        </w:rPr>
        <w:t xml:space="preserve">especificamente </w:t>
      </w:r>
      <w:r w:rsidRPr="00F65B63">
        <w:rPr>
          <w:sz w:val="24"/>
          <w:szCs w:val="24"/>
        </w:rPr>
        <w:t>determinada pela parte autora e ratificada pelo juízo) em lapsos temporais aleatoriamente definidos pelo Judiciário.</w:t>
      </w:r>
    </w:p>
    <w:p w14:paraId="2E80DD4D" w14:textId="1917CF3C" w:rsidR="00497997" w:rsidRPr="00F65B63" w:rsidRDefault="00497997" w:rsidP="00497997">
      <w:pPr>
        <w:spacing w:line="360" w:lineRule="auto"/>
        <w:ind w:firstLine="720"/>
        <w:jc w:val="both"/>
        <w:rPr>
          <w:sz w:val="24"/>
          <w:szCs w:val="24"/>
        </w:rPr>
      </w:pPr>
      <w:r w:rsidRPr="00F65B63">
        <w:rPr>
          <w:sz w:val="24"/>
          <w:szCs w:val="24"/>
        </w:rPr>
        <w:t xml:space="preserve">Uma vez ocorrida </w:t>
      </w:r>
      <w:r w:rsidR="00BD4AFF" w:rsidRPr="00F65B63">
        <w:rPr>
          <w:sz w:val="24"/>
          <w:szCs w:val="24"/>
        </w:rPr>
        <w:t>ess</w:t>
      </w:r>
      <w:r w:rsidRPr="00F65B63">
        <w:rPr>
          <w:sz w:val="24"/>
          <w:szCs w:val="24"/>
        </w:rPr>
        <w:t xml:space="preserve">a intervenção, mister </w:t>
      </w:r>
      <w:r w:rsidR="00BD4AFF" w:rsidRPr="00F65B63">
        <w:rPr>
          <w:sz w:val="24"/>
          <w:szCs w:val="24"/>
        </w:rPr>
        <w:t>seja averiguada</w:t>
      </w:r>
      <w:r w:rsidRPr="00F65B63">
        <w:rPr>
          <w:sz w:val="24"/>
          <w:szCs w:val="24"/>
        </w:rPr>
        <w:t xml:space="preserve"> a forma mais adequada de cumprimento da obrigação de fazer</w:t>
      </w:r>
      <w:r w:rsidR="00BD4AFF" w:rsidRPr="00F65B63">
        <w:rPr>
          <w:sz w:val="24"/>
          <w:szCs w:val="24"/>
        </w:rPr>
        <w:t xml:space="preserve">, </w:t>
      </w:r>
      <w:r w:rsidRPr="00F65B63">
        <w:rPr>
          <w:sz w:val="24"/>
          <w:szCs w:val="24"/>
        </w:rPr>
        <w:t>considerados o regime jurídico administrativo e o excesso de judicialização. Na verdade, conforme entendimento exarado na fixação de tese do Tema 698 do STF, ao Judiciário cabe apenas a indicação das finalidades a serem atingidas, não das obrigações de fazer específicas a serem executadas.</w:t>
      </w:r>
    </w:p>
    <w:p w14:paraId="20B68F38" w14:textId="77777777" w:rsidR="00497997" w:rsidRPr="00F65B63" w:rsidRDefault="00497997" w:rsidP="00497997">
      <w:pPr>
        <w:spacing w:line="360" w:lineRule="auto"/>
        <w:ind w:firstLine="720"/>
        <w:jc w:val="both"/>
        <w:rPr>
          <w:sz w:val="24"/>
          <w:szCs w:val="24"/>
        </w:rPr>
      </w:pPr>
      <w:bookmarkStart w:id="6" w:name="_Hlk144201917"/>
      <w:r w:rsidRPr="00F65B63">
        <w:rPr>
          <w:sz w:val="24"/>
          <w:szCs w:val="24"/>
        </w:rPr>
        <w:t>Nesse contexto, surge a possibilidade de um cumprimento dialogado tanto em relação às providências a serem adotadas, quanto em relação aos prazos para essa consecução. A respeito do prazo, é sabido que o conhecido excesso dessa espécie de judicialização em face do Poder Público impede o pronto atendimento de todas as ordens judiciais dentro dos critérios e das condições definidos pelo Judiciário.</w:t>
      </w:r>
    </w:p>
    <w:p w14:paraId="16A10C52" w14:textId="1A5E008C" w:rsidR="00497997" w:rsidRPr="00F65B63" w:rsidRDefault="00497997" w:rsidP="00497997">
      <w:pPr>
        <w:spacing w:line="360" w:lineRule="auto"/>
        <w:ind w:firstLine="720"/>
        <w:jc w:val="both"/>
        <w:rPr>
          <w:sz w:val="24"/>
          <w:szCs w:val="24"/>
        </w:rPr>
      </w:pPr>
      <w:r w:rsidRPr="00F65B63">
        <w:rPr>
          <w:sz w:val="24"/>
          <w:szCs w:val="24"/>
        </w:rPr>
        <w:t>E tal não se trata de negociar o interesse público. Na verdade, com a adoção de técnicas estruturantes, pode-se promover sua efetiva tutela.</w:t>
      </w:r>
    </w:p>
    <w:bookmarkEnd w:id="6"/>
    <w:p w14:paraId="3B626960" w14:textId="77777777" w:rsidR="00497997" w:rsidRPr="00F65B63" w:rsidRDefault="00497997" w:rsidP="00497997">
      <w:pPr>
        <w:spacing w:line="360" w:lineRule="auto"/>
        <w:ind w:firstLine="720"/>
        <w:jc w:val="both"/>
        <w:rPr>
          <w:sz w:val="24"/>
          <w:szCs w:val="24"/>
          <w:highlight w:val="white"/>
        </w:rPr>
      </w:pPr>
      <w:r w:rsidRPr="00F65B63">
        <w:rPr>
          <w:sz w:val="24"/>
          <w:szCs w:val="24"/>
        </w:rPr>
        <w:lastRenderedPageBreak/>
        <w:t>Nesse sentido, Odete Medauar</w:t>
      </w:r>
      <w:r w:rsidRPr="00F65B63">
        <w:rPr>
          <w:rStyle w:val="Refdenotaderodap"/>
          <w:sz w:val="24"/>
          <w:szCs w:val="24"/>
        </w:rPr>
        <w:footnoteReference w:id="4"/>
      </w:r>
      <w:r w:rsidRPr="00F65B63">
        <w:rPr>
          <w:sz w:val="24"/>
          <w:szCs w:val="24"/>
        </w:rPr>
        <w:t>, e</w:t>
      </w:r>
      <w:r w:rsidRPr="00F65B63">
        <w:rPr>
          <w:sz w:val="24"/>
          <w:szCs w:val="24"/>
          <w:highlight w:val="white"/>
        </w:rPr>
        <w:t>m relação à tão propalada indisponibilidade do interesse público, assevera constituir-se em fórmula vaga, pelo que seria “tautológico afirmar que na atividade administrativa os bens e os interesses não estão à livre disposição dos agentes públicos”. Conclui que a alegação de indisponibilidade do interesse e dos bens públicos configura uma “barreira às práticas consensuais na Administração Pública, o que representa negação da realidade e visão desatualizada”</w:t>
      </w:r>
      <w:r w:rsidRPr="00F65B63">
        <w:rPr>
          <w:rStyle w:val="Refdenotaderodap"/>
          <w:sz w:val="24"/>
          <w:szCs w:val="24"/>
          <w:highlight w:val="white"/>
        </w:rPr>
        <w:footnoteReference w:id="5"/>
      </w:r>
      <w:r w:rsidRPr="00F65B63">
        <w:rPr>
          <w:sz w:val="24"/>
          <w:szCs w:val="24"/>
          <w:highlight w:val="white"/>
        </w:rPr>
        <w:t>.</w:t>
      </w:r>
    </w:p>
    <w:p w14:paraId="1CA90518" w14:textId="77777777" w:rsidR="00497997" w:rsidRPr="00F65B63" w:rsidRDefault="00497997" w:rsidP="00497997">
      <w:pPr>
        <w:spacing w:line="360" w:lineRule="auto"/>
        <w:ind w:firstLine="720"/>
        <w:jc w:val="both"/>
        <w:rPr>
          <w:sz w:val="24"/>
          <w:szCs w:val="24"/>
        </w:rPr>
      </w:pPr>
      <w:bookmarkStart w:id="7" w:name="_Hlk144201925"/>
      <w:r w:rsidRPr="00F65B63">
        <w:rPr>
          <w:sz w:val="24"/>
          <w:szCs w:val="24"/>
        </w:rPr>
        <w:t>O entendimento do STF no Tema 698 acaba por reservar à Administração Pública, na prática, a possibilidade de escolher os meios para que o objetivo material, indicado na decisão judicial, seja alcançado, preservando-se, assim, sua discricionariedade administrativa, inclusive, se o caso, com a adoção de um regime de transição (art. 23 da LINDB</w:t>
      </w:r>
      <w:r w:rsidRPr="00F65B63">
        <w:rPr>
          <w:rStyle w:val="Refdenotaderodap"/>
          <w:sz w:val="24"/>
          <w:szCs w:val="24"/>
        </w:rPr>
        <w:footnoteReference w:id="6"/>
      </w:r>
      <w:r w:rsidRPr="00F65B63">
        <w:rPr>
          <w:sz w:val="24"/>
          <w:szCs w:val="24"/>
        </w:rPr>
        <w:t xml:space="preserve">). </w:t>
      </w:r>
    </w:p>
    <w:p w14:paraId="79D1138A" w14:textId="2ECAF5D1" w:rsidR="00200830" w:rsidRPr="00F65B63" w:rsidRDefault="00200830" w:rsidP="00497997">
      <w:pPr>
        <w:spacing w:line="360" w:lineRule="auto"/>
        <w:ind w:firstLine="720"/>
        <w:jc w:val="both"/>
        <w:rPr>
          <w:sz w:val="24"/>
          <w:szCs w:val="24"/>
          <w:highlight w:val="white"/>
        </w:rPr>
      </w:pPr>
      <w:r w:rsidRPr="00F65B63">
        <w:rPr>
          <w:sz w:val="24"/>
          <w:szCs w:val="24"/>
        </w:rPr>
        <w:t xml:space="preserve">Ao decidir que </w:t>
      </w:r>
      <w:r w:rsidR="00BD4AFF" w:rsidRPr="00F65B63">
        <w:rPr>
          <w:sz w:val="24"/>
          <w:szCs w:val="24"/>
        </w:rPr>
        <w:t>ess</w:t>
      </w:r>
      <w:r w:rsidRPr="00F65B63">
        <w:rPr>
          <w:sz w:val="24"/>
          <w:szCs w:val="24"/>
        </w:rPr>
        <w:t>as decisões judiciais, fruto da intervenção em políticas públicas envolvendo a consecução de direitos fundamentais (“em caso de ausência ou deficiência grave do serviço”), devem, em regra, “apontar as finalidades a serem alcançadas e determinar à Administração Pública que apresente um plano e/ou os meios adequados para alcançar o resultado”, o STF determinou o emprego de técnicas estruturais</w:t>
      </w:r>
      <w:r w:rsidR="00BD4AFF" w:rsidRPr="00F65B63">
        <w:rPr>
          <w:sz w:val="24"/>
          <w:szCs w:val="24"/>
        </w:rPr>
        <w:t>/</w:t>
      </w:r>
      <w:r w:rsidR="0059688B" w:rsidRPr="00F65B63">
        <w:rPr>
          <w:sz w:val="24"/>
          <w:szCs w:val="24"/>
        </w:rPr>
        <w:t>estruturantes</w:t>
      </w:r>
      <w:r w:rsidRPr="00F65B63">
        <w:rPr>
          <w:sz w:val="24"/>
          <w:szCs w:val="24"/>
        </w:rPr>
        <w:t xml:space="preserve"> a esses casos.</w:t>
      </w:r>
    </w:p>
    <w:bookmarkEnd w:id="7"/>
    <w:p w14:paraId="11F737AB" w14:textId="2E013C1B" w:rsidR="00AD6CAC" w:rsidRPr="00F65B63" w:rsidRDefault="00200830" w:rsidP="00AD6CAC">
      <w:pPr>
        <w:spacing w:line="360" w:lineRule="auto"/>
        <w:ind w:firstLine="720"/>
        <w:jc w:val="both"/>
        <w:rPr>
          <w:sz w:val="24"/>
          <w:szCs w:val="24"/>
        </w:rPr>
      </w:pPr>
      <w:r w:rsidRPr="00F65B63">
        <w:rPr>
          <w:sz w:val="24"/>
          <w:szCs w:val="24"/>
        </w:rPr>
        <w:t>Historicamente, o</w:t>
      </w:r>
      <w:r w:rsidR="002058D8" w:rsidRPr="00F65B63">
        <w:rPr>
          <w:sz w:val="24"/>
          <w:szCs w:val="24"/>
        </w:rPr>
        <w:t xml:space="preserve"> </w:t>
      </w:r>
      <w:r w:rsidR="00BD4AFF" w:rsidRPr="00F65B63">
        <w:rPr>
          <w:sz w:val="24"/>
          <w:szCs w:val="24"/>
        </w:rPr>
        <w:t>exemplo</w:t>
      </w:r>
      <w:r w:rsidR="002058D8" w:rsidRPr="00F65B63">
        <w:rPr>
          <w:sz w:val="24"/>
          <w:szCs w:val="24"/>
        </w:rPr>
        <w:t xml:space="preserve"> de processo estrutural sempre trazido pela doutrina especializada como o pioneiro</w:t>
      </w:r>
      <w:r w:rsidR="002058D8" w:rsidRPr="00F65B63">
        <w:rPr>
          <w:rStyle w:val="Refdenotaderodap"/>
          <w:sz w:val="24"/>
          <w:szCs w:val="24"/>
        </w:rPr>
        <w:footnoteReference w:id="7"/>
      </w:r>
      <w:r w:rsidR="002058D8" w:rsidRPr="00F65B63">
        <w:rPr>
          <w:sz w:val="24"/>
          <w:szCs w:val="24"/>
        </w:rPr>
        <w:t xml:space="preserve"> foi o </w:t>
      </w:r>
      <w:r w:rsidR="002058D8" w:rsidRPr="00F65B63">
        <w:rPr>
          <w:i/>
          <w:sz w:val="24"/>
          <w:szCs w:val="24"/>
        </w:rPr>
        <w:t>Brown v. Board of Education - 347 U.S. 483 (1954)</w:t>
      </w:r>
      <w:r w:rsidR="002058D8" w:rsidRPr="00F65B63">
        <w:rPr>
          <w:i/>
          <w:sz w:val="24"/>
          <w:szCs w:val="24"/>
          <w:vertAlign w:val="superscript"/>
        </w:rPr>
        <w:footnoteReference w:id="8"/>
      </w:r>
      <w:r w:rsidR="002058D8" w:rsidRPr="00F65B63">
        <w:rPr>
          <w:i/>
          <w:sz w:val="24"/>
          <w:szCs w:val="24"/>
        </w:rPr>
        <w:t xml:space="preserve">, </w:t>
      </w:r>
      <w:r w:rsidR="002058D8" w:rsidRPr="00F65B63">
        <w:rPr>
          <w:sz w:val="24"/>
          <w:szCs w:val="24"/>
        </w:rPr>
        <w:t>julga</w:t>
      </w:r>
      <w:r w:rsidR="00BD4AFF" w:rsidRPr="00F65B63">
        <w:rPr>
          <w:sz w:val="24"/>
          <w:szCs w:val="24"/>
        </w:rPr>
        <w:t>do pela</w:t>
      </w:r>
      <w:r w:rsidR="002058D8" w:rsidRPr="00F65B63">
        <w:rPr>
          <w:sz w:val="24"/>
          <w:szCs w:val="24"/>
        </w:rPr>
        <w:t xml:space="preserve"> Suprema Corte Americana a respeito de 4 (quatro) ações coletivas ajuizadas nos Estados de Kansas (</w:t>
      </w:r>
      <w:r w:rsidR="002058D8" w:rsidRPr="00F65B63">
        <w:rPr>
          <w:i/>
          <w:iCs/>
          <w:sz w:val="24"/>
          <w:szCs w:val="24"/>
        </w:rPr>
        <w:t>Topeka</w:t>
      </w:r>
      <w:r w:rsidR="002058D8" w:rsidRPr="00F65B63">
        <w:rPr>
          <w:sz w:val="24"/>
          <w:szCs w:val="24"/>
        </w:rPr>
        <w:t>), Carolina do Sul (</w:t>
      </w:r>
      <w:r w:rsidR="002058D8" w:rsidRPr="00F65B63">
        <w:rPr>
          <w:i/>
          <w:iCs/>
          <w:sz w:val="24"/>
          <w:szCs w:val="24"/>
        </w:rPr>
        <w:t>Clarendon County</w:t>
      </w:r>
      <w:r w:rsidR="002058D8" w:rsidRPr="00F65B63">
        <w:rPr>
          <w:sz w:val="24"/>
          <w:szCs w:val="24"/>
        </w:rPr>
        <w:t>), Virginia (</w:t>
      </w:r>
      <w:r w:rsidR="002058D8" w:rsidRPr="00F65B63">
        <w:rPr>
          <w:i/>
          <w:iCs/>
          <w:sz w:val="24"/>
          <w:szCs w:val="24"/>
        </w:rPr>
        <w:t>Prince Edward County</w:t>
      </w:r>
      <w:r w:rsidR="002058D8" w:rsidRPr="00F65B63">
        <w:rPr>
          <w:sz w:val="24"/>
          <w:szCs w:val="24"/>
        </w:rPr>
        <w:t>) e Delaware (</w:t>
      </w:r>
      <w:r w:rsidR="002058D8" w:rsidRPr="00F65B63">
        <w:rPr>
          <w:i/>
          <w:iCs/>
          <w:sz w:val="24"/>
          <w:szCs w:val="24"/>
        </w:rPr>
        <w:t>New Castle County</w:t>
      </w:r>
      <w:r w:rsidR="002058D8" w:rsidRPr="00F65B63">
        <w:rPr>
          <w:sz w:val="24"/>
          <w:szCs w:val="24"/>
        </w:rPr>
        <w:t>), nas quais representantes legais de crianças negras buscavam sua admissão em escolas públicas primárias ou secundárias, ou seja, visavam a um regime</w:t>
      </w:r>
      <w:r w:rsidRPr="00F65B63">
        <w:rPr>
          <w:sz w:val="24"/>
          <w:szCs w:val="24"/>
        </w:rPr>
        <w:t xml:space="preserve"> educacional</w:t>
      </w:r>
      <w:r w:rsidR="002058D8" w:rsidRPr="00F65B63">
        <w:rPr>
          <w:sz w:val="24"/>
          <w:szCs w:val="24"/>
        </w:rPr>
        <w:t xml:space="preserve"> livre de segregação racial</w:t>
      </w:r>
      <w:r w:rsidR="00497997" w:rsidRPr="00F65B63">
        <w:rPr>
          <w:rStyle w:val="Refdenotaderodap"/>
          <w:sz w:val="24"/>
          <w:szCs w:val="24"/>
        </w:rPr>
        <w:footnoteReference w:id="9"/>
      </w:r>
      <w:r w:rsidR="002058D8" w:rsidRPr="00F65B63">
        <w:rPr>
          <w:sz w:val="24"/>
          <w:szCs w:val="24"/>
        </w:rPr>
        <w:t>.</w:t>
      </w:r>
      <w:r w:rsidR="00AD6CAC" w:rsidRPr="00F65B63">
        <w:rPr>
          <w:sz w:val="24"/>
          <w:szCs w:val="24"/>
        </w:rPr>
        <w:t xml:space="preserve"> </w:t>
      </w:r>
    </w:p>
    <w:p w14:paraId="00A65EB2" w14:textId="37FB98D8" w:rsidR="002058D8" w:rsidRPr="00F65B63" w:rsidRDefault="002058D8" w:rsidP="002058D8">
      <w:pPr>
        <w:spacing w:line="360" w:lineRule="auto"/>
        <w:ind w:firstLine="720"/>
        <w:jc w:val="both"/>
        <w:rPr>
          <w:sz w:val="24"/>
          <w:szCs w:val="24"/>
        </w:rPr>
      </w:pPr>
      <w:r w:rsidRPr="00F65B63">
        <w:rPr>
          <w:sz w:val="24"/>
          <w:szCs w:val="24"/>
        </w:rPr>
        <w:lastRenderedPageBreak/>
        <w:t>Após longa tramitação e amplo debate</w:t>
      </w:r>
      <w:r w:rsidR="00497997" w:rsidRPr="00F65B63">
        <w:rPr>
          <w:rStyle w:val="Refdenotaderodap"/>
          <w:sz w:val="24"/>
          <w:szCs w:val="24"/>
        </w:rPr>
        <w:footnoteReference w:id="10"/>
      </w:r>
      <w:r w:rsidRPr="00F65B63">
        <w:rPr>
          <w:sz w:val="24"/>
          <w:szCs w:val="24"/>
        </w:rPr>
        <w:t>, a Suprema Corte, de forma unânime, concluiu pela inconstitucionalidade da prática guerreada, por violar a 14ª Emenda à Constituição dos Estados Unidos, determinando fosse colocado termo à prática até então autorizada da doutrina dos "separados mais iguais" (</w:t>
      </w:r>
      <w:r w:rsidRPr="00F65B63">
        <w:rPr>
          <w:i/>
          <w:sz w:val="24"/>
          <w:szCs w:val="24"/>
        </w:rPr>
        <w:t>separate but equal</w:t>
      </w:r>
      <w:r w:rsidRPr="00F65B63">
        <w:rPr>
          <w:sz w:val="24"/>
          <w:szCs w:val="24"/>
        </w:rPr>
        <w:t>), dada a violação à isonomia.</w:t>
      </w:r>
    </w:p>
    <w:p w14:paraId="098B8E16" w14:textId="77777777" w:rsidR="002058D8" w:rsidRPr="00F65B63" w:rsidRDefault="002058D8" w:rsidP="002058D8">
      <w:pPr>
        <w:spacing w:line="360" w:lineRule="auto"/>
        <w:ind w:firstLine="720"/>
        <w:jc w:val="both"/>
        <w:rPr>
          <w:sz w:val="24"/>
          <w:szCs w:val="24"/>
        </w:rPr>
      </w:pPr>
      <w:r w:rsidRPr="00F65B63">
        <w:rPr>
          <w:sz w:val="24"/>
          <w:szCs w:val="24"/>
        </w:rPr>
        <w:t xml:space="preserve">Um ano após o julgamento, diante da reclamação de várias escolas quanto às dificuldades para implementar a nova política, não discriminatória, a Suprema Corte reexaminou a questão, originando a decisão conhecida por </w:t>
      </w:r>
      <w:r w:rsidRPr="00F65B63">
        <w:rPr>
          <w:i/>
          <w:sz w:val="24"/>
          <w:szCs w:val="24"/>
        </w:rPr>
        <w:t>Brown v. Board of Education</w:t>
      </w:r>
      <w:r w:rsidRPr="00F65B63">
        <w:rPr>
          <w:sz w:val="24"/>
          <w:szCs w:val="24"/>
        </w:rPr>
        <w:t xml:space="preserve"> II, pela qual ordenou que a implementação da ordem judicial deveria ser feita por meio de uma progressiva adoção de medidas que eliminassem os obstáculos criados pela discriminação, sob a supervisão das Cortes locais.</w:t>
      </w:r>
    </w:p>
    <w:p w14:paraId="41FDDE8F" w14:textId="37A19035" w:rsidR="00AD6CAC" w:rsidRPr="00F65B63" w:rsidRDefault="00AD6CAC" w:rsidP="00AD6CAC">
      <w:pPr>
        <w:spacing w:line="360" w:lineRule="auto"/>
        <w:ind w:firstLine="720"/>
        <w:jc w:val="both"/>
        <w:rPr>
          <w:sz w:val="24"/>
          <w:szCs w:val="24"/>
        </w:rPr>
      </w:pPr>
      <w:r w:rsidRPr="00F65B63">
        <w:rPr>
          <w:sz w:val="24"/>
          <w:szCs w:val="24"/>
        </w:rPr>
        <w:t xml:space="preserve">Ou seja, </w:t>
      </w:r>
      <w:r w:rsidR="002058D8" w:rsidRPr="00F65B63">
        <w:rPr>
          <w:sz w:val="24"/>
          <w:szCs w:val="24"/>
        </w:rPr>
        <w:t>a mera declaração de inconstitucionalidade não era suficiente,</w:t>
      </w:r>
      <w:r w:rsidRPr="00F65B63">
        <w:rPr>
          <w:sz w:val="24"/>
          <w:szCs w:val="24"/>
        </w:rPr>
        <w:t xml:space="preserve"> dada a necessidade de concretização da decisão</w:t>
      </w:r>
      <w:r w:rsidR="00BD4AFF" w:rsidRPr="00F65B63">
        <w:rPr>
          <w:rStyle w:val="Refdenotaderodap"/>
          <w:sz w:val="24"/>
          <w:szCs w:val="24"/>
        </w:rPr>
        <w:footnoteReference w:id="11"/>
      </w:r>
      <w:r w:rsidRPr="00F65B63">
        <w:rPr>
          <w:sz w:val="24"/>
          <w:szCs w:val="24"/>
        </w:rPr>
        <w:t>, o que mudaria radicalmente aquel</w:t>
      </w:r>
      <w:r w:rsidR="002058D8" w:rsidRPr="00F65B63">
        <w:rPr>
          <w:sz w:val="24"/>
          <w:szCs w:val="24"/>
        </w:rPr>
        <w:t>a</w:t>
      </w:r>
      <w:r w:rsidRPr="00F65B63">
        <w:rPr>
          <w:sz w:val="24"/>
          <w:szCs w:val="24"/>
        </w:rPr>
        <w:t xml:space="preserve"> cultura ainda </w:t>
      </w:r>
      <w:r w:rsidR="002058D8" w:rsidRPr="00F65B63">
        <w:rPr>
          <w:sz w:val="24"/>
          <w:szCs w:val="24"/>
        </w:rPr>
        <w:t>impregnada na sociedade.</w:t>
      </w:r>
    </w:p>
    <w:p w14:paraId="2288695B" w14:textId="07EC1949" w:rsidR="002058D8" w:rsidRPr="00F65B63" w:rsidRDefault="00BD4AFF" w:rsidP="002058D8">
      <w:pPr>
        <w:spacing w:line="360" w:lineRule="auto"/>
        <w:ind w:firstLine="720"/>
        <w:jc w:val="both"/>
        <w:rPr>
          <w:sz w:val="24"/>
          <w:szCs w:val="24"/>
        </w:rPr>
      </w:pPr>
      <w:r w:rsidRPr="00F65B63">
        <w:rPr>
          <w:sz w:val="24"/>
          <w:szCs w:val="24"/>
        </w:rPr>
        <w:t>C</w:t>
      </w:r>
      <w:r w:rsidR="002058D8" w:rsidRPr="00F65B63">
        <w:rPr>
          <w:sz w:val="24"/>
          <w:szCs w:val="24"/>
        </w:rPr>
        <w:t xml:space="preserve">onsiderando as dificuldades das escolas locais para cumprirem a ordem judicial, a Suprema Corte autorizou a criação de planos cuja execução seria acompanhada pelo Judiciário local, conforme explica </w:t>
      </w:r>
      <w:r w:rsidR="00AD6CAC" w:rsidRPr="00F65B63">
        <w:rPr>
          <w:sz w:val="24"/>
          <w:szCs w:val="24"/>
        </w:rPr>
        <w:t xml:space="preserve">Fernando Garcia </w:t>
      </w:r>
      <w:r w:rsidR="002058D8" w:rsidRPr="00F65B63">
        <w:rPr>
          <w:sz w:val="24"/>
          <w:szCs w:val="24"/>
        </w:rPr>
        <w:t>Souza</w:t>
      </w:r>
      <w:r w:rsidR="00AD6CAC" w:rsidRPr="00F65B63">
        <w:rPr>
          <w:rStyle w:val="Refdenotaderodap"/>
          <w:sz w:val="24"/>
          <w:szCs w:val="24"/>
        </w:rPr>
        <w:footnoteReference w:id="12"/>
      </w:r>
      <w:r w:rsidR="002058D8" w:rsidRPr="00F65B63">
        <w:rPr>
          <w:sz w:val="24"/>
          <w:szCs w:val="24"/>
        </w:rPr>
        <w:t xml:space="preserve">: </w:t>
      </w:r>
      <w:r w:rsidR="002058D8" w:rsidRPr="00F65B63">
        <w:rPr>
          <w:i/>
          <w:sz w:val="24"/>
          <w:szCs w:val="24"/>
        </w:rPr>
        <w:t>(a)</w:t>
      </w:r>
      <w:r w:rsidR="002058D8" w:rsidRPr="00F65B63">
        <w:rPr>
          <w:sz w:val="24"/>
          <w:szCs w:val="24"/>
        </w:rPr>
        <w:t xml:space="preserve"> as autoridades escolares se responsabilizariam primariamente pelo levantamento, avaliação e resolução dos problemas escolares surgidos, </w:t>
      </w:r>
      <w:r w:rsidR="002058D8" w:rsidRPr="00F65B63">
        <w:rPr>
          <w:i/>
          <w:sz w:val="24"/>
          <w:szCs w:val="24"/>
        </w:rPr>
        <w:t>(b)</w:t>
      </w:r>
      <w:r w:rsidR="002058D8" w:rsidRPr="00F65B63">
        <w:rPr>
          <w:sz w:val="24"/>
          <w:szCs w:val="24"/>
        </w:rPr>
        <w:t xml:space="preserve"> os tribunais em que tramitam as ações deveriam verificar se as autoridades locais estariam agindo com boa-fé, </w:t>
      </w:r>
      <w:r w:rsidR="002058D8" w:rsidRPr="00F65B63">
        <w:rPr>
          <w:i/>
          <w:sz w:val="24"/>
          <w:szCs w:val="24"/>
        </w:rPr>
        <w:t>(c)</w:t>
      </w:r>
      <w:r w:rsidR="002058D8" w:rsidRPr="00F65B63">
        <w:rPr>
          <w:sz w:val="24"/>
          <w:szCs w:val="24"/>
        </w:rPr>
        <w:t xml:space="preserve"> as cortes locais deveriam guiar-se pela equidade, </w:t>
      </w:r>
      <w:r w:rsidR="002058D8" w:rsidRPr="00F65B63">
        <w:rPr>
          <w:i/>
          <w:sz w:val="24"/>
          <w:szCs w:val="24"/>
        </w:rPr>
        <w:t>(d)</w:t>
      </w:r>
      <w:r w:rsidR="002058D8" w:rsidRPr="00F65B63">
        <w:rPr>
          <w:sz w:val="24"/>
          <w:szCs w:val="24"/>
        </w:rPr>
        <w:t xml:space="preserve"> dever-se-ia observar o interesse das partes de serem admitidas em escolas públicas não segregadas o quanto antes, </w:t>
      </w:r>
      <w:r w:rsidR="002058D8" w:rsidRPr="00F65B63">
        <w:rPr>
          <w:i/>
          <w:sz w:val="24"/>
          <w:szCs w:val="24"/>
        </w:rPr>
        <w:t>(e)</w:t>
      </w:r>
      <w:r w:rsidR="002058D8" w:rsidRPr="00F65B63">
        <w:rPr>
          <w:sz w:val="24"/>
          <w:szCs w:val="24"/>
        </w:rPr>
        <w:t xml:space="preserve"> o início da implementação deveria dar-se em prazo razoável, cabendo ao réu estabelecer o prazo suplementar necessário, se o caso, </w:t>
      </w:r>
      <w:r w:rsidR="002058D8" w:rsidRPr="00F65B63">
        <w:rPr>
          <w:sz w:val="24"/>
          <w:szCs w:val="24"/>
        </w:rPr>
        <w:lastRenderedPageBreak/>
        <w:t xml:space="preserve">conforme os ditames da boa-fé, e </w:t>
      </w:r>
      <w:r w:rsidR="002058D8" w:rsidRPr="00F65B63">
        <w:rPr>
          <w:i/>
          <w:sz w:val="24"/>
          <w:szCs w:val="24"/>
        </w:rPr>
        <w:t>(f)</w:t>
      </w:r>
      <w:r w:rsidR="002058D8" w:rsidRPr="00F65B63">
        <w:rPr>
          <w:sz w:val="24"/>
          <w:szCs w:val="24"/>
        </w:rPr>
        <w:t xml:space="preserve"> as cortes locais deveriam considerar eventuais problemas surgidos na implementação da decisão judicial, bem como a adequação dos planos de reestruturação apresentados pelos réus.</w:t>
      </w:r>
    </w:p>
    <w:p w14:paraId="663E947C" w14:textId="401BF48D" w:rsidR="002058D8" w:rsidRPr="00F65B63" w:rsidRDefault="002058D8" w:rsidP="002058D8">
      <w:pPr>
        <w:spacing w:line="360" w:lineRule="auto"/>
        <w:ind w:firstLine="720"/>
        <w:jc w:val="both"/>
        <w:rPr>
          <w:sz w:val="24"/>
          <w:szCs w:val="24"/>
        </w:rPr>
      </w:pPr>
      <w:r w:rsidRPr="00F65B63">
        <w:rPr>
          <w:sz w:val="24"/>
          <w:szCs w:val="24"/>
        </w:rPr>
        <w:t>Houve, portanto, forte descentralização do poder de decisão e fiscalização ao Judiciário local na fase de cumprimento, que passou a utilizar ordens estabelecendo obrigações de fazer ou não fazer (</w:t>
      </w:r>
      <w:r w:rsidRPr="00F65B63">
        <w:rPr>
          <w:i/>
          <w:sz w:val="24"/>
          <w:szCs w:val="24"/>
        </w:rPr>
        <w:t>injunctions</w:t>
      </w:r>
      <w:r w:rsidRPr="00F65B63">
        <w:rPr>
          <w:i/>
          <w:sz w:val="24"/>
          <w:szCs w:val="24"/>
          <w:vertAlign w:val="superscript"/>
        </w:rPr>
        <w:footnoteReference w:id="13"/>
      </w:r>
      <w:r w:rsidRPr="00F65B63">
        <w:rPr>
          <w:sz w:val="24"/>
          <w:szCs w:val="24"/>
        </w:rPr>
        <w:t xml:space="preserve">). São essas </w:t>
      </w:r>
      <w:r w:rsidRPr="00F65B63">
        <w:rPr>
          <w:i/>
          <w:sz w:val="24"/>
          <w:szCs w:val="24"/>
        </w:rPr>
        <w:t>structural injunctions</w:t>
      </w:r>
      <w:r w:rsidRPr="00F65B63">
        <w:rPr>
          <w:sz w:val="24"/>
          <w:szCs w:val="24"/>
        </w:rPr>
        <w:t xml:space="preserve"> que buscariam, assim, reorganizar uma instituição social</w:t>
      </w:r>
      <w:r w:rsidR="00D04F6E">
        <w:rPr>
          <w:sz w:val="24"/>
          <w:szCs w:val="24"/>
        </w:rPr>
        <w:t xml:space="preserve"> (</w:t>
      </w:r>
      <w:r w:rsidRPr="00F65B63">
        <w:rPr>
          <w:sz w:val="24"/>
          <w:szCs w:val="24"/>
        </w:rPr>
        <w:t>no caso</w:t>
      </w:r>
      <w:r w:rsidR="00D04F6E">
        <w:rPr>
          <w:sz w:val="24"/>
          <w:szCs w:val="24"/>
        </w:rPr>
        <w:t>,</w:t>
      </w:r>
      <w:r w:rsidRPr="00F65B63">
        <w:rPr>
          <w:sz w:val="24"/>
          <w:szCs w:val="24"/>
        </w:rPr>
        <w:t xml:space="preserve"> o sistema educacional</w:t>
      </w:r>
      <w:r w:rsidR="00D04F6E">
        <w:rPr>
          <w:sz w:val="24"/>
          <w:szCs w:val="24"/>
        </w:rPr>
        <w:t>)</w:t>
      </w:r>
      <w:r w:rsidRPr="00F65B63">
        <w:rPr>
          <w:sz w:val="24"/>
          <w:szCs w:val="24"/>
        </w:rPr>
        <w:t xml:space="preserve">. </w:t>
      </w:r>
    </w:p>
    <w:p w14:paraId="056C80BF" w14:textId="77777777" w:rsidR="004A4C8A" w:rsidRPr="00F65B63" w:rsidRDefault="004A4C8A" w:rsidP="004A4C8A">
      <w:pPr>
        <w:spacing w:line="360" w:lineRule="auto"/>
        <w:ind w:firstLine="720"/>
        <w:jc w:val="both"/>
        <w:rPr>
          <w:sz w:val="24"/>
          <w:szCs w:val="24"/>
        </w:rPr>
      </w:pPr>
      <w:r w:rsidRPr="00F65B63">
        <w:rPr>
          <w:sz w:val="24"/>
          <w:szCs w:val="24"/>
        </w:rPr>
        <w:t xml:space="preserve">É verdade que </w:t>
      </w:r>
      <w:r w:rsidR="002058D8" w:rsidRPr="00F65B63">
        <w:rPr>
          <w:sz w:val="24"/>
          <w:szCs w:val="24"/>
        </w:rPr>
        <w:t xml:space="preserve">a segregação racial norte-americana não foi eliminada nem por meio dessas, nem outras decisões judiciais, mas a técnica processual empregada nesse julgamento permitiu a construção da base para a ideia das </w:t>
      </w:r>
      <w:r w:rsidR="002058D8" w:rsidRPr="00F65B63">
        <w:rPr>
          <w:i/>
          <w:sz w:val="24"/>
          <w:szCs w:val="24"/>
        </w:rPr>
        <w:t>structural injunctions</w:t>
      </w:r>
      <w:r w:rsidR="002058D8" w:rsidRPr="00F65B63">
        <w:rPr>
          <w:sz w:val="24"/>
          <w:szCs w:val="24"/>
        </w:rPr>
        <w:t xml:space="preserve"> enquanto instrumento maleável e dialogado de solução de controvérsias. </w:t>
      </w:r>
    </w:p>
    <w:p w14:paraId="26B67470" w14:textId="5393284D" w:rsidR="00200830" w:rsidRPr="00F65B63" w:rsidRDefault="00200830" w:rsidP="004A4C8A">
      <w:pPr>
        <w:spacing w:line="360" w:lineRule="auto"/>
        <w:ind w:firstLine="720"/>
        <w:jc w:val="both"/>
        <w:rPr>
          <w:sz w:val="24"/>
          <w:szCs w:val="24"/>
        </w:rPr>
      </w:pPr>
      <w:r w:rsidRPr="00F65B63">
        <w:rPr>
          <w:sz w:val="24"/>
          <w:szCs w:val="24"/>
        </w:rPr>
        <w:t>Um aspecto importante dessa</w:t>
      </w:r>
      <w:r w:rsidR="002058D8" w:rsidRPr="00F65B63">
        <w:rPr>
          <w:sz w:val="24"/>
          <w:szCs w:val="24"/>
        </w:rPr>
        <w:t xml:space="preserve"> intervenção judicial </w:t>
      </w:r>
      <w:r w:rsidRPr="00F65B63">
        <w:rPr>
          <w:sz w:val="24"/>
          <w:szCs w:val="24"/>
        </w:rPr>
        <w:t xml:space="preserve">é que ela se deu </w:t>
      </w:r>
      <w:r w:rsidR="002058D8" w:rsidRPr="00F65B63">
        <w:rPr>
          <w:sz w:val="24"/>
          <w:szCs w:val="24"/>
        </w:rPr>
        <w:t>por meio de técnicas criativas, capazes de ensejar melhorias nas instituições e nas políticas públicas debatidas, ainda que não</w:t>
      </w:r>
      <w:r w:rsidRPr="00F65B63">
        <w:rPr>
          <w:sz w:val="24"/>
          <w:szCs w:val="24"/>
        </w:rPr>
        <w:t xml:space="preserve"> tenham alcançado um</w:t>
      </w:r>
      <w:r w:rsidR="002058D8" w:rsidRPr="00F65B63">
        <w:rPr>
          <w:sz w:val="24"/>
          <w:szCs w:val="24"/>
        </w:rPr>
        <w:t>a conformidade considerada ideal.</w:t>
      </w:r>
    </w:p>
    <w:p w14:paraId="79975F11" w14:textId="77777777" w:rsidR="00200830" w:rsidRPr="00F65B63" w:rsidRDefault="00200830" w:rsidP="00200830">
      <w:pPr>
        <w:spacing w:line="360" w:lineRule="auto"/>
        <w:ind w:firstLine="720"/>
        <w:jc w:val="both"/>
        <w:rPr>
          <w:sz w:val="24"/>
          <w:szCs w:val="24"/>
        </w:rPr>
      </w:pPr>
      <w:r w:rsidRPr="00F65B63">
        <w:rPr>
          <w:sz w:val="24"/>
          <w:szCs w:val="24"/>
        </w:rPr>
        <w:t>O legado das decisões estruturantes não deve ser aferido apenas com base em seu êxito na solução do caso concreto, porque este tipo de provimento possui efeitos bastante complexos que também devem ser assim apreendidos.</w:t>
      </w:r>
    </w:p>
    <w:p w14:paraId="6967EBDA" w14:textId="5F3668F2" w:rsidR="00200830" w:rsidRPr="00F65B63" w:rsidRDefault="00200830" w:rsidP="00200830">
      <w:pPr>
        <w:spacing w:line="360" w:lineRule="auto"/>
        <w:ind w:firstLine="720"/>
        <w:jc w:val="both"/>
        <w:rPr>
          <w:sz w:val="24"/>
          <w:szCs w:val="24"/>
        </w:rPr>
      </w:pPr>
      <w:r w:rsidRPr="00F65B63">
        <w:rPr>
          <w:sz w:val="24"/>
          <w:szCs w:val="24"/>
        </w:rPr>
        <w:t xml:space="preserve">Nesse ponto, esclarece </w:t>
      </w:r>
      <w:r w:rsidR="0059688B" w:rsidRPr="00F65B63">
        <w:rPr>
          <w:sz w:val="24"/>
          <w:szCs w:val="24"/>
        </w:rPr>
        <w:t xml:space="preserve">Hermes </w:t>
      </w:r>
      <w:r w:rsidRPr="00F65B63">
        <w:rPr>
          <w:sz w:val="24"/>
          <w:szCs w:val="24"/>
        </w:rPr>
        <w:t>Zaneti Junior</w:t>
      </w:r>
      <w:r w:rsidRPr="00F65B63">
        <w:rPr>
          <w:rStyle w:val="Refdenotaderodap"/>
          <w:sz w:val="24"/>
          <w:szCs w:val="24"/>
        </w:rPr>
        <w:footnoteReference w:id="14"/>
      </w:r>
      <w:r w:rsidRPr="00F65B63">
        <w:rPr>
          <w:sz w:val="24"/>
          <w:szCs w:val="24"/>
        </w:rPr>
        <w:t xml:space="preserve"> que “o mundo não é assim ou assado porque o juiz quer, é como é. Ser agente de transformação é mais do que prometer uma solução abstrata”, sendo necessário prever os meios, acompanhar o desenvolvimento da própria decisão judicial e sua eficácia, desdobramentos do processo civil de interesse público, não mais sendo suficiente ao exercício da jurisdição “a mera intervenção através de expedição de ordens, é preciso acompanhar a efetivação das decisões”.</w:t>
      </w:r>
      <w:r w:rsidRPr="00F65B63">
        <w:rPr>
          <w:sz w:val="24"/>
          <w:szCs w:val="24"/>
        </w:rPr>
        <w:tab/>
      </w:r>
    </w:p>
    <w:p w14:paraId="52D00274" w14:textId="3E6054A9" w:rsidR="00200830" w:rsidRPr="00F65B63" w:rsidRDefault="00200830" w:rsidP="00200830">
      <w:pPr>
        <w:spacing w:line="360" w:lineRule="auto"/>
        <w:ind w:firstLine="720"/>
        <w:jc w:val="both"/>
        <w:rPr>
          <w:sz w:val="24"/>
          <w:szCs w:val="24"/>
        </w:rPr>
      </w:pPr>
      <w:bookmarkStart w:id="9" w:name="_Hlk144201964"/>
      <w:r w:rsidRPr="00F65B63">
        <w:rPr>
          <w:sz w:val="24"/>
          <w:szCs w:val="24"/>
        </w:rPr>
        <w:t>E é exatamente nesse sentido o entendimento exarado pelo STF no julgamento do Tema 698, tendo a experiência judiciária demonstrado que a mera determinação de execução de medidas pontuais por parte da Administração Pública não tem logrado êxito, sendo muito mais racional, efetivo e adequado que sejam apontadas as finalidades a serem alcançadas, devendo o Poder Público, para tanto, apresentar um plano e/ou meios adequados para alcançar tais finalidades.</w:t>
      </w:r>
    </w:p>
    <w:p w14:paraId="78FF02D9" w14:textId="2722F619" w:rsidR="005A7CF2" w:rsidRPr="00F65B63" w:rsidRDefault="00200830" w:rsidP="005A7CF2">
      <w:pPr>
        <w:spacing w:line="360" w:lineRule="auto"/>
        <w:ind w:firstLine="720"/>
        <w:jc w:val="both"/>
        <w:rPr>
          <w:sz w:val="24"/>
          <w:szCs w:val="24"/>
        </w:rPr>
      </w:pPr>
      <w:r w:rsidRPr="00F65B63">
        <w:rPr>
          <w:sz w:val="24"/>
          <w:szCs w:val="24"/>
        </w:rPr>
        <w:lastRenderedPageBreak/>
        <w:t xml:space="preserve">Até </w:t>
      </w:r>
      <w:r w:rsidR="005A7CF2" w:rsidRPr="00F65B63">
        <w:rPr>
          <w:sz w:val="24"/>
          <w:szCs w:val="24"/>
        </w:rPr>
        <w:t xml:space="preserve">mesmo </w:t>
      </w:r>
      <w:r w:rsidRPr="00F65B63">
        <w:rPr>
          <w:sz w:val="24"/>
          <w:szCs w:val="24"/>
        </w:rPr>
        <w:t xml:space="preserve">porque </w:t>
      </w:r>
      <w:r w:rsidR="005A7CF2" w:rsidRPr="00F65B63">
        <w:rPr>
          <w:sz w:val="24"/>
          <w:szCs w:val="24"/>
        </w:rPr>
        <w:t>não faz sentido que esse tipo de condenação engesse a atuação da Administração. Nesse ponto, consigna Ada Pellegrini Grinover que “as circunstâncias fáticas, jurídicas, econômicas e até jurídicas podem ter se alterado”, não se podendo impor uma obrigação de fazer que pode não mais corresponder à atual necessidade</w:t>
      </w:r>
      <w:bookmarkEnd w:id="9"/>
      <w:r w:rsidR="005A7CF2" w:rsidRPr="00F65B63">
        <w:rPr>
          <w:sz w:val="24"/>
          <w:szCs w:val="24"/>
        </w:rPr>
        <w:t xml:space="preserve">. </w:t>
      </w:r>
    </w:p>
    <w:p w14:paraId="6E526EBB" w14:textId="50136065" w:rsidR="005A7CF2" w:rsidRPr="00F65B63" w:rsidRDefault="005A7CF2" w:rsidP="005A7CF2">
      <w:pPr>
        <w:spacing w:line="360" w:lineRule="auto"/>
        <w:ind w:firstLine="720"/>
        <w:jc w:val="both"/>
        <w:rPr>
          <w:sz w:val="24"/>
          <w:szCs w:val="24"/>
        </w:rPr>
      </w:pPr>
      <w:r w:rsidRPr="00F65B63">
        <w:rPr>
          <w:sz w:val="24"/>
          <w:szCs w:val="24"/>
        </w:rPr>
        <w:t xml:space="preserve">Em relação especificamente ao </w:t>
      </w:r>
      <w:r w:rsidRPr="00F65B63">
        <w:rPr>
          <w:i/>
          <w:iCs/>
          <w:sz w:val="24"/>
          <w:szCs w:val="24"/>
        </w:rPr>
        <w:t xml:space="preserve">leading case </w:t>
      </w:r>
      <w:r w:rsidRPr="00F65B63">
        <w:rPr>
          <w:sz w:val="24"/>
          <w:szCs w:val="24"/>
        </w:rPr>
        <w:t>do Tema 698 do STF, explicou a autora</w:t>
      </w:r>
      <w:r w:rsidRPr="00F65B63">
        <w:rPr>
          <w:sz w:val="24"/>
          <w:szCs w:val="24"/>
          <w:vertAlign w:val="superscript"/>
        </w:rPr>
        <w:footnoteReference w:id="15"/>
      </w:r>
      <w:r w:rsidRPr="00F65B63">
        <w:rPr>
          <w:sz w:val="24"/>
          <w:szCs w:val="24"/>
        </w:rPr>
        <w:t xml:space="preserve"> que o demonstrativo encaminhado pelo hospital, contendo o déficit de pessoal, remontava ao dia 31 de maio de 2002, indicando a carência de 79 (setenta e nove) cargos médicos das mais variadas especialidades, 03 (três) odontólogos, 89 (oitenta e nove) enfermeiros e 112 (cento e doze) técnicos e auxiliares de enfermagem. Como esses números se referiam a 12 (doze) anos anteriores, referida condenação não poderia engessar a atuação da Administração, justamente pela esperada alteração das circunstâncias envolvidas. </w:t>
      </w:r>
    </w:p>
    <w:p w14:paraId="6B6EFAA3" w14:textId="096AFE1D" w:rsidR="005A7CF2" w:rsidRPr="00F65B63" w:rsidRDefault="005A7CF2" w:rsidP="005A7CF2">
      <w:pPr>
        <w:spacing w:line="360" w:lineRule="auto"/>
        <w:ind w:firstLine="720"/>
        <w:jc w:val="both"/>
        <w:rPr>
          <w:sz w:val="24"/>
          <w:szCs w:val="24"/>
        </w:rPr>
      </w:pPr>
      <w:r w:rsidRPr="00F65B63">
        <w:rPr>
          <w:sz w:val="24"/>
          <w:szCs w:val="24"/>
        </w:rPr>
        <w:t>E concluiu: “Só a administração hospitalar e o Município poderão apresentar uma relação do número de cargos efetivamente necessários e um planejamento do prazo necessário para preenchê-los”, entendendo, assim, que não deveria ocorrer a imposição de obrigações de fazer, pois, nesse caso, o Judiciário estaria substituindo o administrador.</w:t>
      </w:r>
    </w:p>
    <w:p w14:paraId="5D46067C" w14:textId="2CE8D442" w:rsidR="00D91EB9" w:rsidRPr="00F65B63" w:rsidRDefault="00D91EB9" w:rsidP="00D91EB9">
      <w:pPr>
        <w:spacing w:line="360" w:lineRule="auto"/>
        <w:ind w:firstLine="720"/>
        <w:jc w:val="both"/>
        <w:rPr>
          <w:sz w:val="24"/>
          <w:szCs w:val="24"/>
        </w:rPr>
      </w:pPr>
      <w:r w:rsidRPr="00F65B63">
        <w:rPr>
          <w:sz w:val="24"/>
          <w:szCs w:val="24"/>
        </w:rPr>
        <w:t>Nesse diapasão, a doutrina</w:t>
      </w:r>
      <w:r w:rsidR="00BD4AFF" w:rsidRPr="00F65B63">
        <w:rPr>
          <w:sz w:val="24"/>
          <w:szCs w:val="24"/>
        </w:rPr>
        <w:t xml:space="preserve"> promoveu</w:t>
      </w:r>
      <w:r w:rsidRPr="00F65B63">
        <w:rPr>
          <w:sz w:val="24"/>
          <w:szCs w:val="24"/>
        </w:rPr>
        <w:t xml:space="preserve"> um avanço teórico com base nas </w:t>
      </w:r>
      <w:r w:rsidRPr="00F65B63">
        <w:rPr>
          <w:i/>
          <w:sz w:val="24"/>
          <w:szCs w:val="24"/>
        </w:rPr>
        <w:t>structural injunctions</w:t>
      </w:r>
      <w:r w:rsidRPr="00F65B63">
        <w:rPr>
          <w:i/>
          <w:sz w:val="24"/>
          <w:szCs w:val="24"/>
          <w:vertAlign w:val="superscript"/>
        </w:rPr>
        <w:footnoteReference w:id="16"/>
      </w:r>
      <w:r w:rsidRPr="00F65B63">
        <w:rPr>
          <w:i/>
          <w:sz w:val="24"/>
          <w:szCs w:val="24"/>
        </w:rPr>
        <w:t xml:space="preserve">, </w:t>
      </w:r>
      <w:r w:rsidRPr="00F65B63">
        <w:rPr>
          <w:sz w:val="24"/>
          <w:szCs w:val="24"/>
        </w:rPr>
        <w:t>expressão adotada por</w:t>
      </w:r>
      <w:r w:rsidR="0059688B" w:rsidRPr="00F65B63">
        <w:rPr>
          <w:sz w:val="24"/>
          <w:szCs w:val="24"/>
        </w:rPr>
        <w:t xml:space="preserve"> Owen</w:t>
      </w:r>
      <w:r w:rsidRPr="00F65B63">
        <w:rPr>
          <w:sz w:val="24"/>
          <w:szCs w:val="24"/>
        </w:rPr>
        <w:t xml:space="preserve"> Fiss em 1979</w:t>
      </w:r>
      <w:r w:rsidRPr="00F65B63">
        <w:rPr>
          <w:rStyle w:val="Refdenotaderodap"/>
          <w:sz w:val="24"/>
          <w:szCs w:val="24"/>
        </w:rPr>
        <w:footnoteReference w:id="17"/>
      </w:r>
      <w:r w:rsidRPr="00F65B63">
        <w:rPr>
          <w:sz w:val="24"/>
          <w:szCs w:val="24"/>
        </w:rPr>
        <w:t>.</w:t>
      </w:r>
    </w:p>
    <w:p w14:paraId="6273A13B" w14:textId="77777777" w:rsidR="00D91EB9" w:rsidRPr="00F65B63" w:rsidRDefault="00D91EB9" w:rsidP="00D91EB9">
      <w:pPr>
        <w:spacing w:line="360" w:lineRule="auto"/>
        <w:ind w:firstLine="720"/>
        <w:jc w:val="both"/>
        <w:rPr>
          <w:sz w:val="24"/>
          <w:szCs w:val="24"/>
        </w:rPr>
      </w:pPr>
      <w:r w:rsidRPr="00F65B63">
        <w:rPr>
          <w:sz w:val="24"/>
          <w:szCs w:val="24"/>
        </w:rPr>
        <w:t>Em suas palavras, trata-se de “um instrumento formal por intermédio do qual o Judiciário busca reorganizar instituições burocráticas para que funcionem de acordo com a Constituição”</w:t>
      </w:r>
      <w:r w:rsidRPr="00F65B63">
        <w:rPr>
          <w:sz w:val="24"/>
          <w:szCs w:val="24"/>
          <w:vertAlign w:val="superscript"/>
        </w:rPr>
        <w:footnoteReference w:id="18"/>
      </w:r>
      <w:r w:rsidRPr="00F65B63">
        <w:rPr>
          <w:sz w:val="24"/>
          <w:szCs w:val="24"/>
        </w:rPr>
        <w:t xml:space="preserve">, passando a identificar uma nova forma de adjudicação: </w:t>
      </w:r>
      <w:r w:rsidRPr="00F65B63">
        <w:rPr>
          <w:i/>
          <w:sz w:val="24"/>
          <w:szCs w:val="24"/>
        </w:rPr>
        <w:t>structural reform</w:t>
      </w:r>
      <w:r w:rsidRPr="00F65B63">
        <w:rPr>
          <w:sz w:val="24"/>
          <w:szCs w:val="24"/>
        </w:rPr>
        <w:t xml:space="preserve"> (</w:t>
      </w:r>
      <w:r w:rsidRPr="00F65B63">
        <w:rPr>
          <w:i/>
          <w:sz w:val="24"/>
          <w:szCs w:val="24"/>
        </w:rPr>
        <w:t>reformas estruturais</w:t>
      </w:r>
      <w:r w:rsidRPr="00F65B63">
        <w:rPr>
          <w:sz w:val="24"/>
          <w:szCs w:val="24"/>
        </w:rPr>
        <w:t>)</w:t>
      </w:r>
      <w:r w:rsidRPr="00F65B63">
        <w:rPr>
          <w:i/>
          <w:sz w:val="24"/>
          <w:szCs w:val="24"/>
          <w:vertAlign w:val="superscript"/>
        </w:rPr>
        <w:footnoteReference w:id="19"/>
      </w:r>
      <w:r w:rsidRPr="00F65B63">
        <w:rPr>
          <w:i/>
          <w:sz w:val="24"/>
          <w:szCs w:val="24"/>
        </w:rPr>
        <w:t xml:space="preserve">, </w:t>
      </w:r>
      <w:r w:rsidRPr="00F65B63">
        <w:rPr>
          <w:sz w:val="24"/>
          <w:szCs w:val="24"/>
        </w:rPr>
        <w:t>que induz o Judiciário a sair do isolamento em que se encontra quando provocado a resolver litígios individuais ou privados (</w:t>
      </w:r>
      <w:r w:rsidRPr="00F65B63">
        <w:rPr>
          <w:i/>
          <w:sz w:val="24"/>
          <w:szCs w:val="24"/>
        </w:rPr>
        <w:t>dispute resolution</w:t>
      </w:r>
      <w:r w:rsidRPr="00F65B63">
        <w:rPr>
          <w:sz w:val="24"/>
          <w:szCs w:val="24"/>
        </w:rPr>
        <w:t>), alçando-o ao posto de copartícipe do governo e, assim, parte integrante do sistema político.</w:t>
      </w:r>
    </w:p>
    <w:p w14:paraId="08FD3AA4" w14:textId="3FA95715" w:rsidR="00D91EB9" w:rsidRPr="00F65B63" w:rsidRDefault="00BD4AFF" w:rsidP="00D91EB9">
      <w:pPr>
        <w:spacing w:line="360" w:lineRule="auto"/>
        <w:ind w:firstLine="720"/>
        <w:jc w:val="both"/>
        <w:rPr>
          <w:sz w:val="24"/>
          <w:szCs w:val="24"/>
        </w:rPr>
      </w:pPr>
      <w:r w:rsidRPr="00F65B63">
        <w:rPr>
          <w:sz w:val="24"/>
          <w:szCs w:val="24"/>
        </w:rPr>
        <w:t>Para</w:t>
      </w:r>
      <w:r w:rsidR="00D91EB9" w:rsidRPr="00F65B63">
        <w:rPr>
          <w:sz w:val="24"/>
          <w:szCs w:val="24"/>
        </w:rPr>
        <w:t xml:space="preserve"> Edilson Vitorelli</w:t>
      </w:r>
      <w:r w:rsidR="00D91EB9" w:rsidRPr="00F65B63">
        <w:rPr>
          <w:sz w:val="24"/>
          <w:szCs w:val="24"/>
          <w:vertAlign w:val="superscript"/>
        </w:rPr>
        <w:footnoteReference w:id="20"/>
      </w:r>
      <w:r w:rsidRPr="00F65B63">
        <w:rPr>
          <w:sz w:val="24"/>
          <w:szCs w:val="24"/>
        </w:rPr>
        <w:t>,</w:t>
      </w:r>
      <w:r w:rsidR="00D91EB9" w:rsidRPr="00F65B63">
        <w:rPr>
          <w:sz w:val="24"/>
          <w:szCs w:val="24"/>
        </w:rPr>
        <w:t xml:space="preserve"> processo estrutural é um processo coletivo em que se pretende, por meio da atuação jurisdicional, “a reorganização de uma estrutura burocrática, pública ou privada, que </w:t>
      </w:r>
      <w:r w:rsidR="00D91EB9" w:rsidRPr="00F65B63">
        <w:rPr>
          <w:sz w:val="24"/>
          <w:szCs w:val="24"/>
        </w:rPr>
        <w:lastRenderedPageBreak/>
        <w:t>causa, fomenta ou viabiliza a ocorrência de uma violação pelo modo como funciona, originando um litígio estrutural</w:t>
      </w:r>
      <w:r w:rsidR="00D91EB9" w:rsidRPr="00F65B63">
        <w:rPr>
          <w:sz w:val="24"/>
          <w:szCs w:val="24"/>
          <w:vertAlign w:val="superscript"/>
        </w:rPr>
        <w:footnoteReference w:id="21"/>
      </w:r>
      <w:r w:rsidR="00D91EB9" w:rsidRPr="00F65B63">
        <w:rPr>
          <w:sz w:val="24"/>
          <w:szCs w:val="24"/>
        </w:rPr>
        <w:t>”.</w:t>
      </w:r>
    </w:p>
    <w:p w14:paraId="75BF4FC3" w14:textId="77777777" w:rsidR="00D91EB9" w:rsidRPr="00F65B63" w:rsidRDefault="00D91EB9" w:rsidP="00D91EB9">
      <w:pPr>
        <w:spacing w:line="360" w:lineRule="auto"/>
        <w:ind w:firstLine="720"/>
        <w:jc w:val="both"/>
        <w:rPr>
          <w:sz w:val="24"/>
          <w:szCs w:val="24"/>
        </w:rPr>
      </w:pPr>
      <w:r w:rsidRPr="00F65B63">
        <w:rPr>
          <w:sz w:val="24"/>
          <w:szCs w:val="24"/>
        </w:rPr>
        <w:t xml:space="preserve">O autor explica os principais desafios do processo estrutural: </w:t>
      </w:r>
      <w:r w:rsidRPr="00F65B63">
        <w:rPr>
          <w:i/>
          <w:sz w:val="24"/>
          <w:szCs w:val="24"/>
        </w:rPr>
        <w:t>(a)</w:t>
      </w:r>
      <w:r w:rsidRPr="00F65B63">
        <w:rPr>
          <w:sz w:val="24"/>
          <w:szCs w:val="24"/>
        </w:rPr>
        <w:t xml:space="preserve"> a apreensão das características do litígio, em sua complexidade e conflituosidade, permitindo que os diferentes grupos de interesses sejam ouvidos; </w:t>
      </w:r>
      <w:r w:rsidRPr="00F65B63">
        <w:rPr>
          <w:i/>
          <w:sz w:val="24"/>
          <w:szCs w:val="24"/>
        </w:rPr>
        <w:t>(b)</w:t>
      </w:r>
      <w:r w:rsidRPr="00F65B63">
        <w:rPr>
          <w:sz w:val="24"/>
          <w:szCs w:val="24"/>
        </w:rPr>
        <w:t xml:space="preserve"> a elaboração de um plano de alteração do funcionamento da instituição, com o objetivo de fazer com que deixe de se comportar da maneira reputada indesejável; </w:t>
      </w:r>
      <w:r w:rsidRPr="00F65B63">
        <w:rPr>
          <w:i/>
          <w:sz w:val="24"/>
          <w:szCs w:val="24"/>
        </w:rPr>
        <w:t>(c)</w:t>
      </w:r>
      <w:r w:rsidRPr="00F65B63">
        <w:rPr>
          <w:sz w:val="24"/>
          <w:szCs w:val="24"/>
        </w:rPr>
        <w:t xml:space="preserve"> a implementação desse plano, de forma compulsória ou negociada; </w:t>
      </w:r>
      <w:r w:rsidRPr="00F65B63">
        <w:rPr>
          <w:i/>
          <w:sz w:val="24"/>
          <w:szCs w:val="24"/>
        </w:rPr>
        <w:t>(d)</w:t>
      </w:r>
      <w:r w:rsidRPr="00F65B63">
        <w:rPr>
          <w:sz w:val="24"/>
          <w:szCs w:val="24"/>
        </w:rPr>
        <w:t xml:space="preserve"> a avaliação dos resultados dessa implementação; </w:t>
      </w:r>
      <w:r w:rsidRPr="00F65B63">
        <w:rPr>
          <w:i/>
          <w:sz w:val="24"/>
          <w:szCs w:val="24"/>
        </w:rPr>
        <w:t>(e)</w:t>
      </w:r>
      <w:r w:rsidRPr="00F65B63">
        <w:rPr>
          <w:sz w:val="24"/>
          <w:szCs w:val="24"/>
        </w:rPr>
        <w:t xml:space="preserve"> a reelaboração do plano, a partir dos resultados avaliados, para abordar aspectos inicialmente não percebidos ou minorar efeitos colaterais imprevistos; e </w:t>
      </w:r>
      <w:r w:rsidRPr="00F65B63">
        <w:rPr>
          <w:i/>
          <w:sz w:val="24"/>
          <w:szCs w:val="24"/>
        </w:rPr>
        <w:t>(f)</w:t>
      </w:r>
      <w:r w:rsidRPr="00F65B63">
        <w:rPr>
          <w:sz w:val="24"/>
          <w:szCs w:val="24"/>
        </w:rPr>
        <w:t xml:space="preserve"> a implementação do plano já revisto, que reinicia o ciclo, que se perpetua indefinidamente até a solução do litígio, com a obtenção do resultado social desejado, que é a reorganização da estrutura.</w:t>
      </w:r>
    </w:p>
    <w:p w14:paraId="5B278493" w14:textId="7D54B74B" w:rsidR="00D91EB9" w:rsidRPr="00F65B63" w:rsidRDefault="00D91EB9" w:rsidP="00D91EB9">
      <w:pPr>
        <w:spacing w:line="360" w:lineRule="auto"/>
        <w:ind w:firstLine="720"/>
        <w:jc w:val="both"/>
        <w:rPr>
          <w:sz w:val="24"/>
          <w:szCs w:val="24"/>
        </w:rPr>
      </w:pPr>
      <w:r w:rsidRPr="00F65B63">
        <w:rPr>
          <w:sz w:val="24"/>
          <w:szCs w:val="24"/>
        </w:rPr>
        <w:t xml:space="preserve">Para </w:t>
      </w:r>
      <w:r w:rsidR="00BD4AFF" w:rsidRPr="00F65B63">
        <w:rPr>
          <w:sz w:val="24"/>
          <w:szCs w:val="24"/>
        </w:rPr>
        <w:t xml:space="preserve">Fredie </w:t>
      </w:r>
      <w:r w:rsidRPr="00F65B63">
        <w:rPr>
          <w:sz w:val="24"/>
          <w:szCs w:val="24"/>
        </w:rPr>
        <w:t>Didier Junior, Hermes Zaneti Junior e Rafael Alexandria de Oliveira</w:t>
      </w:r>
      <w:r w:rsidRPr="00F65B63">
        <w:rPr>
          <w:sz w:val="24"/>
          <w:szCs w:val="24"/>
          <w:vertAlign w:val="superscript"/>
        </w:rPr>
        <w:footnoteReference w:id="22"/>
      </w:r>
      <w:r w:rsidRPr="00F65B63">
        <w:rPr>
          <w:sz w:val="24"/>
          <w:szCs w:val="24"/>
        </w:rPr>
        <w:t xml:space="preserve">, no processo estrutural se veiculam litígios estruturais, pautados em um problema estrutural, visando-se modificar esse estado de desconformidade, substituindo-o por um estado de coisas ideal. </w:t>
      </w:r>
    </w:p>
    <w:p w14:paraId="1615CF7A" w14:textId="77777777" w:rsidR="00D91EB9" w:rsidRPr="00F65B63" w:rsidRDefault="00D91EB9" w:rsidP="00D91EB9">
      <w:pPr>
        <w:spacing w:line="360" w:lineRule="auto"/>
        <w:ind w:firstLine="720"/>
        <w:jc w:val="both"/>
        <w:rPr>
          <w:sz w:val="24"/>
          <w:szCs w:val="24"/>
        </w:rPr>
      </w:pPr>
      <w:r w:rsidRPr="00F65B63">
        <w:rPr>
          <w:sz w:val="24"/>
          <w:szCs w:val="24"/>
        </w:rPr>
        <w:t xml:space="preserve">Assim, o processo estrutural: </w:t>
      </w:r>
      <w:r w:rsidRPr="00F65B63">
        <w:rPr>
          <w:i/>
          <w:sz w:val="24"/>
          <w:szCs w:val="24"/>
        </w:rPr>
        <w:t>(a)</w:t>
      </w:r>
      <w:r w:rsidRPr="00F65B63">
        <w:rPr>
          <w:sz w:val="24"/>
          <w:szCs w:val="24"/>
        </w:rPr>
        <w:t xml:space="preserve"> se pautaria na discussão sobre um problema estrutural, um estado de coisas ilícito, um estado de desconformidade (ou qualquer outro nome para designar uma situação de desconformidade estruturada); </w:t>
      </w:r>
      <w:r w:rsidRPr="00F65B63">
        <w:rPr>
          <w:i/>
          <w:sz w:val="24"/>
          <w:szCs w:val="24"/>
        </w:rPr>
        <w:t>(b)</w:t>
      </w:r>
      <w:r w:rsidRPr="00F65B63">
        <w:rPr>
          <w:sz w:val="24"/>
          <w:szCs w:val="24"/>
        </w:rPr>
        <w:t xml:space="preserve"> buscaria uma transição deste estado de desconformidade para um estado ideal de coisas (uma reestruturação), removendo a situação de desconformidade por meio de uma decisão de implementação escalonada; </w:t>
      </w:r>
      <w:r w:rsidRPr="00F65B63">
        <w:rPr>
          <w:i/>
          <w:sz w:val="24"/>
          <w:szCs w:val="24"/>
        </w:rPr>
        <w:t>(c)</w:t>
      </w:r>
      <w:r w:rsidRPr="00F65B63">
        <w:rPr>
          <w:sz w:val="24"/>
          <w:szCs w:val="24"/>
        </w:rPr>
        <w:t xml:space="preserve"> se desenvolveria em um procedimento bifásico, no qual ocorreriam o reconhecimento e a definição do problema estrutural e o estabelecimento de programa ou projeto de reestruturação a ser seguido; </w:t>
      </w:r>
      <w:r w:rsidRPr="00F65B63">
        <w:rPr>
          <w:i/>
          <w:sz w:val="24"/>
          <w:szCs w:val="24"/>
        </w:rPr>
        <w:t>(d)</w:t>
      </w:r>
      <w:r w:rsidRPr="00F65B63">
        <w:rPr>
          <w:sz w:val="24"/>
          <w:szCs w:val="24"/>
        </w:rPr>
        <w:t xml:space="preserve"> se desenvolveria em um procedimento marcado por sua flexibilidade intrínseca, possibilitando-se a adoção de formas atípicas de intervenção de terceiros e de medidas executivas, alteração do objeto litigioso, uso de mecanismos de cooperação judiciária; e </w:t>
      </w:r>
      <w:r w:rsidRPr="00F65B63">
        <w:rPr>
          <w:i/>
          <w:sz w:val="24"/>
          <w:szCs w:val="24"/>
        </w:rPr>
        <w:t>(e)</w:t>
      </w:r>
      <w:r w:rsidRPr="00F65B63">
        <w:rPr>
          <w:sz w:val="24"/>
          <w:szCs w:val="24"/>
        </w:rPr>
        <w:t xml:space="preserve"> se pautaria pela consensualidade, abrangendo inclusive a adaptação do processo (art. 190, CPC).</w:t>
      </w:r>
    </w:p>
    <w:p w14:paraId="51648481" w14:textId="6578E5A9" w:rsidR="00D91EB9" w:rsidRPr="00F65B63" w:rsidRDefault="00D91EB9" w:rsidP="00D91EB9">
      <w:pPr>
        <w:spacing w:line="360" w:lineRule="auto"/>
        <w:ind w:firstLine="720"/>
        <w:jc w:val="both"/>
        <w:rPr>
          <w:sz w:val="24"/>
          <w:szCs w:val="24"/>
        </w:rPr>
      </w:pPr>
      <w:r w:rsidRPr="00F65B63">
        <w:rPr>
          <w:sz w:val="24"/>
          <w:szCs w:val="24"/>
        </w:rPr>
        <w:t>Conforme explicam Leonardo Silva Nunes, Samuel Paiva Cota e Ana Maria Damasceno de Carvalho Faria</w:t>
      </w:r>
      <w:r w:rsidRPr="00F65B63">
        <w:rPr>
          <w:sz w:val="24"/>
          <w:szCs w:val="24"/>
          <w:vertAlign w:val="superscript"/>
        </w:rPr>
        <w:footnoteReference w:id="23"/>
      </w:r>
      <w:r w:rsidRPr="00F65B63">
        <w:rPr>
          <w:sz w:val="24"/>
          <w:szCs w:val="24"/>
        </w:rPr>
        <w:t xml:space="preserve">, </w:t>
      </w:r>
      <w:r w:rsidR="00BD4AFF" w:rsidRPr="00F65B63">
        <w:rPr>
          <w:sz w:val="24"/>
          <w:szCs w:val="24"/>
        </w:rPr>
        <w:t xml:space="preserve">tais litígios, </w:t>
      </w:r>
      <w:r w:rsidRPr="00F65B63">
        <w:rPr>
          <w:sz w:val="24"/>
          <w:szCs w:val="24"/>
        </w:rPr>
        <w:t xml:space="preserve">sempre relacionados a questões de amplo espectro (meio ambiente, saúde, educação, sistema carcerário, trabalho, </w:t>
      </w:r>
      <w:r w:rsidR="00BD4AFF" w:rsidRPr="00F65B63">
        <w:rPr>
          <w:sz w:val="24"/>
          <w:szCs w:val="24"/>
        </w:rPr>
        <w:t>etc</w:t>
      </w:r>
      <w:r w:rsidRPr="00F65B63">
        <w:rPr>
          <w:sz w:val="24"/>
          <w:szCs w:val="24"/>
        </w:rPr>
        <w:t>)</w:t>
      </w:r>
      <w:r w:rsidR="00BD4AFF" w:rsidRPr="00F65B63">
        <w:rPr>
          <w:sz w:val="24"/>
          <w:szCs w:val="24"/>
        </w:rPr>
        <w:t xml:space="preserve">, </w:t>
      </w:r>
      <w:r w:rsidRPr="00F65B63">
        <w:rPr>
          <w:sz w:val="24"/>
          <w:szCs w:val="24"/>
        </w:rPr>
        <w:t xml:space="preserve">surgem de violações estruturais desses direitos </w:t>
      </w:r>
      <w:r w:rsidRPr="00F65B63">
        <w:rPr>
          <w:sz w:val="24"/>
          <w:szCs w:val="24"/>
        </w:rPr>
        <w:lastRenderedPageBreak/>
        <w:t>ocasionadas por um “conjunto de práticas e dinâmicas institucionalizadas, dentro de uma causalidade complexa”, salientando, ainda, seu caráter prospectivo, negocial e participativo, o que impacta diretamente a sistemática processual civil.</w:t>
      </w:r>
    </w:p>
    <w:p w14:paraId="183C398F" w14:textId="2C38C317" w:rsidR="00D91EB9" w:rsidRPr="00F65B63" w:rsidRDefault="00D91EB9" w:rsidP="00D91EB9">
      <w:pPr>
        <w:spacing w:line="360" w:lineRule="auto"/>
        <w:ind w:firstLine="720"/>
        <w:jc w:val="both"/>
        <w:rPr>
          <w:sz w:val="24"/>
          <w:szCs w:val="24"/>
        </w:rPr>
      </w:pPr>
      <w:r w:rsidRPr="00F65B63">
        <w:rPr>
          <w:sz w:val="24"/>
          <w:szCs w:val="24"/>
        </w:rPr>
        <w:t>Infere-se que o processo estrutural é bastante complexo, motivo pelo qual</w:t>
      </w:r>
      <w:r w:rsidR="0059688B" w:rsidRPr="00F65B63">
        <w:rPr>
          <w:sz w:val="24"/>
          <w:szCs w:val="24"/>
        </w:rPr>
        <w:t xml:space="preserve"> </w:t>
      </w:r>
      <w:r w:rsidRPr="00F65B63">
        <w:rPr>
          <w:sz w:val="24"/>
          <w:szCs w:val="24"/>
        </w:rPr>
        <w:t xml:space="preserve">raramente </w:t>
      </w:r>
      <w:r w:rsidR="0059688B" w:rsidRPr="00F65B63">
        <w:rPr>
          <w:sz w:val="24"/>
          <w:szCs w:val="24"/>
        </w:rPr>
        <w:t>os l</w:t>
      </w:r>
      <w:r w:rsidRPr="00F65B63">
        <w:rPr>
          <w:sz w:val="24"/>
          <w:szCs w:val="24"/>
        </w:rPr>
        <w:t>itígios estruturais são resolvidos em processos estruturais, pois</w:t>
      </w:r>
      <w:r w:rsidR="0059688B" w:rsidRPr="00F65B63">
        <w:rPr>
          <w:sz w:val="24"/>
          <w:szCs w:val="24"/>
        </w:rPr>
        <w:t>, conforme explica Edilson Vitorelli,</w:t>
      </w:r>
      <w:r w:rsidRPr="00F65B63">
        <w:rPr>
          <w:sz w:val="24"/>
          <w:szCs w:val="24"/>
        </w:rPr>
        <w:t xml:space="preserve"> estes são “longos, difíceis, demandam uma estrutura representativa intrincada e, por esse motivo, são evitados por juízes e legitimados coletivos”</w:t>
      </w:r>
      <w:r w:rsidRPr="00F65B63">
        <w:rPr>
          <w:sz w:val="24"/>
          <w:szCs w:val="24"/>
          <w:vertAlign w:val="superscript"/>
        </w:rPr>
        <w:footnoteReference w:id="24"/>
      </w:r>
      <w:r w:rsidRPr="00F65B63">
        <w:rPr>
          <w:sz w:val="24"/>
          <w:szCs w:val="24"/>
        </w:rPr>
        <w:t xml:space="preserve">. Nesses casos, o funcionamento da instituição permanece inalterado, de modo que o processo, no máximo, vai resolver a lide, não o conflito. </w:t>
      </w:r>
    </w:p>
    <w:p w14:paraId="5978DD9E" w14:textId="7EE52809" w:rsidR="00D91EB9" w:rsidRPr="00F65B63" w:rsidRDefault="00BD4AFF" w:rsidP="00D91EB9">
      <w:pPr>
        <w:spacing w:line="360" w:lineRule="auto"/>
        <w:ind w:firstLine="720"/>
        <w:jc w:val="both"/>
        <w:rPr>
          <w:sz w:val="24"/>
          <w:szCs w:val="24"/>
        </w:rPr>
      </w:pPr>
      <w:r w:rsidRPr="00F65B63">
        <w:rPr>
          <w:sz w:val="24"/>
          <w:szCs w:val="24"/>
        </w:rPr>
        <w:t>Mister consignar que t</w:t>
      </w:r>
      <w:r w:rsidR="00D91EB9" w:rsidRPr="00F65B63">
        <w:rPr>
          <w:sz w:val="24"/>
          <w:szCs w:val="24"/>
        </w:rPr>
        <w:t>ais conflitos não apresentam o tradicional aspecto bipolar, retrospectivo e reparatório de uma demanda individual ou meramente coletiva</w:t>
      </w:r>
      <w:r w:rsidRPr="00F65B63">
        <w:rPr>
          <w:sz w:val="24"/>
          <w:szCs w:val="24"/>
        </w:rPr>
        <w:t>.</w:t>
      </w:r>
    </w:p>
    <w:p w14:paraId="0CDAD8DC" w14:textId="052F6BC4" w:rsidR="00D91EB9" w:rsidRPr="00F65B63" w:rsidRDefault="00D91EB9" w:rsidP="00D91EB9">
      <w:pPr>
        <w:spacing w:line="360" w:lineRule="auto"/>
        <w:ind w:firstLine="720"/>
        <w:jc w:val="both"/>
        <w:rPr>
          <w:sz w:val="24"/>
          <w:szCs w:val="24"/>
        </w:rPr>
      </w:pPr>
      <w:r w:rsidRPr="00F65B63">
        <w:rPr>
          <w:sz w:val="24"/>
          <w:szCs w:val="24"/>
        </w:rPr>
        <w:t>Nesse sentido, a resolução retrospectiva da lide é, na verdade, uma ilusão de solução, porque, ao não combater as causas do problema, acaba não produzindo resultados sociais significativos</w:t>
      </w:r>
      <w:r w:rsidR="0059688B" w:rsidRPr="00F65B63">
        <w:rPr>
          <w:sz w:val="24"/>
          <w:szCs w:val="24"/>
        </w:rPr>
        <w:t>, conforme explica Edilson Vitorelli</w:t>
      </w:r>
      <w:r w:rsidRPr="00F65B63">
        <w:rPr>
          <w:sz w:val="24"/>
          <w:szCs w:val="24"/>
        </w:rPr>
        <w:t>: “Enfocam-se as suas consequências presentes mais evidentes, ‘a conta-gotas’, em processos individuais, ou mesmo em processos coletivos, mas que abordam parte do problema público”</w:t>
      </w:r>
      <w:r w:rsidRPr="00F65B63">
        <w:rPr>
          <w:sz w:val="24"/>
          <w:szCs w:val="24"/>
          <w:vertAlign w:val="superscript"/>
        </w:rPr>
        <w:footnoteReference w:id="25"/>
      </w:r>
      <w:r w:rsidRPr="00F65B63">
        <w:rPr>
          <w:sz w:val="24"/>
          <w:szCs w:val="24"/>
        </w:rPr>
        <w:t>, hipóteses em que a atuação do legitimado coletivo e do Poder Judiciário possuem o condão de, inclusive, aprofundar as desigualdades e desorganizar ainda mais o serviço público que se pretendia melhorar.</w:t>
      </w:r>
    </w:p>
    <w:p w14:paraId="02ADD5FB" w14:textId="57B8FCDA" w:rsidR="00D91EB9" w:rsidRPr="00F65B63" w:rsidRDefault="00D91EB9" w:rsidP="00D91EB9">
      <w:pPr>
        <w:spacing w:line="360" w:lineRule="auto"/>
        <w:ind w:firstLine="720"/>
        <w:jc w:val="both"/>
        <w:rPr>
          <w:sz w:val="24"/>
          <w:szCs w:val="24"/>
        </w:rPr>
      </w:pPr>
      <w:r w:rsidRPr="00F65B63">
        <w:rPr>
          <w:sz w:val="24"/>
          <w:szCs w:val="24"/>
        </w:rPr>
        <w:t xml:space="preserve">As </w:t>
      </w:r>
      <w:r w:rsidRPr="00F65B63">
        <w:rPr>
          <w:i/>
          <w:iCs/>
          <w:sz w:val="24"/>
          <w:szCs w:val="24"/>
        </w:rPr>
        <w:t xml:space="preserve">structural injunctions, </w:t>
      </w:r>
      <w:r w:rsidRPr="00F65B63">
        <w:rPr>
          <w:sz w:val="24"/>
          <w:szCs w:val="24"/>
        </w:rPr>
        <w:t xml:space="preserve">apesar de seu caráter mandamental, não equivalem propriamente a atos coercitivos. Apenas atestam que uma instituição social deverá ser reconstruída (por exemplo, uma política pública de saúde ou educação), sob administração judicial, remanescendo a coerção como medida </w:t>
      </w:r>
      <w:r w:rsidRPr="00F65B63">
        <w:rPr>
          <w:i/>
          <w:iCs/>
          <w:sz w:val="24"/>
          <w:szCs w:val="24"/>
        </w:rPr>
        <w:t>ultima ratio</w:t>
      </w:r>
      <w:r w:rsidRPr="00F65B63">
        <w:rPr>
          <w:sz w:val="24"/>
          <w:szCs w:val="24"/>
        </w:rPr>
        <w:t xml:space="preserve">. </w:t>
      </w:r>
    </w:p>
    <w:p w14:paraId="61F6BF12" w14:textId="032C69E2" w:rsidR="00D91EB9" w:rsidRPr="00F65B63" w:rsidRDefault="00D91EB9" w:rsidP="00D91EB9">
      <w:pPr>
        <w:spacing w:line="360" w:lineRule="auto"/>
        <w:ind w:firstLine="720"/>
        <w:jc w:val="both"/>
        <w:rPr>
          <w:sz w:val="24"/>
          <w:szCs w:val="24"/>
        </w:rPr>
      </w:pPr>
      <w:r w:rsidRPr="00F65B63">
        <w:rPr>
          <w:sz w:val="24"/>
          <w:szCs w:val="24"/>
        </w:rPr>
        <w:t xml:space="preserve">Explica </w:t>
      </w:r>
      <w:r w:rsidR="00BD4AFF" w:rsidRPr="00F65B63">
        <w:rPr>
          <w:sz w:val="24"/>
          <w:szCs w:val="24"/>
        </w:rPr>
        <w:t xml:space="preserve">Edilson </w:t>
      </w:r>
      <w:r w:rsidRPr="00F65B63">
        <w:rPr>
          <w:sz w:val="24"/>
          <w:szCs w:val="24"/>
        </w:rPr>
        <w:t>Vitorelli</w:t>
      </w:r>
      <w:r w:rsidRPr="00F65B63">
        <w:rPr>
          <w:rStyle w:val="Refdenotaderodap"/>
          <w:sz w:val="24"/>
          <w:szCs w:val="24"/>
        </w:rPr>
        <w:footnoteReference w:id="26"/>
      </w:r>
      <w:r w:rsidRPr="00F65B63">
        <w:rPr>
          <w:sz w:val="24"/>
          <w:szCs w:val="24"/>
        </w:rPr>
        <w:t xml:space="preserve"> que as </w:t>
      </w:r>
      <w:r w:rsidRPr="00F65B63">
        <w:rPr>
          <w:i/>
          <w:iCs/>
          <w:sz w:val="24"/>
          <w:szCs w:val="24"/>
        </w:rPr>
        <w:t>structural injunctions</w:t>
      </w:r>
      <w:r w:rsidRPr="00F65B63">
        <w:rPr>
          <w:sz w:val="24"/>
          <w:szCs w:val="24"/>
        </w:rPr>
        <w:t xml:space="preserve"> são ordens judiciais que impõem “não uma conduta isolada, a uma parte específica, mas um conjunto de medidas para ajustar comportamentos futuros, em vez de compensar erros pretéritos”, cenário em que o juízo atua “mais como um agente de intermediação e de convencimento, não mediante decisão e imposição”</w:t>
      </w:r>
      <w:r w:rsidR="0059688B" w:rsidRPr="00F65B63">
        <w:rPr>
          <w:sz w:val="24"/>
          <w:szCs w:val="24"/>
        </w:rPr>
        <w:t>, tendo sido nesse exato sentido o entendimento exarado pelo STF na definição da tese vinculante no bojo do Tema 698</w:t>
      </w:r>
      <w:r w:rsidRPr="00F65B63">
        <w:rPr>
          <w:sz w:val="24"/>
          <w:szCs w:val="24"/>
        </w:rPr>
        <w:t>.</w:t>
      </w:r>
    </w:p>
    <w:p w14:paraId="00875982" w14:textId="77777777" w:rsidR="00BD4AFF" w:rsidRPr="00F65B63" w:rsidRDefault="00497997" w:rsidP="00497997">
      <w:pPr>
        <w:spacing w:line="360" w:lineRule="auto"/>
        <w:ind w:firstLine="720"/>
        <w:jc w:val="both"/>
        <w:rPr>
          <w:sz w:val="24"/>
          <w:szCs w:val="24"/>
        </w:rPr>
      </w:pPr>
      <w:r w:rsidRPr="00F65B63">
        <w:rPr>
          <w:sz w:val="24"/>
          <w:szCs w:val="24"/>
        </w:rPr>
        <w:t>Nos dizeres de Owen Fiss, a reforma estrutural é um tipo distinto de adjudicação, dado o caráter constitucional dos valores públicos envolvidos e o embate entre Judiciário e as burocracias estatais</w:t>
      </w:r>
      <w:r w:rsidRPr="00F65B63">
        <w:rPr>
          <w:sz w:val="24"/>
          <w:szCs w:val="24"/>
          <w:vertAlign w:val="superscript"/>
        </w:rPr>
        <w:footnoteReference w:id="27"/>
      </w:r>
      <w:r w:rsidRPr="00F65B63">
        <w:rPr>
          <w:sz w:val="24"/>
          <w:szCs w:val="24"/>
        </w:rPr>
        <w:t xml:space="preserve">. </w:t>
      </w:r>
    </w:p>
    <w:p w14:paraId="5A81A100" w14:textId="59E6A651" w:rsidR="00497997" w:rsidRPr="00F65B63" w:rsidRDefault="00497997" w:rsidP="00497997">
      <w:pPr>
        <w:spacing w:line="360" w:lineRule="auto"/>
        <w:ind w:firstLine="720"/>
        <w:jc w:val="both"/>
        <w:rPr>
          <w:sz w:val="24"/>
          <w:szCs w:val="24"/>
        </w:rPr>
      </w:pPr>
      <w:r w:rsidRPr="00F65B63">
        <w:rPr>
          <w:sz w:val="24"/>
          <w:szCs w:val="24"/>
        </w:rPr>
        <w:lastRenderedPageBreak/>
        <w:t>Nesse contexto, o juízo assume uma relevante função de legislador e executor, conforme aponta Desirê Bauermann</w:t>
      </w:r>
      <w:r w:rsidRPr="00F65B63">
        <w:rPr>
          <w:sz w:val="24"/>
          <w:szCs w:val="24"/>
          <w:vertAlign w:val="superscript"/>
        </w:rPr>
        <w:footnoteReference w:id="28"/>
      </w:r>
      <w:r w:rsidRPr="00F65B63">
        <w:rPr>
          <w:sz w:val="24"/>
          <w:szCs w:val="24"/>
        </w:rPr>
        <w:t>, “já que ele passa a desenvolver e supervisionar políticas públicas, exercendo um papel principal no sucesso da implementação da medida por ele desenvolvida.</w:t>
      </w:r>
    </w:p>
    <w:p w14:paraId="3A0A67D9" w14:textId="77777777" w:rsidR="00497997" w:rsidRPr="00F65B63" w:rsidRDefault="00497997" w:rsidP="00497997">
      <w:pPr>
        <w:spacing w:line="360" w:lineRule="auto"/>
        <w:ind w:firstLine="720"/>
        <w:jc w:val="both"/>
        <w:rPr>
          <w:sz w:val="24"/>
          <w:szCs w:val="24"/>
        </w:rPr>
      </w:pPr>
      <w:r w:rsidRPr="00F65B63">
        <w:rPr>
          <w:sz w:val="24"/>
          <w:szCs w:val="24"/>
        </w:rPr>
        <w:t xml:space="preserve">Interessante questão levantada pela autora envolve os limites da atuação judicial, ou seja, como definir até que ponto a tutela jurisdicional poderia e deveria ir. Menciona o caso das </w:t>
      </w:r>
      <w:r w:rsidRPr="00F65B63">
        <w:rPr>
          <w:i/>
          <w:sz w:val="24"/>
          <w:szCs w:val="24"/>
        </w:rPr>
        <w:t xml:space="preserve">structural injunctions </w:t>
      </w:r>
      <w:r w:rsidRPr="00F65B63">
        <w:rPr>
          <w:sz w:val="24"/>
          <w:szCs w:val="24"/>
        </w:rPr>
        <w:t>no sistema prisional norte-americano, perguntando o que significaria, no caso, não dar aos presos punições cruéis: “Significa não submetê-los a tortura? Não submetê-los a prisões superlotadas?”. E segue: “Ou também significa lhes fornecer alimentação balanceada, celas com um tamanho específico, acesso a bibliotecas e internet, e um número mínimo de banheiros de acordo com o número de presos?”</w:t>
      </w:r>
    </w:p>
    <w:p w14:paraId="3C3ECA6C" w14:textId="19B25DF1" w:rsidR="00497997" w:rsidRPr="00F65B63" w:rsidRDefault="00497997" w:rsidP="00497997">
      <w:pPr>
        <w:spacing w:line="360" w:lineRule="auto"/>
        <w:ind w:firstLine="720"/>
        <w:jc w:val="both"/>
        <w:rPr>
          <w:sz w:val="24"/>
          <w:szCs w:val="24"/>
        </w:rPr>
      </w:pPr>
      <w:r w:rsidRPr="00F65B63">
        <w:rPr>
          <w:sz w:val="24"/>
          <w:szCs w:val="24"/>
        </w:rPr>
        <w:t xml:space="preserve">Nesse cenário, o Judiciário se </w:t>
      </w:r>
      <w:r w:rsidR="00BD4AFF" w:rsidRPr="00F65B63">
        <w:rPr>
          <w:sz w:val="24"/>
          <w:szCs w:val="24"/>
        </w:rPr>
        <w:t>encontra</w:t>
      </w:r>
      <w:r w:rsidRPr="00F65B63">
        <w:rPr>
          <w:sz w:val="24"/>
          <w:szCs w:val="24"/>
        </w:rPr>
        <w:t xml:space="preserve"> envolvido em profundos níveis do tratamento a ser conferido aos presos, sem que houvesse intervenção executiva ou legislativa. </w:t>
      </w:r>
      <w:r w:rsidR="00BD4AFF" w:rsidRPr="00F65B63">
        <w:rPr>
          <w:sz w:val="24"/>
          <w:szCs w:val="24"/>
        </w:rPr>
        <w:t xml:space="preserve">Owen </w:t>
      </w:r>
      <w:r w:rsidRPr="00F65B63">
        <w:rPr>
          <w:sz w:val="24"/>
          <w:szCs w:val="24"/>
        </w:rPr>
        <w:t>Fiss</w:t>
      </w:r>
      <w:r w:rsidRPr="00F65B63">
        <w:rPr>
          <w:sz w:val="24"/>
          <w:szCs w:val="24"/>
          <w:vertAlign w:val="superscript"/>
        </w:rPr>
        <w:footnoteReference w:id="29"/>
      </w:r>
      <w:r w:rsidRPr="00F65B63">
        <w:rPr>
          <w:sz w:val="24"/>
          <w:szCs w:val="24"/>
        </w:rPr>
        <w:t xml:space="preserve"> alude ao fato de</w:t>
      </w:r>
      <w:r w:rsidR="00BD4AFF" w:rsidRPr="00F65B63">
        <w:rPr>
          <w:sz w:val="24"/>
          <w:szCs w:val="24"/>
        </w:rPr>
        <w:t xml:space="preserve"> </w:t>
      </w:r>
      <w:r w:rsidRPr="00F65B63">
        <w:rPr>
          <w:sz w:val="24"/>
          <w:szCs w:val="24"/>
        </w:rPr>
        <w:t>inexist</w:t>
      </w:r>
      <w:r w:rsidR="00BD4AFF" w:rsidRPr="00F65B63">
        <w:rPr>
          <w:sz w:val="24"/>
          <w:szCs w:val="24"/>
        </w:rPr>
        <w:t>ir</w:t>
      </w:r>
      <w:r w:rsidRPr="00F65B63">
        <w:rPr>
          <w:sz w:val="24"/>
          <w:szCs w:val="24"/>
        </w:rPr>
        <w:t xml:space="preserve"> na Constituição norte-americana previsão sobre “laudos, chuveiros ou solitárias; muito menos acerca das datas em que os laudos são devidos, da temperatura dos chuveiros ou do número máximo de dias que podem ser passados em uma solitária”, mas como contém disposições a respeito do tratamento humano e da igualdade, o Judiciário tenta conferir significado a esses valores constitucionais, inclusive tratando dessas especificidades “como uma forma de trazer a organização para dentro dos limites constitucionais”.</w:t>
      </w:r>
    </w:p>
    <w:p w14:paraId="4FE85BDD" w14:textId="1B1E327F" w:rsidR="00497997" w:rsidRPr="00F65B63" w:rsidRDefault="00463AC8" w:rsidP="00497997">
      <w:pPr>
        <w:spacing w:line="360" w:lineRule="auto"/>
        <w:ind w:firstLine="720"/>
        <w:jc w:val="both"/>
        <w:rPr>
          <w:sz w:val="24"/>
          <w:szCs w:val="24"/>
        </w:rPr>
      </w:pPr>
      <w:r w:rsidRPr="00F65B63">
        <w:rPr>
          <w:sz w:val="24"/>
          <w:szCs w:val="24"/>
        </w:rPr>
        <w:t xml:space="preserve">Desirê </w:t>
      </w:r>
      <w:r w:rsidR="00497997" w:rsidRPr="00F65B63">
        <w:rPr>
          <w:sz w:val="24"/>
          <w:szCs w:val="24"/>
        </w:rPr>
        <w:t xml:space="preserve">Bauermann entende que a solução consensual nos processos estruturais apresenta inúmeras vantagens em relação à decisão judicial imposta, porque </w:t>
      </w:r>
      <w:r w:rsidR="00497997" w:rsidRPr="00F65B63">
        <w:rPr>
          <w:i/>
          <w:sz w:val="24"/>
          <w:szCs w:val="24"/>
        </w:rPr>
        <w:t>(a)</w:t>
      </w:r>
      <w:r w:rsidR="00497997" w:rsidRPr="00F65B63">
        <w:rPr>
          <w:sz w:val="24"/>
          <w:szCs w:val="24"/>
        </w:rPr>
        <w:t xml:space="preserve"> o acordo evitaria o custo e o tempo de um processo, </w:t>
      </w:r>
      <w:r w:rsidR="00497997" w:rsidRPr="00F65B63">
        <w:rPr>
          <w:i/>
          <w:sz w:val="24"/>
          <w:szCs w:val="24"/>
        </w:rPr>
        <w:t>(b)</w:t>
      </w:r>
      <w:r w:rsidR="00497997" w:rsidRPr="00F65B63">
        <w:rPr>
          <w:sz w:val="24"/>
          <w:szCs w:val="24"/>
        </w:rPr>
        <w:t xml:space="preserve"> as discussões antecedentes ensejam um acordo mais detalhado, </w:t>
      </w:r>
      <w:r w:rsidR="00497997" w:rsidRPr="00F65B63">
        <w:rPr>
          <w:i/>
          <w:sz w:val="24"/>
          <w:szCs w:val="24"/>
        </w:rPr>
        <w:t>(c)</w:t>
      </w:r>
      <w:r w:rsidR="00497997" w:rsidRPr="00F65B63">
        <w:rPr>
          <w:sz w:val="24"/>
          <w:szCs w:val="24"/>
        </w:rPr>
        <w:t xml:space="preserve"> as partes acabam conhecendo mais o direito material envolvido, podendo, dessa forma, desenvolver medidas mais adequadas a sua concretização e </w:t>
      </w:r>
      <w:r w:rsidR="00497997" w:rsidRPr="00F65B63">
        <w:rPr>
          <w:i/>
          <w:sz w:val="24"/>
          <w:szCs w:val="24"/>
        </w:rPr>
        <w:t>(d)</w:t>
      </w:r>
      <w:r w:rsidR="00497997" w:rsidRPr="00F65B63">
        <w:rPr>
          <w:sz w:val="24"/>
          <w:szCs w:val="24"/>
        </w:rPr>
        <w:t xml:space="preserve"> os réus tendem a respeitar mais os acordos de cuja formação puderam participar que uma decisão unilateralmente imposta pelo juízo.</w:t>
      </w:r>
    </w:p>
    <w:p w14:paraId="520CFAEB" w14:textId="77777777" w:rsidR="00D91EB9" w:rsidRPr="00F65B63" w:rsidRDefault="00D91EB9" w:rsidP="00D91EB9">
      <w:pPr>
        <w:spacing w:line="360" w:lineRule="auto"/>
        <w:ind w:firstLine="720"/>
        <w:jc w:val="both"/>
        <w:rPr>
          <w:sz w:val="24"/>
          <w:szCs w:val="24"/>
        </w:rPr>
      </w:pPr>
      <w:r w:rsidRPr="00F65B63">
        <w:rPr>
          <w:sz w:val="24"/>
          <w:szCs w:val="24"/>
        </w:rPr>
        <w:t xml:space="preserve">A legislação brasileira e os princípios jurídicos aplicáveis permitem adaptações da técnica jurídico processual conforme as necessidades e peculiaridades da controvérsia, sendo plenamente viável, em processos estruturais ou não, a adoção de um modelo de cumprimento judicial criativo, aberto, dialógico, cooperativo, colaborativo e consensual em face da Fazenda Pública, evitando-se, com isso, aplicações rigorosas da lei e dos comandos judiciais, que, em muitas vezes, vão de encontro </w:t>
      </w:r>
      <w:r w:rsidRPr="00F65B63">
        <w:rPr>
          <w:sz w:val="24"/>
          <w:szCs w:val="24"/>
        </w:rPr>
        <w:lastRenderedPageBreak/>
        <w:t>à instrumentalidade e efetividade do processo, incompatibilizando-se, assim, com a adequada tutela jurisdicional constitucionalmente exigida, inclusive se considerarmos as peculiaridades da Fazenda.</w:t>
      </w:r>
    </w:p>
    <w:p w14:paraId="75D1024E" w14:textId="77777777" w:rsidR="005A7CF2" w:rsidRPr="00F65B63" w:rsidRDefault="005A7CF2" w:rsidP="00200830">
      <w:pPr>
        <w:spacing w:line="360" w:lineRule="auto"/>
        <w:ind w:firstLine="720"/>
        <w:jc w:val="both"/>
        <w:rPr>
          <w:sz w:val="24"/>
          <w:szCs w:val="24"/>
        </w:rPr>
      </w:pPr>
    </w:p>
    <w:bookmarkEnd w:id="4"/>
    <w:bookmarkEnd w:id="5"/>
    <w:p w14:paraId="259324C5" w14:textId="18F64EFE" w:rsidR="004A4C8A" w:rsidRPr="00F65B63" w:rsidRDefault="004A4C8A" w:rsidP="001C10C4">
      <w:pPr>
        <w:rPr>
          <w:rFonts w:eastAsiaTheme="majorEastAsia"/>
          <w:caps/>
          <w:sz w:val="24"/>
          <w:szCs w:val="24"/>
        </w:rPr>
      </w:pPr>
    </w:p>
    <w:p w14:paraId="03E2A8CA" w14:textId="7058DF24" w:rsidR="004A4C8A" w:rsidRPr="00F65B63" w:rsidRDefault="00D04F6E" w:rsidP="00D91EB9">
      <w:pPr>
        <w:rPr>
          <w:sz w:val="24"/>
          <w:szCs w:val="24"/>
        </w:rPr>
      </w:pPr>
      <w:r>
        <w:rPr>
          <w:sz w:val="24"/>
          <w:szCs w:val="24"/>
        </w:rPr>
        <w:t>3</w:t>
      </w:r>
      <w:r w:rsidR="00D91EB9" w:rsidRPr="00F65B63">
        <w:rPr>
          <w:sz w:val="24"/>
          <w:szCs w:val="24"/>
        </w:rPr>
        <w:t>. CRONOGRAMAS NEGOCIADOS DE CUMPRIMENTO VOLUNTÁRIO</w:t>
      </w:r>
    </w:p>
    <w:p w14:paraId="17E22F37" w14:textId="77777777" w:rsidR="004A4C8A" w:rsidRPr="00F65B63" w:rsidRDefault="004A4C8A" w:rsidP="001C10C4">
      <w:pPr>
        <w:spacing w:line="360" w:lineRule="auto"/>
        <w:ind w:firstLine="720"/>
        <w:jc w:val="both"/>
        <w:rPr>
          <w:sz w:val="24"/>
          <w:szCs w:val="24"/>
        </w:rPr>
      </w:pPr>
    </w:p>
    <w:p w14:paraId="2E5B5816" w14:textId="0CFE473F" w:rsidR="003C12C9" w:rsidRPr="00F65B63" w:rsidRDefault="00D91EB9" w:rsidP="001C10C4">
      <w:pPr>
        <w:spacing w:line="360" w:lineRule="auto"/>
        <w:ind w:firstLine="720"/>
        <w:jc w:val="both"/>
        <w:rPr>
          <w:sz w:val="24"/>
          <w:szCs w:val="24"/>
        </w:rPr>
      </w:pPr>
      <w:r w:rsidRPr="00F65B63">
        <w:rPr>
          <w:sz w:val="24"/>
          <w:szCs w:val="24"/>
        </w:rPr>
        <w:t xml:space="preserve">A </w:t>
      </w:r>
      <w:r w:rsidR="00E45BC7" w:rsidRPr="00F65B63">
        <w:rPr>
          <w:sz w:val="24"/>
          <w:szCs w:val="24"/>
        </w:rPr>
        <w:t xml:space="preserve">respeito do tema posto, </w:t>
      </w:r>
      <w:r w:rsidR="003C12C9" w:rsidRPr="00F65B63">
        <w:rPr>
          <w:sz w:val="24"/>
          <w:szCs w:val="24"/>
        </w:rPr>
        <w:t>a doutrina especializada</w:t>
      </w:r>
      <w:r w:rsidR="00463AC8" w:rsidRPr="00F65B63">
        <w:rPr>
          <w:sz w:val="24"/>
          <w:szCs w:val="24"/>
        </w:rPr>
        <w:t xml:space="preserve"> trata dos </w:t>
      </w:r>
      <w:r w:rsidR="003C12C9" w:rsidRPr="00F65B63">
        <w:rPr>
          <w:sz w:val="24"/>
          <w:szCs w:val="24"/>
        </w:rPr>
        <w:t xml:space="preserve">cumprimentos negociados (“cronogramas negociados de cumprimento voluntário”, nos dizeres de </w:t>
      </w:r>
      <w:r w:rsidR="00A22801" w:rsidRPr="00F65B63">
        <w:rPr>
          <w:sz w:val="24"/>
          <w:szCs w:val="24"/>
        </w:rPr>
        <w:t xml:space="preserve">Eduardo José da </w:t>
      </w:r>
      <w:r w:rsidR="003C12C9" w:rsidRPr="00F65B63">
        <w:rPr>
          <w:sz w:val="24"/>
          <w:szCs w:val="24"/>
        </w:rPr>
        <w:t>Fonseca Costa</w:t>
      </w:r>
      <w:r w:rsidR="003C12C9" w:rsidRPr="00F65B63">
        <w:rPr>
          <w:sz w:val="24"/>
          <w:szCs w:val="24"/>
          <w:vertAlign w:val="superscript"/>
        </w:rPr>
        <w:footnoteReference w:id="30"/>
      </w:r>
      <w:r w:rsidRPr="00F65B63">
        <w:rPr>
          <w:sz w:val="24"/>
          <w:szCs w:val="24"/>
        </w:rPr>
        <w:t>)</w:t>
      </w:r>
      <w:r w:rsidR="003C12C9" w:rsidRPr="00F65B63">
        <w:rPr>
          <w:sz w:val="24"/>
          <w:szCs w:val="24"/>
        </w:rPr>
        <w:t>, nos quais se fixariam as etapas propriamente ditas, os meios de acompanhamento e monitoramento de sua consecução, eventuais novas negociações e a nomeação consensual de um administrador</w:t>
      </w:r>
      <w:r w:rsidR="00463AC8" w:rsidRPr="00F65B63">
        <w:rPr>
          <w:sz w:val="24"/>
          <w:szCs w:val="24"/>
        </w:rPr>
        <w:t>, se o caso</w:t>
      </w:r>
      <w:r w:rsidR="003C12C9" w:rsidRPr="00F65B63">
        <w:rPr>
          <w:sz w:val="24"/>
          <w:szCs w:val="24"/>
        </w:rPr>
        <w:t>), inclusive em termos orçamentários (determinação de inclusão de verba própria para atendimento ao comando judicial)</w:t>
      </w:r>
      <w:r w:rsidR="00463AC8" w:rsidRPr="00F65B63">
        <w:rPr>
          <w:rStyle w:val="Refdenotaderodap"/>
          <w:sz w:val="24"/>
          <w:szCs w:val="24"/>
        </w:rPr>
        <w:footnoteReference w:id="31"/>
      </w:r>
      <w:r w:rsidR="00463AC8" w:rsidRPr="00F65B63">
        <w:rPr>
          <w:sz w:val="24"/>
          <w:szCs w:val="24"/>
        </w:rPr>
        <w:t>.</w:t>
      </w:r>
    </w:p>
    <w:p w14:paraId="6FD6CD8A" w14:textId="77777777" w:rsidR="003C12C9" w:rsidRPr="00F65B63" w:rsidRDefault="003C12C9" w:rsidP="001C10C4">
      <w:pPr>
        <w:spacing w:line="360" w:lineRule="auto"/>
        <w:ind w:firstLine="720"/>
        <w:jc w:val="both"/>
        <w:rPr>
          <w:sz w:val="24"/>
          <w:szCs w:val="24"/>
        </w:rPr>
      </w:pPr>
      <w:r w:rsidRPr="00F65B63">
        <w:rPr>
          <w:sz w:val="24"/>
          <w:szCs w:val="24"/>
        </w:rPr>
        <w:t>Lembra Felipe Barreto Marçal</w:t>
      </w:r>
      <w:r w:rsidRPr="00F65B63">
        <w:rPr>
          <w:rStyle w:val="Refdenotaderodap"/>
          <w:sz w:val="24"/>
          <w:szCs w:val="24"/>
        </w:rPr>
        <w:footnoteReference w:id="32"/>
      </w:r>
      <w:r w:rsidRPr="00F65B63">
        <w:rPr>
          <w:sz w:val="24"/>
          <w:szCs w:val="24"/>
        </w:rPr>
        <w:t xml:space="preserve"> que a tutela reparatória ou sancionatória não é vedada no processo estrutural, mas seus malefícios seriam muito maiores que seus benefícios, mencionando, por exemplo, que o montante pecuniário que a parte ré foi obrigada a pagar a título de reparação por um dano coletivo poderia ser utilizado para acelerar o cumprimento das medidas estruturais estabelecidas, além do fato de que “esse dinheiro acaba indo para um fundo, que normalmente não reverte os valores para a tutela (reparação ou prevenção) dos direitos violados”.</w:t>
      </w:r>
    </w:p>
    <w:p w14:paraId="1E981248" w14:textId="042F18D9" w:rsidR="003C12C9" w:rsidRPr="00F65B63" w:rsidRDefault="003C12C9" w:rsidP="001C10C4">
      <w:pPr>
        <w:spacing w:line="360" w:lineRule="auto"/>
        <w:ind w:firstLine="720"/>
        <w:jc w:val="both"/>
        <w:rPr>
          <w:sz w:val="24"/>
          <w:szCs w:val="24"/>
        </w:rPr>
      </w:pPr>
      <w:r w:rsidRPr="00F65B63">
        <w:rPr>
          <w:sz w:val="24"/>
          <w:szCs w:val="24"/>
        </w:rPr>
        <w:t>No mesmo sentido</w:t>
      </w:r>
      <w:r w:rsidR="00463AC8" w:rsidRPr="00F65B63">
        <w:rPr>
          <w:sz w:val="24"/>
          <w:szCs w:val="24"/>
        </w:rPr>
        <w:t xml:space="preserve"> entendem Sérgio Cruz </w:t>
      </w:r>
      <w:r w:rsidRPr="00F65B63">
        <w:rPr>
          <w:sz w:val="24"/>
          <w:szCs w:val="24"/>
        </w:rPr>
        <w:t xml:space="preserve">Arenhart e </w:t>
      </w:r>
      <w:r w:rsidR="00D91EB9" w:rsidRPr="00F65B63">
        <w:rPr>
          <w:sz w:val="24"/>
          <w:szCs w:val="24"/>
        </w:rPr>
        <w:t xml:space="preserve">Luiz Guilherme </w:t>
      </w:r>
      <w:r w:rsidRPr="00F65B63">
        <w:rPr>
          <w:sz w:val="24"/>
          <w:szCs w:val="24"/>
        </w:rPr>
        <w:t>Marinoni</w:t>
      </w:r>
      <w:r w:rsidRPr="00F65B63">
        <w:rPr>
          <w:rStyle w:val="Refdenotaderodap"/>
          <w:sz w:val="24"/>
          <w:szCs w:val="24"/>
        </w:rPr>
        <w:footnoteReference w:id="33"/>
      </w:r>
      <w:r w:rsidRPr="00F65B63">
        <w:rPr>
          <w:sz w:val="24"/>
          <w:szCs w:val="24"/>
        </w:rPr>
        <w:t xml:space="preserve">, destacando a inutilidade da tutela sancionatória quando o produto da execução coletiva se destina aos fundos, porque raramente será aplicado à recomposição dos bens lesados, de modo que, se indispensável a sanção, que seja voltada “à reparação </w:t>
      </w:r>
      <w:r w:rsidRPr="00F65B63">
        <w:rPr>
          <w:i/>
          <w:iCs/>
          <w:sz w:val="24"/>
          <w:szCs w:val="24"/>
        </w:rPr>
        <w:t>in natura</w:t>
      </w:r>
      <w:r w:rsidRPr="00F65B63">
        <w:rPr>
          <w:sz w:val="24"/>
          <w:szCs w:val="24"/>
        </w:rPr>
        <w:t xml:space="preserve"> do direito violado, pois se mostra mais eficiente”.</w:t>
      </w:r>
    </w:p>
    <w:p w14:paraId="3C20DA0E" w14:textId="77777777" w:rsidR="003C12C9" w:rsidRPr="00F65B63" w:rsidRDefault="003C12C9" w:rsidP="001C10C4">
      <w:pPr>
        <w:spacing w:line="360" w:lineRule="auto"/>
        <w:ind w:firstLine="720"/>
        <w:jc w:val="both"/>
        <w:rPr>
          <w:sz w:val="24"/>
          <w:szCs w:val="24"/>
        </w:rPr>
      </w:pPr>
      <w:r w:rsidRPr="00F65B63">
        <w:rPr>
          <w:sz w:val="24"/>
          <w:szCs w:val="24"/>
        </w:rPr>
        <w:t xml:space="preserve">Com efeito, o processo estrutural existe, é debatido na doutrina processual brasileira há cerca de uma década, mas não é empregado para todo litígio estrutural, sendo inúmeros os contornos que pode adquirir a depender do caso concreto, pelo que ainda há um vasto e fértil campo a ser estudado, principalmente quando envolvem a Fazenda Pública ré. </w:t>
      </w:r>
    </w:p>
    <w:p w14:paraId="535A23BA" w14:textId="5C7D903F" w:rsidR="003C12C9" w:rsidRPr="00F65B63" w:rsidRDefault="003C12C9" w:rsidP="001C10C4">
      <w:pPr>
        <w:spacing w:line="360" w:lineRule="auto"/>
        <w:ind w:firstLine="720"/>
        <w:jc w:val="both"/>
        <w:rPr>
          <w:sz w:val="24"/>
          <w:szCs w:val="24"/>
        </w:rPr>
      </w:pPr>
      <w:r w:rsidRPr="00F65B63">
        <w:rPr>
          <w:sz w:val="24"/>
          <w:szCs w:val="24"/>
        </w:rPr>
        <w:t>De qualquer forma, já é possível se falar em uma teoria geral do processo estrutural, a qual não será abordada aqui em toda sua profundidade, extensão e minúcias em razão do</w:t>
      </w:r>
      <w:r w:rsidR="00497997" w:rsidRPr="00F65B63">
        <w:rPr>
          <w:sz w:val="24"/>
          <w:szCs w:val="24"/>
        </w:rPr>
        <w:t xml:space="preserve"> formato do </w:t>
      </w:r>
      <w:r w:rsidR="00497997" w:rsidRPr="00F65B63">
        <w:rPr>
          <w:sz w:val="24"/>
          <w:szCs w:val="24"/>
        </w:rPr>
        <w:lastRenderedPageBreak/>
        <w:t>presente estudo</w:t>
      </w:r>
      <w:r w:rsidRPr="00F65B63">
        <w:rPr>
          <w:sz w:val="24"/>
          <w:szCs w:val="24"/>
        </w:rPr>
        <w:t xml:space="preserve">. </w:t>
      </w:r>
    </w:p>
    <w:p w14:paraId="44196BD7" w14:textId="77777777" w:rsidR="003C12C9" w:rsidRPr="00F65B63" w:rsidRDefault="003C12C9" w:rsidP="001C10C4">
      <w:pPr>
        <w:spacing w:line="360" w:lineRule="auto"/>
        <w:ind w:firstLine="720"/>
        <w:jc w:val="both"/>
        <w:rPr>
          <w:sz w:val="24"/>
          <w:szCs w:val="24"/>
        </w:rPr>
      </w:pPr>
      <w:r w:rsidRPr="00F65B63">
        <w:rPr>
          <w:sz w:val="24"/>
          <w:szCs w:val="24"/>
        </w:rPr>
        <w:t>O controle judicial de políticas públicas por meio da técnica adotada no processo estrutural tem maior chance de ser adequado e, nesse sentido, efetivo, justamente porque a implementação da decisão estrutural ocorre por meio de constante diálogo interinstitucional, cenário em que, mesmo não havendo completo consenso em relação às medidas a serem aplicadas, o Judiciário teria condições para decidir de modo informado, sob uma ótica consequencialista, - por conseguinte, tornando sua decisão mais legítima - em razão do modelo processual participativo e dialógico.</w:t>
      </w:r>
    </w:p>
    <w:p w14:paraId="1E4AE5B5" w14:textId="77777777" w:rsidR="003C12C9" w:rsidRPr="00F65B63" w:rsidRDefault="003C12C9" w:rsidP="001C10C4">
      <w:pPr>
        <w:spacing w:line="360" w:lineRule="auto"/>
        <w:ind w:firstLine="720"/>
        <w:jc w:val="both"/>
        <w:rPr>
          <w:sz w:val="24"/>
          <w:szCs w:val="24"/>
        </w:rPr>
      </w:pPr>
      <w:r w:rsidRPr="00F65B63">
        <w:rPr>
          <w:sz w:val="24"/>
          <w:szCs w:val="24"/>
        </w:rPr>
        <w:t>Nesse sentido, prevê o art. 2º, parágrafo único, inc. I, do PL nº 8.058/14 que o processo especial para controle jurisdicional de políticas públicas será, dentre outras características, estrutural, “a fim de facilitar o diálogo institucional entre os Poderes”.</w:t>
      </w:r>
    </w:p>
    <w:p w14:paraId="745EEEEA" w14:textId="04FD2F80" w:rsidR="003C12C9" w:rsidRPr="00F65B63" w:rsidRDefault="00463AC8" w:rsidP="001C10C4">
      <w:pPr>
        <w:spacing w:line="360" w:lineRule="auto"/>
        <w:ind w:firstLine="720"/>
        <w:jc w:val="both"/>
        <w:rPr>
          <w:sz w:val="24"/>
          <w:szCs w:val="24"/>
        </w:rPr>
      </w:pPr>
      <w:r w:rsidRPr="00F65B63">
        <w:rPr>
          <w:sz w:val="24"/>
          <w:szCs w:val="24"/>
        </w:rPr>
        <w:t>Explica Camila Perez Yeda</w:t>
      </w:r>
      <w:r w:rsidR="003C12C9" w:rsidRPr="00F65B63">
        <w:rPr>
          <w:sz w:val="24"/>
          <w:szCs w:val="24"/>
        </w:rPr>
        <w:t xml:space="preserve"> Moreira dos Santos</w:t>
      </w:r>
      <w:r w:rsidR="003C12C9" w:rsidRPr="00F65B63">
        <w:rPr>
          <w:sz w:val="24"/>
          <w:szCs w:val="24"/>
          <w:vertAlign w:val="superscript"/>
        </w:rPr>
        <w:footnoteReference w:id="34"/>
      </w:r>
      <w:r w:rsidR="003C12C9" w:rsidRPr="00F65B63">
        <w:rPr>
          <w:sz w:val="24"/>
          <w:szCs w:val="24"/>
        </w:rPr>
        <w:t xml:space="preserve"> que a execução termina apenas quando o objetivo é alcançado, o que costuma demorar, “já que normalmente é necessária uma etapa de planejamento, fixando-se objetivos, fases de execução e prazos correspondentes para a consecução dos objetivos almejados”, podendo o juízo servir-se de um terceiro independente e/ou de órgãos públicos/entidades privadas para acompanhamento da execução, “sempre privilegiando o diálogo entre as partes”. </w:t>
      </w:r>
    </w:p>
    <w:p w14:paraId="79007B12" w14:textId="77777777" w:rsidR="003C12C9" w:rsidRPr="00F65B63" w:rsidRDefault="003C12C9" w:rsidP="001C10C4">
      <w:pPr>
        <w:spacing w:line="360" w:lineRule="auto"/>
        <w:ind w:firstLine="720"/>
        <w:jc w:val="both"/>
        <w:rPr>
          <w:sz w:val="24"/>
          <w:szCs w:val="24"/>
        </w:rPr>
      </w:pPr>
      <w:r w:rsidRPr="00F65B63">
        <w:rPr>
          <w:sz w:val="24"/>
          <w:szCs w:val="24"/>
        </w:rPr>
        <w:t xml:space="preserve">Conclui, assim, que esse tipo de litígio, estrutural, dada sua complexidade, a heterogeneidade das questões envolvidas e a multipolaridade, exige uma nova visão de procedimento adequado, o que envolve “mudança de paradigmas, desde a legislação até a mentalidade dos participantes”. </w:t>
      </w:r>
    </w:p>
    <w:p w14:paraId="227E4951" w14:textId="77777777" w:rsidR="003C12C9" w:rsidRPr="00F65B63" w:rsidRDefault="003C12C9" w:rsidP="001C10C4">
      <w:pPr>
        <w:spacing w:line="360" w:lineRule="auto"/>
        <w:ind w:firstLine="720"/>
        <w:jc w:val="both"/>
        <w:rPr>
          <w:sz w:val="24"/>
          <w:szCs w:val="24"/>
        </w:rPr>
      </w:pPr>
      <w:bookmarkStart w:id="13" w:name="_Hlk122173556"/>
      <w:r w:rsidRPr="00F65B63">
        <w:rPr>
          <w:sz w:val="24"/>
          <w:szCs w:val="24"/>
        </w:rPr>
        <w:t>A autora ressalta, assim, que o sucesso do cumprimento de decisões judiciais em processos estruturais exige a ampliação dos poderes do magistrado e a construção de diálogo entre as partes, além do que as decisões devem ser flexíveis, justamente porque a situação fática muito provavelmente se modificará no decorrer do tempo. Nesse sentido, tal cumprimento “não pode simplesmente seguir a lógica individualista do processo civil, em que o magistrado impõe uma decisão rígida e as partes devem cumprir”.</w:t>
      </w:r>
    </w:p>
    <w:p w14:paraId="61CF71EE" w14:textId="54DFE71B" w:rsidR="003C12C9" w:rsidRPr="00F65B63" w:rsidRDefault="00463AC8" w:rsidP="001C10C4">
      <w:pPr>
        <w:spacing w:line="360" w:lineRule="auto"/>
        <w:ind w:firstLine="720"/>
        <w:jc w:val="both"/>
        <w:rPr>
          <w:sz w:val="24"/>
          <w:szCs w:val="24"/>
        </w:rPr>
      </w:pPr>
      <w:r w:rsidRPr="00F65B63">
        <w:rPr>
          <w:sz w:val="24"/>
          <w:szCs w:val="24"/>
        </w:rPr>
        <w:t>E</w:t>
      </w:r>
      <w:r w:rsidR="003C12C9" w:rsidRPr="00F65B63">
        <w:rPr>
          <w:sz w:val="24"/>
          <w:szCs w:val="24"/>
        </w:rPr>
        <w:t>ssa lógica</w:t>
      </w:r>
      <w:r w:rsidRPr="00F65B63">
        <w:rPr>
          <w:sz w:val="24"/>
          <w:szCs w:val="24"/>
        </w:rPr>
        <w:t xml:space="preserve"> segundo a qual </w:t>
      </w:r>
      <w:r w:rsidR="003C12C9" w:rsidRPr="00F65B63">
        <w:rPr>
          <w:sz w:val="24"/>
          <w:szCs w:val="24"/>
        </w:rPr>
        <w:t xml:space="preserve">o modelo tradicional de processo civil não se adequa a conflitos policêntricos e multiplexos, exigindo-se, para a efetiva tutela do direito material, sua reformulação e ampla flexibilização, também </w:t>
      </w:r>
      <w:r w:rsidRPr="00F65B63">
        <w:rPr>
          <w:sz w:val="24"/>
          <w:szCs w:val="24"/>
        </w:rPr>
        <w:t>pode e deve ser</w:t>
      </w:r>
      <w:r w:rsidR="003C12C9" w:rsidRPr="00F65B63">
        <w:rPr>
          <w:sz w:val="24"/>
          <w:szCs w:val="24"/>
        </w:rPr>
        <w:t xml:space="preserve"> aplicada a processos </w:t>
      </w:r>
      <w:r w:rsidRPr="00F65B63">
        <w:rPr>
          <w:sz w:val="24"/>
          <w:szCs w:val="24"/>
        </w:rPr>
        <w:t>não estruturais</w:t>
      </w:r>
      <w:r w:rsidR="003C12C9" w:rsidRPr="00F65B63">
        <w:rPr>
          <w:sz w:val="24"/>
          <w:szCs w:val="24"/>
        </w:rPr>
        <w:t>, mas</w:t>
      </w:r>
      <w:r w:rsidRPr="00F65B63">
        <w:rPr>
          <w:sz w:val="24"/>
          <w:szCs w:val="24"/>
        </w:rPr>
        <w:t xml:space="preserve"> em cujo bojo se deduzam pedidos que</w:t>
      </w:r>
      <w:r w:rsidR="003C12C9" w:rsidRPr="00F65B63">
        <w:rPr>
          <w:sz w:val="24"/>
          <w:szCs w:val="24"/>
        </w:rPr>
        <w:t xml:space="preserve"> abrange</w:t>
      </w:r>
      <w:r w:rsidRPr="00F65B63">
        <w:rPr>
          <w:sz w:val="24"/>
          <w:szCs w:val="24"/>
        </w:rPr>
        <w:t>m, na prática,</w:t>
      </w:r>
      <w:r w:rsidR="003C12C9" w:rsidRPr="00F65B63">
        <w:rPr>
          <w:sz w:val="24"/>
          <w:szCs w:val="24"/>
        </w:rPr>
        <w:t xml:space="preserve"> inúmeros interesses e</w:t>
      </w:r>
      <w:r w:rsidRPr="00F65B63">
        <w:rPr>
          <w:sz w:val="24"/>
          <w:szCs w:val="24"/>
        </w:rPr>
        <w:t xml:space="preserve"> outras</w:t>
      </w:r>
      <w:r w:rsidR="003C12C9" w:rsidRPr="00F65B63">
        <w:rPr>
          <w:sz w:val="24"/>
          <w:szCs w:val="24"/>
        </w:rPr>
        <w:t xml:space="preserve"> partes</w:t>
      </w:r>
      <w:r w:rsidRPr="00F65B63">
        <w:rPr>
          <w:sz w:val="24"/>
          <w:szCs w:val="24"/>
        </w:rPr>
        <w:t>.</w:t>
      </w:r>
    </w:p>
    <w:p w14:paraId="1DB27DB8" w14:textId="4C341F48" w:rsidR="003C12C9" w:rsidRPr="00F65B63" w:rsidRDefault="00463AC8" w:rsidP="001C10C4">
      <w:pPr>
        <w:spacing w:line="360" w:lineRule="auto"/>
        <w:ind w:firstLine="720"/>
        <w:jc w:val="both"/>
        <w:rPr>
          <w:sz w:val="24"/>
          <w:szCs w:val="24"/>
        </w:rPr>
      </w:pPr>
      <w:bookmarkStart w:id="14" w:name="_Hlk122173759"/>
      <w:r w:rsidRPr="00F65B63">
        <w:rPr>
          <w:sz w:val="24"/>
          <w:szCs w:val="24"/>
        </w:rPr>
        <w:t xml:space="preserve">Tais processos, na verdade, podem envolver conflitos </w:t>
      </w:r>
      <w:r w:rsidR="003C12C9" w:rsidRPr="00F65B63">
        <w:rPr>
          <w:sz w:val="24"/>
          <w:szCs w:val="24"/>
        </w:rPr>
        <w:t>muito mais amplo</w:t>
      </w:r>
      <w:r w:rsidRPr="00F65B63">
        <w:rPr>
          <w:sz w:val="24"/>
          <w:szCs w:val="24"/>
        </w:rPr>
        <w:t xml:space="preserve"> que aqueles narrados na petição inicial a respeito da lide</w:t>
      </w:r>
      <w:r w:rsidR="003C12C9" w:rsidRPr="00F65B63">
        <w:rPr>
          <w:sz w:val="24"/>
          <w:szCs w:val="24"/>
        </w:rPr>
        <w:t xml:space="preserve">, </w:t>
      </w:r>
      <w:r w:rsidRPr="00F65B63">
        <w:rPr>
          <w:sz w:val="24"/>
          <w:szCs w:val="24"/>
        </w:rPr>
        <w:t>dados os im</w:t>
      </w:r>
      <w:r w:rsidR="003C12C9" w:rsidRPr="00F65B63">
        <w:rPr>
          <w:sz w:val="24"/>
          <w:szCs w:val="24"/>
        </w:rPr>
        <w:t>pactos orçamentários e na</w:t>
      </w:r>
      <w:r w:rsidRPr="00F65B63">
        <w:rPr>
          <w:sz w:val="24"/>
          <w:szCs w:val="24"/>
        </w:rPr>
        <w:t xml:space="preserve"> própria consecução da</w:t>
      </w:r>
      <w:r w:rsidR="003C12C9" w:rsidRPr="00F65B63">
        <w:rPr>
          <w:sz w:val="24"/>
          <w:szCs w:val="24"/>
        </w:rPr>
        <w:t>s políticas públicas.</w:t>
      </w:r>
      <w:r w:rsidRPr="00F65B63">
        <w:rPr>
          <w:sz w:val="24"/>
          <w:szCs w:val="24"/>
        </w:rPr>
        <w:t xml:space="preserve"> </w:t>
      </w:r>
      <w:bookmarkEnd w:id="13"/>
      <w:bookmarkEnd w:id="14"/>
      <w:r w:rsidRPr="00F65B63">
        <w:rPr>
          <w:sz w:val="24"/>
          <w:szCs w:val="24"/>
        </w:rPr>
        <w:t>Mas ainda é bastante comum a condução processual tradicional nesses casos</w:t>
      </w:r>
      <w:r w:rsidR="003C12C9" w:rsidRPr="00F65B63">
        <w:rPr>
          <w:sz w:val="24"/>
          <w:szCs w:val="24"/>
        </w:rPr>
        <w:t xml:space="preserve">, </w:t>
      </w:r>
      <w:r w:rsidR="003C12C9" w:rsidRPr="00F65B63">
        <w:rPr>
          <w:sz w:val="24"/>
          <w:szCs w:val="24"/>
        </w:rPr>
        <w:lastRenderedPageBreak/>
        <w:t>mantendo</w:t>
      </w:r>
      <w:r w:rsidRPr="00F65B63">
        <w:rPr>
          <w:sz w:val="24"/>
          <w:szCs w:val="24"/>
        </w:rPr>
        <w:t>-se</w:t>
      </w:r>
      <w:r w:rsidR="003C12C9" w:rsidRPr="00F65B63">
        <w:rPr>
          <w:sz w:val="24"/>
          <w:szCs w:val="24"/>
        </w:rPr>
        <w:t xml:space="preserve"> as partes </w:t>
      </w:r>
      <w:r w:rsidRPr="00F65B63">
        <w:rPr>
          <w:sz w:val="24"/>
          <w:szCs w:val="24"/>
        </w:rPr>
        <w:t>em posições</w:t>
      </w:r>
      <w:r w:rsidR="003C12C9" w:rsidRPr="00F65B63">
        <w:rPr>
          <w:sz w:val="24"/>
          <w:szCs w:val="24"/>
        </w:rPr>
        <w:t xml:space="preserve"> diametralmente opost</w:t>
      </w:r>
      <w:r w:rsidRPr="00F65B63">
        <w:rPr>
          <w:sz w:val="24"/>
          <w:szCs w:val="24"/>
        </w:rPr>
        <w:t>a</w:t>
      </w:r>
      <w:r w:rsidR="003C12C9" w:rsidRPr="00F65B63">
        <w:rPr>
          <w:sz w:val="24"/>
          <w:szCs w:val="24"/>
        </w:rPr>
        <w:t xml:space="preserve">s, </w:t>
      </w:r>
      <w:r w:rsidRPr="00F65B63">
        <w:rPr>
          <w:sz w:val="24"/>
          <w:szCs w:val="24"/>
        </w:rPr>
        <w:t>sendo a deci</w:t>
      </w:r>
      <w:r w:rsidR="003C12C9" w:rsidRPr="00F65B63">
        <w:rPr>
          <w:sz w:val="24"/>
          <w:szCs w:val="24"/>
        </w:rPr>
        <w:t xml:space="preserve">são judicial (tutela provisória ou sentença) </w:t>
      </w:r>
      <w:r w:rsidRPr="00F65B63">
        <w:rPr>
          <w:sz w:val="24"/>
          <w:szCs w:val="24"/>
        </w:rPr>
        <w:t>essencia</w:t>
      </w:r>
      <w:r w:rsidR="003C12C9" w:rsidRPr="00F65B63">
        <w:rPr>
          <w:sz w:val="24"/>
          <w:szCs w:val="24"/>
        </w:rPr>
        <w:t>lmente imposta sob um viés essencialmente autoritário e retrospectivo</w:t>
      </w:r>
      <w:r w:rsidRPr="00F65B63">
        <w:rPr>
          <w:sz w:val="24"/>
          <w:szCs w:val="24"/>
        </w:rPr>
        <w:t>.</w:t>
      </w:r>
    </w:p>
    <w:p w14:paraId="1D047B8B" w14:textId="77777777" w:rsidR="003C12C9" w:rsidRPr="00F65B63" w:rsidRDefault="003C12C9" w:rsidP="001C10C4">
      <w:pPr>
        <w:spacing w:line="360" w:lineRule="auto"/>
        <w:ind w:firstLine="720"/>
        <w:jc w:val="both"/>
        <w:rPr>
          <w:sz w:val="24"/>
          <w:szCs w:val="24"/>
        </w:rPr>
      </w:pPr>
      <w:r w:rsidRPr="00F65B63">
        <w:rPr>
          <w:sz w:val="24"/>
          <w:szCs w:val="24"/>
        </w:rPr>
        <w:t>A este respeito, constata Matheus Souza Galdino</w:t>
      </w:r>
      <w:r w:rsidRPr="00F65B63">
        <w:rPr>
          <w:rStyle w:val="Refdenotaderodap"/>
          <w:sz w:val="24"/>
          <w:szCs w:val="24"/>
        </w:rPr>
        <w:footnoteReference w:id="35"/>
      </w:r>
      <w:r w:rsidRPr="00F65B63">
        <w:rPr>
          <w:sz w:val="24"/>
          <w:szCs w:val="24"/>
        </w:rPr>
        <w:t xml:space="preserve"> que se pode falar em “graus de estruturalidade”, conforme a amplitude dos efeitos da reestruturação a ser promovida, trazendo uma metáfora bastante ilustrativa a respeito de uma árvore cujos frutos são venenosos. </w:t>
      </w:r>
    </w:p>
    <w:p w14:paraId="5004334D" w14:textId="77777777" w:rsidR="003C12C9" w:rsidRPr="00F65B63" w:rsidRDefault="003C12C9" w:rsidP="001C10C4">
      <w:pPr>
        <w:spacing w:line="360" w:lineRule="auto"/>
        <w:ind w:firstLine="720"/>
        <w:jc w:val="both"/>
        <w:rPr>
          <w:sz w:val="24"/>
          <w:szCs w:val="24"/>
        </w:rPr>
      </w:pPr>
      <w:r w:rsidRPr="00F65B63">
        <w:rPr>
          <w:sz w:val="24"/>
          <w:szCs w:val="24"/>
        </w:rPr>
        <w:t xml:space="preserve">No caso, poderia ser concedida uma tutela inibitória em um processo com baixo ou nenhum grau de estruturalidade para que esses frutos fossem colhidos e encaminhados para um descarte seguro. Nesse caso, posteriormente apareceriam novos frutos venenosos, de modo que o mesmo procedimento do descarte seguro poderia ser realizado em razão de outros eventuais processos. </w:t>
      </w:r>
    </w:p>
    <w:p w14:paraId="4C30E677" w14:textId="77777777" w:rsidR="003C12C9" w:rsidRPr="00F65B63" w:rsidRDefault="003C12C9" w:rsidP="001C10C4">
      <w:pPr>
        <w:spacing w:line="360" w:lineRule="auto"/>
        <w:ind w:firstLine="720"/>
        <w:jc w:val="both"/>
        <w:rPr>
          <w:sz w:val="24"/>
          <w:szCs w:val="24"/>
        </w:rPr>
      </w:pPr>
      <w:r w:rsidRPr="00F65B63">
        <w:rPr>
          <w:sz w:val="24"/>
          <w:szCs w:val="24"/>
        </w:rPr>
        <w:t xml:space="preserve">Em outra hipótese, poderia ser concedida uma tutela inibitória em um processo com um grau mais alto de estruturalidade, para que os frutos não fossem colhidos, cortando-se, antes, os galhos da árvore, com o que não nasceriam novos frutos venenosos até que novos galhos brotassem. </w:t>
      </w:r>
    </w:p>
    <w:p w14:paraId="0B0646BD" w14:textId="77777777" w:rsidR="003C12C9" w:rsidRPr="00F65B63" w:rsidRDefault="003C12C9" w:rsidP="001C10C4">
      <w:pPr>
        <w:spacing w:line="360" w:lineRule="auto"/>
        <w:ind w:firstLine="720"/>
        <w:jc w:val="both"/>
        <w:rPr>
          <w:sz w:val="24"/>
          <w:szCs w:val="24"/>
        </w:rPr>
      </w:pPr>
      <w:r w:rsidRPr="00F65B63">
        <w:rPr>
          <w:sz w:val="24"/>
          <w:szCs w:val="24"/>
        </w:rPr>
        <w:t>Por fim, poderia ser concedida uma tutela inibitória em um processo com grau de estruturalidade ainda maior, visando-se ao corte do tronco da árvore. Um grau maior de estruturalidade haveria apenas em um processo no qual se visasse ao corte da raiz (grau máximo de estruturalidade).</w:t>
      </w:r>
    </w:p>
    <w:p w14:paraId="0AD47C88" w14:textId="5ABFE70A" w:rsidR="003C12C9" w:rsidRPr="00F65B63" w:rsidRDefault="003C12C9" w:rsidP="001C10C4">
      <w:pPr>
        <w:spacing w:line="360" w:lineRule="auto"/>
        <w:ind w:firstLine="720"/>
        <w:jc w:val="both"/>
        <w:rPr>
          <w:sz w:val="24"/>
          <w:szCs w:val="24"/>
        </w:rPr>
      </w:pPr>
      <w:r w:rsidRPr="00F65B63">
        <w:rPr>
          <w:sz w:val="24"/>
          <w:szCs w:val="24"/>
        </w:rPr>
        <w:t>Nessa toada,</w:t>
      </w:r>
      <w:r w:rsidR="0040139C" w:rsidRPr="00F65B63">
        <w:rPr>
          <w:sz w:val="24"/>
          <w:szCs w:val="24"/>
        </w:rPr>
        <w:t xml:space="preserve"> Sérgio Cruz</w:t>
      </w:r>
      <w:r w:rsidRPr="00F65B63">
        <w:rPr>
          <w:sz w:val="24"/>
          <w:szCs w:val="24"/>
        </w:rPr>
        <w:t xml:space="preserve"> Arenhart</w:t>
      </w:r>
      <w:r w:rsidRPr="00F65B63">
        <w:rPr>
          <w:rStyle w:val="Refdenotaderodap"/>
          <w:sz w:val="24"/>
          <w:szCs w:val="24"/>
        </w:rPr>
        <w:footnoteReference w:id="36"/>
      </w:r>
      <w:r w:rsidRPr="00F65B63">
        <w:rPr>
          <w:sz w:val="24"/>
          <w:szCs w:val="24"/>
        </w:rPr>
        <w:t xml:space="preserve"> aponta que as decisões e medidas estruturais são, em regra, o último recurso a ser empregado, pois, quando outras medidas, mais simples, se mostrarem adequadas, inexistiria razão para as medidas estruturais, dado seu caráter complexo, custoso e intrusivo, custoso inclusive ao próprio Judiciário, em sentido amplo, dadas as dificuldades de implementação e seu controle.</w:t>
      </w:r>
    </w:p>
    <w:p w14:paraId="14BA25E8" w14:textId="77777777" w:rsidR="003C12C9" w:rsidRPr="00F65B63" w:rsidRDefault="003C12C9" w:rsidP="001C10C4">
      <w:pPr>
        <w:spacing w:line="360" w:lineRule="auto"/>
        <w:ind w:firstLine="720"/>
        <w:jc w:val="both"/>
        <w:rPr>
          <w:sz w:val="24"/>
          <w:szCs w:val="24"/>
        </w:rPr>
      </w:pPr>
      <w:r w:rsidRPr="00F65B63">
        <w:rPr>
          <w:sz w:val="24"/>
          <w:szCs w:val="24"/>
        </w:rPr>
        <w:t>Também ressalta Leonardo Medeiros Júnior</w:t>
      </w:r>
      <w:r w:rsidRPr="00F65B63">
        <w:rPr>
          <w:rStyle w:val="Refdenotaderodap"/>
          <w:sz w:val="24"/>
          <w:szCs w:val="24"/>
        </w:rPr>
        <w:footnoteReference w:id="37"/>
      </w:r>
      <w:r w:rsidRPr="00F65B63">
        <w:rPr>
          <w:sz w:val="24"/>
          <w:szCs w:val="24"/>
        </w:rPr>
        <w:t xml:space="preserve"> que “não se pretende a vulgarização do modelo de processo estrutural com todo e qualquer litígio que envolva a concretização dos direitos fundamentais sociais”, não podendo ser aplicado de qualquer forma e em qualquer caso, “sob pena de ruptura sistêmica”. </w:t>
      </w:r>
    </w:p>
    <w:p w14:paraId="444CE71C" w14:textId="33AB3F33" w:rsidR="003C12C9" w:rsidRPr="00F65B63" w:rsidRDefault="003C12C9" w:rsidP="001C10C4">
      <w:pPr>
        <w:spacing w:line="360" w:lineRule="auto"/>
        <w:ind w:firstLine="720"/>
        <w:jc w:val="both"/>
        <w:rPr>
          <w:sz w:val="24"/>
          <w:szCs w:val="24"/>
        </w:rPr>
      </w:pPr>
      <w:r w:rsidRPr="00F65B63">
        <w:rPr>
          <w:sz w:val="24"/>
          <w:szCs w:val="24"/>
        </w:rPr>
        <w:t xml:space="preserve">Defende que deve ser adotado em caso de “recalcitrância ou prolongada inércia do Poder Público na implementação de direitos fundamentais”. Também entende que não se aplicariam decisões estruturais a casos passíveis de solução por meio de decisões simples: “[…], quanto uma decisão individual for suficiente para reparar a lesão, não se deve utilizar de medidas mais amplas e </w:t>
      </w:r>
      <w:r w:rsidRPr="00F65B63">
        <w:rPr>
          <w:sz w:val="24"/>
          <w:szCs w:val="24"/>
        </w:rPr>
        <w:lastRenderedPageBreak/>
        <w:t>complexas”</w:t>
      </w:r>
      <w:r w:rsidR="0040139C" w:rsidRPr="00F65B63">
        <w:rPr>
          <w:sz w:val="24"/>
          <w:szCs w:val="24"/>
        </w:rPr>
        <w:t>.</w:t>
      </w:r>
    </w:p>
    <w:p w14:paraId="2AEC4179" w14:textId="77777777" w:rsidR="002058D8" w:rsidRPr="00F65B63" w:rsidRDefault="002058D8" w:rsidP="0040139C">
      <w:pPr>
        <w:spacing w:line="360" w:lineRule="auto"/>
        <w:jc w:val="both"/>
        <w:rPr>
          <w:sz w:val="24"/>
          <w:szCs w:val="24"/>
        </w:rPr>
      </w:pPr>
    </w:p>
    <w:p w14:paraId="2BE8AA44" w14:textId="011CD518" w:rsidR="002058D8" w:rsidRPr="00F65B63" w:rsidRDefault="00D04F6E" w:rsidP="00D91EB9">
      <w:pPr>
        <w:spacing w:line="360" w:lineRule="auto"/>
        <w:jc w:val="both"/>
        <w:rPr>
          <w:sz w:val="24"/>
          <w:szCs w:val="24"/>
        </w:rPr>
      </w:pPr>
      <w:r>
        <w:rPr>
          <w:sz w:val="24"/>
          <w:szCs w:val="24"/>
        </w:rPr>
        <w:t>4</w:t>
      </w:r>
      <w:r w:rsidR="00D91EB9" w:rsidRPr="00F65B63">
        <w:rPr>
          <w:sz w:val="24"/>
          <w:szCs w:val="24"/>
        </w:rPr>
        <w:t xml:space="preserve">. </w:t>
      </w:r>
      <w:r w:rsidR="002058D8" w:rsidRPr="00F65B63">
        <w:rPr>
          <w:sz w:val="24"/>
          <w:szCs w:val="24"/>
        </w:rPr>
        <w:t>A</w:t>
      </w:r>
      <w:r w:rsidR="007A5D21" w:rsidRPr="00F65B63">
        <w:rPr>
          <w:sz w:val="24"/>
          <w:szCs w:val="24"/>
        </w:rPr>
        <w:t>NÁLISE DE CASO</w:t>
      </w:r>
      <w:r w:rsidR="00D91EB9" w:rsidRPr="00F65B63">
        <w:rPr>
          <w:sz w:val="24"/>
          <w:szCs w:val="24"/>
        </w:rPr>
        <w:t xml:space="preserve"> ENVOLVENDO O ESTADO DE SÃO PAULO</w:t>
      </w:r>
    </w:p>
    <w:p w14:paraId="01F75E37" w14:textId="77777777" w:rsidR="00193DF0" w:rsidRPr="00F65B63" w:rsidRDefault="00193DF0" w:rsidP="001C10C4">
      <w:pPr>
        <w:spacing w:line="360" w:lineRule="auto"/>
        <w:ind w:firstLine="709"/>
        <w:jc w:val="both"/>
        <w:rPr>
          <w:sz w:val="24"/>
          <w:szCs w:val="24"/>
        </w:rPr>
      </w:pPr>
    </w:p>
    <w:p w14:paraId="7E01E768" w14:textId="1E19B32D" w:rsidR="002058D8" w:rsidRPr="00F65B63" w:rsidRDefault="003C12C9" w:rsidP="001C10C4">
      <w:pPr>
        <w:spacing w:line="360" w:lineRule="auto"/>
        <w:ind w:firstLine="709"/>
        <w:jc w:val="both"/>
        <w:rPr>
          <w:sz w:val="24"/>
          <w:szCs w:val="24"/>
        </w:rPr>
      </w:pPr>
      <w:r w:rsidRPr="00F65B63">
        <w:rPr>
          <w:sz w:val="24"/>
          <w:szCs w:val="24"/>
        </w:rPr>
        <w:t xml:space="preserve">Traz-se à baila </w:t>
      </w:r>
      <w:r w:rsidR="00FB3419" w:rsidRPr="00F65B63">
        <w:rPr>
          <w:sz w:val="24"/>
          <w:szCs w:val="24"/>
        </w:rPr>
        <w:t xml:space="preserve">breve estudo </w:t>
      </w:r>
      <w:r w:rsidRPr="00F65B63">
        <w:rPr>
          <w:sz w:val="24"/>
          <w:szCs w:val="24"/>
        </w:rPr>
        <w:t xml:space="preserve">de </w:t>
      </w:r>
      <w:r w:rsidR="007A5D21" w:rsidRPr="00F65B63">
        <w:rPr>
          <w:sz w:val="24"/>
          <w:szCs w:val="24"/>
        </w:rPr>
        <w:t>1</w:t>
      </w:r>
      <w:r w:rsidR="00946FFB" w:rsidRPr="00F65B63">
        <w:rPr>
          <w:sz w:val="24"/>
          <w:szCs w:val="24"/>
        </w:rPr>
        <w:t xml:space="preserve"> (</w:t>
      </w:r>
      <w:r w:rsidR="007A5D21" w:rsidRPr="00F65B63">
        <w:rPr>
          <w:sz w:val="24"/>
          <w:szCs w:val="24"/>
        </w:rPr>
        <w:t>um</w:t>
      </w:r>
      <w:r w:rsidR="00946FFB" w:rsidRPr="00F65B63">
        <w:rPr>
          <w:sz w:val="24"/>
          <w:szCs w:val="24"/>
        </w:rPr>
        <w:t xml:space="preserve">) </w:t>
      </w:r>
      <w:r w:rsidRPr="00F65B63">
        <w:rPr>
          <w:sz w:val="24"/>
          <w:szCs w:val="24"/>
        </w:rPr>
        <w:t>caso</w:t>
      </w:r>
      <w:r w:rsidR="007A5D21" w:rsidRPr="00F65B63">
        <w:rPr>
          <w:sz w:val="24"/>
          <w:szCs w:val="24"/>
        </w:rPr>
        <w:t xml:space="preserve"> </w:t>
      </w:r>
      <w:r w:rsidRPr="00F65B63">
        <w:rPr>
          <w:sz w:val="24"/>
          <w:szCs w:val="24"/>
        </w:rPr>
        <w:t>ilustrativo</w:t>
      </w:r>
      <w:r w:rsidR="002058D8" w:rsidRPr="00F65B63">
        <w:rPr>
          <w:sz w:val="24"/>
          <w:szCs w:val="24"/>
        </w:rPr>
        <w:t xml:space="preserve"> a respeito d</w:t>
      </w:r>
      <w:r w:rsidR="00946FFB" w:rsidRPr="00F65B63">
        <w:rPr>
          <w:sz w:val="24"/>
          <w:szCs w:val="24"/>
        </w:rPr>
        <w:t xml:space="preserve">o </w:t>
      </w:r>
      <w:r w:rsidR="002058D8" w:rsidRPr="00F65B63">
        <w:rPr>
          <w:sz w:val="24"/>
          <w:szCs w:val="24"/>
        </w:rPr>
        <w:t>tem</w:t>
      </w:r>
      <w:r w:rsidR="00946FFB" w:rsidRPr="00F65B63">
        <w:rPr>
          <w:sz w:val="24"/>
          <w:szCs w:val="24"/>
        </w:rPr>
        <w:t>a</w:t>
      </w:r>
      <w:r w:rsidR="002058D8" w:rsidRPr="00F65B63">
        <w:rPr>
          <w:sz w:val="24"/>
          <w:szCs w:val="24"/>
        </w:rPr>
        <w:t xml:space="preserve"> ora post</w:t>
      </w:r>
      <w:r w:rsidR="00946FFB" w:rsidRPr="00F65B63">
        <w:rPr>
          <w:sz w:val="24"/>
          <w:szCs w:val="24"/>
        </w:rPr>
        <w:t>o</w:t>
      </w:r>
      <w:r w:rsidR="00FB3419" w:rsidRPr="00F65B63">
        <w:rPr>
          <w:sz w:val="24"/>
          <w:szCs w:val="24"/>
        </w:rPr>
        <w:t>, que envolve o Estado de São Paulo</w:t>
      </w:r>
      <w:r w:rsidRPr="00F65B63">
        <w:rPr>
          <w:sz w:val="24"/>
          <w:szCs w:val="24"/>
        </w:rPr>
        <w:t xml:space="preserve">. </w:t>
      </w:r>
    </w:p>
    <w:p w14:paraId="4E02AE57" w14:textId="5D94F0F9" w:rsidR="003C12C9" w:rsidRPr="00F65B63" w:rsidRDefault="007A5D21" w:rsidP="001C10C4">
      <w:pPr>
        <w:spacing w:line="360" w:lineRule="auto"/>
        <w:ind w:firstLine="709"/>
        <w:jc w:val="both"/>
        <w:rPr>
          <w:sz w:val="24"/>
          <w:szCs w:val="24"/>
        </w:rPr>
      </w:pPr>
      <w:r w:rsidRPr="00F65B63">
        <w:rPr>
          <w:sz w:val="24"/>
          <w:szCs w:val="24"/>
        </w:rPr>
        <w:t>Trata-se d</w:t>
      </w:r>
      <w:r w:rsidR="002058D8" w:rsidRPr="00F65B63">
        <w:rPr>
          <w:sz w:val="24"/>
          <w:szCs w:val="24"/>
        </w:rPr>
        <w:t>a ação civil pública ajuizada pelo</w:t>
      </w:r>
      <w:r w:rsidR="003C12C9" w:rsidRPr="00F65B63">
        <w:rPr>
          <w:sz w:val="24"/>
          <w:szCs w:val="24"/>
        </w:rPr>
        <w:t xml:space="preserve"> M</w:t>
      </w:r>
      <w:r w:rsidR="00946FFB" w:rsidRPr="00F65B63">
        <w:rPr>
          <w:sz w:val="24"/>
          <w:szCs w:val="24"/>
        </w:rPr>
        <w:t xml:space="preserve">PSP </w:t>
      </w:r>
      <w:r w:rsidR="002058D8" w:rsidRPr="00F65B63">
        <w:rPr>
          <w:sz w:val="24"/>
          <w:szCs w:val="24"/>
        </w:rPr>
        <w:t>em face do Estado de São Paulo, em 2018 (</w:t>
      </w:r>
      <w:r w:rsidR="003C12C9" w:rsidRPr="00F65B63">
        <w:rPr>
          <w:sz w:val="24"/>
          <w:szCs w:val="24"/>
        </w:rPr>
        <w:t>processo nº 1016347-82.2018.8.26.0577</w:t>
      </w:r>
      <w:r w:rsidR="002058D8" w:rsidRPr="00F65B63">
        <w:rPr>
          <w:sz w:val="24"/>
          <w:szCs w:val="24"/>
        </w:rPr>
        <w:t xml:space="preserve">, </w:t>
      </w:r>
      <w:r w:rsidR="003C12C9" w:rsidRPr="00F65B63">
        <w:rPr>
          <w:sz w:val="24"/>
          <w:szCs w:val="24"/>
        </w:rPr>
        <w:t>1ª Vara da Fazenda Pública da Comarca de São José dos Campos</w:t>
      </w:r>
      <w:r w:rsidR="002058D8" w:rsidRPr="00F65B63">
        <w:rPr>
          <w:sz w:val="24"/>
          <w:szCs w:val="24"/>
        </w:rPr>
        <w:t>)</w:t>
      </w:r>
      <w:r w:rsidR="003C12C9" w:rsidRPr="00F65B63">
        <w:rPr>
          <w:sz w:val="24"/>
          <w:szCs w:val="24"/>
        </w:rPr>
        <w:t xml:space="preserve">, </w:t>
      </w:r>
      <w:r w:rsidR="002058D8" w:rsidRPr="00F65B63">
        <w:rPr>
          <w:sz w:val="24"/>
          <w:szCs w:val="24"/>
        </w:rPr>
        <w:t>na qual requereu</w:t>
      </w:r>
      <w:r w:rsidR="003C12C9" w:rsidRPr="00F65B63">
        <w:rPr>
          <w:sz w:val="24"/>
          <w:szCs w:val="24"/>
        </w:rPr>
        <w:t xml:space="preserve">, em apertada síntese, que o réu tomasse providências para atender às normas de “Boas Práticas para Armazenamento de Medicamentos” do Ministério da Saúde e obter a certificação ISO 9000/9001 ao </w:t>
      </w:r>
      <w:bookmarkStart w:id="17" w:name="_Hlk122396166"/>
      <w:r w:rsidR="003C12C9" w:rsidRPr="00F65B63">
        <w:rPr>
          <w:sz w:val="24"/>
          <w:szCs w:val="24"/>
        </w:rPr>
        <w:t xml:space="preserve">Núcleo de Assistência Farmacêutica (NAF), ao Grupo de Vigilância Sanitária (GVE) e ao Núcleo de Apoio de Operações Regionais de São José dos Campos (NAOR-SJC) </w:t>
      </w:r>
      <w:bookmarkEnd w:id="17"/>
      <w:r w:rsidR="003C12C9" w:rsidRPr="00F65B63">
        <w:rPr>
          <w:sz w:val="24"/>
          <w:szCs w:val="24"/>
        </w:rPr>
        <w:t>em razão de alegadas condições inadequadas do edifício em que instalados referidos órgãos públicos.</w:t>
      </w:r>
    </w:p>
    <w:p w14:paraId="57E71FE3" w14:textId="14B91A90" w:rsidR="003C12C9" w:rsidRPr="00F65B63" w:rsidRDefault="003C12C9" w:rsidP="001C10C4">
      <w:pPr>
        <w:spacing w:line="360" w:lineRule="auto"/>
        <w:ind w:firstLine="709"/>
        <w:jc w:val="both"/>
        <w:rPr>
          <w:sz w:val="24"/>
          <w:szCs w:val="24"/>
        </w:rPr>
      </w:pPr>
      <w:r w:rsidRPr="00F65B63">
        <w:rPr>
          <w:sz w:val="24"/>
          <w:szCs w:val="24"/>
        </w:rPr>
        <w:t>Em sua petição inicial, o MPSP afirmou, por exemplo, que medicamentos de alto custo e vacinas não estariam sendo devidamente recebidos, armazenados e dispensados. Requereu a liminar para que os três órgãos mencionados (NAF, GVE e NAOR-SJC) ficassem impedidos de receber, armazenar e distribuir tais produtos até que solucionassem as irregularidades apontadas, indicando um local substituto para tanto.</w:t>
      </w:r>
    </w:p>
    <w:p w14:paraId="58BF30F6" w14:textId="77777777" w:rsidR="003C12C9" w:rsidRPr="00F65B63" w:rsidRDefault="003C12C9" w:rsidP="001C10C4">
      <w:pPr>
        <w:spacing w:line="360" w:lineRule="auto"/>
        <w:jc w:val="both"/>
        <w:rPr>
          <w:sz w:val="24"/>
          <w:szCs w:val="24"/>
        </w:rPr>
      </w:pPr>
      <w:r w:rsidRPr="00F65B63">
        <w:rPr>
          <w:sz w:val="24"/>
          <w:szCs w:val="24"/>
        </w:rPr>
        <w:tab/>
        <w:t>A liminar foi indeferida, mas o pedido foi julgado procedente, tendo o juízo determinado que, em até 180 (cento e oitenta) dias, o Estado de São Paulo adequasse as atividades de recebimento, armazenamento e dispensação desses produtos, nesses órgãos públicos, às práticas mencionadas, inclusive que buscasse a obtenção da certificação ISO 9001 da ABNT, a ser mantida por ao menos 6 (seis) anos</w:t>
      </w:r>
      <w:r w:rsidRPr="00F65B63">
        <w:rPr>
          <w:rStyle w:val="Refdenotaderodap"/>
          <w:sz w:val="24"/>
          <w:szCs w:val="24"/>
        </w:rPr>
        <w:footnoteReference w:id="38"/>
      </w:r>
      <w:r w:rsidRPr="00F65B63">
        <w:rPr>
          <w:sz w:val="24"/>
          <w:szCs w:val="24"/>
        </w:rPr>
        <w:t>. Na mesma oportunidade, concedeu a tutela provisória pleiteada, fixando multa diária de R$ 10.000,00, “sem prejuízo das demais sanções aplicáveis aos agentes responsáveis”.</w:t>
      </w:r>
    </w:p>
    <w:p w14:paraId="062ABC45" w14:textId="351BC2AA" w:rsidR="003C12C9" w:rsidRPr="00F65B63" w:rsidRDefault="003C12C9" w:rsidP="002663BE">
      <w:pPr>
        <w:spacing w:line="360" w:lineRule="auto"/>
        <w:jc w:val="both"/>
        <w:rPr>
          <w:sz w:val="24"/>
          <w:szCs w:val="24"/>
        </w:rPr>
      </w:pPr>
      <w:r w:rsidRPr="00F65B63">
        <w:rPr>
          <w:sz w:val="24"/>
          <w:szCs w:val="24"/>
        </w:rPr>
        <w:tab/>
        <w:t xml:space="preserve">O Estado de São Paulo interpôs recurso de apelação, o qual restou desprovido pela 12ª Câmara de Direito Público do TJSP, tendo também sido rejeitados os embargos de declaração opostos. Houve a interposição de recurso extraordinário (por violação aos arts. 2º, 5º, inc. II, 37, </w:t>
      </w:r>
      <w:r w:rsidRPr="00F65B63">
        <w:rPr>
          <w:i/>
          <w:sz w:val="24"/>
          <w:szCs w:val="24"/>
        </w:rPr>
        <w:t xml:space="preserve">caput </w:t>
      </w:r>
      <w:r w:rsidRPr="00F65B63">
        <w:rPr>
          <w:sz w:val="24"/>
          <w:szCs w:val="24"/>
        </w:rPr>
        <w:t xml:space="preserve">e 167, CF) e de recurso especial (por violação aos arts. 485, inc. V, 497 e 537, CPC), ambos inadmitidos. </w:t>
      </w:r>
    </w:p>
    <w:p w14:paraId="30854C81" w14:textId="18D753B7" w:rsidR="003C12C9" w:rsidRPr="00F65B63" w:rsidRDefault="003C12C9" w:rsidP="001C10C4">
      <w:pPr>
        <w:spacing w:line="360" w:lineRule="auto"/>
        <w:ind w:firstLine="720"/>
        <w:jc w:val="both"/>
        <w:rPr>
          <w:sz w:val="24"/>
          <w:szCs w:val="24"/>
        </w:rPr>
      </w:pPr>
      <w:r w:rsidRPr="00F65B63">
        <w:rPr>
          <w:sz w:val="24"/>
          <w:szCs w:val="24"/>
        </w:rPr>
        <w:lastRenderedPageBreak/>
        <w:t>O agravo interposto contra a inadmissibilidade do recurso especial (AREsp 1.764.143) foi parcialmente conhecido pelo STJ e, nesse ponto, desprovido. Já quanto ao agravo interposto contra a inadmissibilidade do recurso extraordinário (ARE 1.385.264/SP), o STF determinou a devolução dos autos ao TJSP para que adotasse alguma das providências previstas no art. 1.030 do CPC, incs. I ao III (negar seguimento, encaminhar ao órgão julgador para fins do exercício de juízo de retratação ou sobrestar o processo), indicando o Tema 698 como correlato ao caso.</w:t>
      </w:r>
    </w:p>
    <w:p w14:paraId="04D4B580" w14:textId="77777777" w:rsidR="003C12C9" w:rsidRPr="00F65B63" w:rsidRDefault="003C12C9" w:rsidP="001C10C4">
      <w:pPr>
        <w:spacing w:line="360" w:lineRule="auto"/>
        <w:ind w:firstLine="720"/>
        <w:jc w:val="both"/>
        <w:rPr>
          <w:sz w:val="24"/>
          <w:szCs w:val="24"/>
        </w:rPr>
      </w:pPr>
      <w:r w:rsidRPr="00F65B63">
        <w:rPr>
          <w:sz w:val="24"/>
          <w:szCs w:val="24"/>
        </w:rPr>
        <w:t>O então Desembargador Presidente da Seção de Direito Público sobrestou, em 2022, o recurso extraordinário com fulcro neste Tema, que envolve a análise dos limites do Poder Judiciário ao impor obrigações de fazer na área da saúde à Administração Pública.</w:t>
      </w:r>
    </w:p>
    <w:p w14:paraId="6F43B1A9" w14:textId="1054FE41" w:rsidR="003C12C9" w:rsidRPr="00F65B63" w:rsidRDefault="003C12C9" w:rsidP="001C10C4">
      <w:pPr>
        <w:spacing w:line="360" w:lineRule="auto"/>
        <w:jc w:val="both"/>
        <w:rPr>
          <w:sz w:val="24"/>
          <w:szCs w:val="24"/>
        </w:rPr>
      </w:pPr>
      <w:r w:rsidRPr="00F65B63">
        <w:rPr>
          <w:sz w:val="24"/>
          <w:szCs w:val="24"/>
        </w:rPr>
        <w:tab/>
        <w:t>O MPSP iniciou o cumprimento provisório de sentença, tendo o juízo concedido 5 (cinco) dias (cinco dias!) para que o Estado de São Paulo comprovasse o cumprimento da obrigação de fazer, sob pena de multa diária. O Estado informou que o quadro fático que serviu de substrato à demanda se alterou, pois o edifício estava sendo ocupado apenas pelo Núcleo de Assistência Farmacêutica (NAF) e o fluxo de recebimento, armazenamento e dispensação de medicamentos havia sido reorganizado.</w:t>
      </w:r>
    </w:p>
    <w:p w14:paraId="13038926" w14:textId="77777777" w:rsidR="003C12C9" w:rsidRPr="00F65B63" w:rsidRDefault="003C12C9" w:rsidP="001C10C4">
      <w:pPr>
        <w:spacing w:line="360" w:lineRule="auto"/>
        <w:jc w:val="both"/>
        <w:rPr>
          <w:sz w:val="24"/>
          <w:szCs w:val="24"/>
        </w:rPr>
      </w:pPr>
      <w:r w:rsidRPr="00F65B63">
        <w:rPr>
          <w:sz w:val="24"/>
          <w:szCs w:val="24"/>
        </w:rPr>
        <w:tab/>
        <w:t xml:space="preserve">Adentrando os detalhes, comprovou que estavam sendo observados, desde o ano do ajuizamento da demanda, os </w:t>
      </w:r>
      <w:bookmarkStart w:id="18" w:name="_Hlk122396186"/>
      <w:r w:rsidRPr="00F65B63">
        <w:rPr>
          <w:sz w:val="24"/>
          <w:szCs w:val="24"/>
        </w:rPr>
        <w:t xml:space="preserve">Procedimentos Operacionais Padrão (POP) </w:t>
      </w:r>
      <w:bookmarkEnd w:id="18"/>
      <w:r w:rsidRPr="00F65B63">
        <w:rPr>
          <w:sz w:val="24"/>
          <w:szCs w:val="24"/>
        </w:rPr>
        <w:t>para fins de controle de temperatura, armazenamento, controle de prazo de validade dos medicamentos e remanejamento de medicamentos. Além disso, instalou-se um gerador de energia no prédio para garantir o funcionamento ininterrupto dos refrigeradores, adquiriram-se termômetros para controle da temperatura ambiente e passou a haver controle de acesso à área de armazenamento dos produtos.</w:t>
      </w:r>
    </w:p>
    <w:p w14:paraId="09B127E3" w14:textId="689CFC15" w:rsidR="003C12C9" w:rsidRPr="00F65B63" w:rsidRDefault="003C12C9" w:rsidP="001C10C4">
      <w:pPr>
        <w:spacing w:line="360" w:lineRule="auto"/>
        <w:jc w:val="both"/>
        <w:rPr>
          <w:sz w:val="24"/>
          <w:szCs w:val="24"/>
        </w:rPr>
      </w:pPr>
      <w:r w:rsidRPr="00F65B63">
        <w:rPr>
          <w:sz w:val="24"/>
          <w:szCs w:val="24"/>
        </w:rPr>
        <w:tab/>
        <w:t>O MPSP, em resposta, afirmou que as informações prestadas dependiam de constatação local, o que seria possibilitado por meio da obtenção da Certificação ISO 9001, entendendo, portanto, que não houve cumprimento da obrigação de fazer determinada na sentença.</w:t>
      </w:r>
    </w:p>
    <w:p w14:paraId="6C53E1F7" w14:textId="77777777" w:rsidR="003C12C9" w:rsidRPr="00F65B63" w:rsidRDefault="003C12C9" w:rsidP="001C10C4">
      <w:pPr>
        <w:spacing w:line="360" w:lineRule="auto"/>
        <w:jc w:val="both"/>
        <w:rPr>
          <w:sz w:val="24"/>
          <w:szCs w:val="24"/>
        </w:rPr>
      </w:pPr>
      <w:r w:rsidRPr="00F65B63">
        <w:rPr>
          <w:sz w:val="24"/>
          <w:szCs w:val="24"/>
        </w:rPr>
        <w:tab/>
        <w:t>Ato contínuo, o Estado de São Paulo apresentou em juízo um cronograma estabelecido pela Secretaria de Estado da Saúde de São Paulo (SES/SP), contendo as demais atividades a serem realizadas em até 90 (noventa) dias. Requereu dilação do prazo para cumprimento, dada a complexidade das adequações e a priorização, à época, de tarefas relacionadas ao enfrentamento da pandemia de Covid-19.</w:t>
      </w:r>
    </w:p>
    <w:p w14:paraId="6910AAE7" w14:textId="77777777" w:rsidR="003C12C9" w:rsidRPr="00F65B63" w:rsidRDefault="003C12C9" w:rsidP="001C10C4">
      <w:pPr>
        <w:spacing w:line="360" w:lineRule="auto"/>
        <w:jc w:val="both"/>
        <w:rPr>
          <w:sz w:val="24"/>
          <w:szCs w:val="24"/>
        </w:rPr>
      </w:pPr>
      <w:r w:rsidRPr="00F65B63">
        <w:rPr>
          <w:sz w:val="24"/>
          <w:szCs w:val="24"/>
        </w:rPr>
        <w:tab/>
        <w:t xml:space="preserve">O autor, contudo, manteve a alegação de que houve o descumprimento da sentença, requerendo, dentre outros, a incidência retroativa da multa diária, o que restou indeferido pelo juízo com base no fato de que “não se pode desconsiderar a complexidade da Administração Pública Estadual, a distância entre o servidor que meramente recebe intimações eletrônicas da decisão judicial e o efetivo responsável pela aplicação e liberação das verbas necessárias ao seu cumprimento”, para </w:t>
      </w:r>
      <w:r w:rsidRPr="00F65B63">
        <w:rPr>
          <w:sz w:val="24"/>
          <w:szCs w:val="24"/>
        </w:rPr>
        <w:lastRenderedPageBreak/>
        <w:t>além de ter mencionado que a pesada multa coercitiva, a ser arcada pelo erário, prejudicaria a consecução de outras atividades estatais.</w:t>
      </w:r>
    </w:p>
    <w:p w14:paraId="2AE2BF8B" w14:textId="104BC142" w:rsidR="003C12C9" w:rsidRPr="00F65B63" w:rsidRDefault="003C12C9" w:rsidP="00F219B0">
      <w:pPr>
        <w:spacing w:line="360" w:lineRule="auto"/>
        <w:jc w:val="both"/>
        <w:rPr>
          <w:sz w:val="24"/>
          <w:szCs w:val="24"/>
        </w:rPr>
      </w:pPr>
      <w:r w:rsidRPr="00F65B63">
        <w:rPr>
          <w:sz w:val="24"/>
          <w:szCs w:val="24"/>
        </w:rPr>
        <w:tab/>
      </w:r>
      <w:r w:rsidR="00F219B0" w:rsidRPr="00F65B63">
        <w:rPr>
          <w:sz w:val="24"/>
          <w:szCs w:val="24"/>
        </w:rPr>
        <w:t xml:space="preserve">O </w:t>
      </w:r>
      <w:r w:rsidRPr="00F65B63">
        <w:rPr>
          <w:sz w:val="24"/>
          <w:szCs w:val="24"/>
        </w:rPr>
        <w:t>juízo dilatou o prazo de cumprimento em 90 (noventa) dias.</w:t>
      </w:r>
      <w:r w:rsidR="00F219B0" w:rsidRPr="00F65B63">
        <w:rPr>
          <w:sz w:val="24"/>
          <w:szCs w:val="24"/>
        </w:rPr>
        <w:t xml:space="preserve"> </w:t>
      </w:r>
      <w:r w:rsidRPr="00F65B63">
        <w:rPr>
          <w:sz w:val="24"/>
          <w:szCs w:val="24"/>
        </w:rPr>
        <w:t>Após, o</w:t>
      </w:r>
      <w:r w:rsidR="00F219B0" w:rsidRPr="00F65B63">
        <w:rPr>
          <w:sz w:val="24"/>
          <w:szCs w:val="24"/>
        </w:rPr>
        <w:t xml:space="preserve"> MPSP requereu</w:t>
      </w:r>
      <w:r w:rsidRPr="00F65B63">
        <w:rPr>
          <w:sz w:val="24"/>
          <w:szCs w:val="24"/>
        </w:rPr>
        <w:t xml:space="preserve"> o cumprimento provisório da sentença no que toca à cobrança da multa coercitiva (R$ 10.000,00 por dia), supostamente devida desde 05.06.2019, a qual teria alcançado</w:t>
      </w:r>
      <w:r w:rsidR="00FB3419" w:rsidRPr="00F65B63">
        <w:rPr>
          <w:sz w:val="24"/>
          <w:szCs w:val="24"/>
        </w:rPr>
        <w:t>, aproximadamente, o valor</w:t>
      </w:r>
      <w:r w:rsidRPr="00F65B63">
        <w:rPr>
          <w:sz w:val="24"/>
          <w:szCs w:val="24"/>
        </w:rPr>
        <w:t xml:space="preserve"> de R$</w:t>
      </w:r>
      <w:r w:rsidR="00FB3419" w:rsidRPr="00F65B63">
        <w:rPr>
          <w:sz w:val="24"/>
          <w:szCs w:val="24"/>
        </w:rPr>
        <w:t xml:space="preserve"> 15.000.000,00</w:t>
      </w:r>
      <w:r w:rsidRPr="00F65B63">
        <w:rPr>
          <w:sz w:val="24"/>
          <w:szCs w:val="24"/>
        </w:rPr>
        <w:t xml:space="preserve">. </w:t>
      </w:r>
    </w:p>
    <w:p w14:paraId="57DB068B" w14:textId="77777777" w:rsidR="003C12C9" w:rsidRPr="00F65B63" w:rsidRDefault="003C12C9" w:rsidP="001C10C4">
      <w:pPr>
        <w:spacing w:line="360" w:lineRule="auto"/>
        <w:ind w:firstLine="720"/>
        <w:jc w:val="both"/>
        <w:rPr>
          <w:sz w:val="24"/>
          <w:szCs w:val="24"/>
        </w:rPr>
      </w:pPr>
      <w:r w:rsidRPr="00F65B63">
        <w:rPr>
          <w:sz w:val="24"/>
          <w:szCs w:val="24"/>
        </w:rPr>
        <w:t>Em resposta, o Estado sustentou ser descabido o cumprimento provisório de obrigação de pagar em face da Fazenda Pública, o que é restrito às obrigações de fazer, conforme decidido no Tema 45 do STF (</w:t>
      </w:r>
      <w:r w:rsidRPr="00F65B63">
        <w:rPr>
          <w:i/>
          <w:sz w:val="24"/>
          <w:szCs w:val="24"/>
        </w:rPr>
        <w:t>leading case</w:t>
      </w:r>
      <w:r w:rsidRPr="00F65B63">
        <w:rPr>
          <w:sz w:val="24"/>
          <w:szCs w:val="24"/>
        </w:rPr>
        <w:t>: RE 573.872/RS)</w:t>
      </w:r>
      <w:r w:rsidRPr="00F65B63">
        <w:rPr>
          <w:sz w:val="24"/>
          <w:szCs w:val="24"/>
          <w:vertAlign w:val="superscript"/>
        </w:rPr>
        <w:footnoteReference w:id="39"/>
      </w:r>
      <w:r w:rsidRPr="00F65B63">
        <w:rPr>
          <w:sz w:val="24"/>
          <w:szCs w:val="24"/>
        </w:rPr>
        <w:t>, cuja tese prevê que a execução provisória de obrigação de fazer em face da Fazenda não atrai o regime constitucional dos precatórios. Isso porque não há previsão legal de depósito judicial, pela Fazenda, sem a prévia existência de um ofício requisitório lastreado em comando judicial definitivo.</w:t>
      </w:r>
    </w:p>
    <w:p w14:paraId="22301725" w14:textId="77777777" w:rsidR="003C12C9" w:rsidRPr="00F65B63" w:rsidRDefault="003C12C9" w:rsidP="001C10C4">
      <w:pPr>
        <w:spacing w:line="360" w:lineRule="auto"/>
        <w:ind w:firstLine="720"/>
        <w:jc w:val="both"/>
        <w:rPr>
          <w:sz w:val="24"/>
          <w:szCs w:val="24"/>
        </w:rPr>
      </w:pPr>
      <w:r w:rsidRPr="00F65B63">
        <w:rPr>
          <w:sz w:val="24"/>
          <w:szCs w:val="24"/>
        </w:rPr>
        <w:t xml:space="preserve">Com efeito, o Estado de São Paulo mencionou que houve completa modificação da situação fática no órgão farmacêutico, enumerando todas as diversas adequações realizadas, comprovadas documentalmente. </w:t>
      </w:r>
    </w:p>
    <w:p w14:paraId="29F4A515" w14:textId="77777777" w:rsidR="003C12C9" w:rsidRPr="00F65B63" w:rsidRDefault="003C12C9" w:rsidP="001C10C4">
      <w:pPr>
        <w:spacing w:line="360" w:lineRule="auto"/>
        <w:ind w:firstLine="720"/>
        <w:jc w:val="both"/>
        <w:rPr>
          <w:sz w:val="24"/>
          <w:szCs w:val="24"/>
        </w:rPr>
      </w:pPr>
      <w:r w:rsidRPr="00F65B63">
        <w:rPr>
          <w:sz w:val="24"/>
          <w:szCs w:val="24"/>
        </w:rPr>
        <w:t xml:space="preserve">Explicou que a pretendida Certificação ISO 9001 em nada se relaciona às atividades de recebimento, armazenamento e disponibilização de medicamentos, cuja normatização compete aos órgãos de Vigilância Sanitária (art. 200, inc. I, CF; arts. 15, incs. I, V e XX, 16, inc. III, </w:t>
      </w:r>
      <w:r w:rsidRPr="00F65B63">
        <w:rPr>
          <w:i/>
          <w:sz w:val="24"/>
          <w:szCs w:val="24"/>
        </w:rPr>
        <w:t>d</w:t>
      </w:r>
      <w:r w:rsidRPr="00F65B63">
        <w:rPr>
          <w:sz w:val="24"/>
          <w:szCs w:val="24"/>
        </w:rPr>
        <w:t xml:space="preserve">, 17, inc. IV, </w:t>
      </w:r>
      <w:r w:rsidRPr="00F65B63">
        <w:rPr>
          <w:i/>
          <w:sz w:val="24"/>
          <w:szCs w:val="24"/>
        </w:rPr>
        <w:t>b</w:t>
      </w:r>
      <w:r w:rsidRPr="00F65B63">
        <w:rPr>
          <w:sz w:val="24"/>
          <w:szCs w:val="24"/>
        </w:rPr>
        <w:t xml:space="preserve"> e 18, inc. IV, </w:t>
      </w:r>
      <w:r w:rsidRPr="00F65B63">
        <w:rPr>
          <w:i/>
          <w:sz w:val="24"/>
          <w:szCs w:val="24"/>
        </w:rPr>
        <w:t>b</w:t>
      </w:r>
      <w:r w:rsidRPr="00F65B63">
        <w:rPr>
          <w:sz w:val="24"/>
          <w:szCs w:val="24"/>
        </w:rPr>
        <w:t xml:space="preserve">, da Lei Federal nº 8.080/90). </w:t>
      </w:r>
    </w:p>
    <w:p w14:paraId="78D48717" w14:textId="0507B746" w:rsidR="003C12C9" w:rsidRPr="00F65B63" w:rsidRDefault="003C12C9" w:rsidP="001C10C4">
      <w:pPr>
        <w:spacing w:line="360" w:lineRule="auto"/>
        <w:ind w:firstLine="720"/>
        <w:jc w:val="both"/>
        <w:rPr>
          <w:sz w:val="24"/>
          <w:szCs w:val="24"/>
        </w:rPr>
      </w:pPr>
      <w:r w:rsidRPr="00F65B63">
        <w:rPr>
          <w:sz w:val="24"/>
          <w:szCs w:val="24"/>
        </w:rPr>
        <w:t xml:space="preserve">Nesse sentido, comprovou que a Vigilância Sanitária Municipal de São José dos Campos atestou que o NAF está cumprindo as normas sanitárias, conforme a legislação correlata ora mencionada. Dessa forma, sustentou que a ausência da Certificação ISO 9001 não significaria o descumprimento da obrigação de fazer, vez que a regularidade sanitária nas atividades do mencionado NAF já havia sido atingida. </w:t>
      </w:r>
    </w:p>
    <w:p w14:paraId="0C4F8368" w14:textId="77777777" w:rsidR="003C12C9" w:rsidRPr="00F65B63" w:rsidRDefault="003C12C9" w:rsidP="001C10C4">
      <w:pPr>
        <w:spacing w:line="360" w:lineRule="auto"/>
        <w:ind w:firstLine="720"/>
        <w:jc w:val="both"/>
        <w:rPr>
          <w:sz w:val="24"/>
          <w:szCs w:val="24"/>
        </w:rPr>
      </w:pPr>
      <w:r w:rsidRPr="00F65B63">
        <w:rPr>
          <w:sz w:val="24"/>
          <w:szCs w:val="24"/>
        </w:rPr>
        <w:t xml:space="preserve">Na prática, o Judiciário estaria impondo ao Estado de São Paulo a obtenção da citada Certificação sem que houvesse necessidade para tanto, para além da exigência de celebração de um contrato oneroso com a Associação Brasileira de Normas Técnicas (ABNT) como pré-requisito. </w:t>
      </w:r>
    </w:p>
    <w:p w14:paraId="6170DE9B" w14:textId="77777777" w:rsidR="003C12C9" w:rsidRPr="00F65B63" w:rsidRDefault="003C12C9" w:rsidP="001C10C4">
      <w:pPr>
        <w:spacing w:line="360" w:lineRule="auto"/>
        <w:ind w:firstLine="720"/>
        <w:jc w:val="both"/>
        <w:rPr>
          <w:sz w:val="24"/>
          <w:szCs w:val="24"/>
        </w:rPr>
      </w:pPr>
      <w:r w:rsidRPr="00F65B63">
        <w:rPr>
          <w:sz w:val="24"/>
          <w:szCs w:val="24"/>
        </w:rPr>
        <w:t xml:space="preserve">Explicou que a Certificação ISO 9001 visa apenas otimizar processos e conferir maior agilidade ao desenvolvimento de produtos, relacionando-se, pois, a fluxos, não possuindo o condão, portanto, de atestar a observância de regras sanitárias por uma empresa ou órgão público. </w:t>
      </w:r>
    </w:p>
    <w:p w14:paraId="4218D87E" w14:textId="77777777" w:rsidR="003C12C9" w:rsidRPr="00F65B63" w:rsidRDefault="003C12C9" w:rsidP="001C10C4">
      <w:pPr>
        <w:spacing w:line="360" w:lineRule="auto"/>
        <w:ind w:firstLine="720"/>
        <w:jc w:val="both"/>
        <w:rPr>
          <w:sz w:val="24"/>
          <w:szCs w:val="24"/>
        </w:rPr>
      </w:pPr>
      <w:r w:rsidRPr="00F65B63">
        <w:rPr>
          <w:sz w:val="24"/>
          <w:szCs w:val="24"/>
        </w:rPr>
        <w:t xml:space="preserve">Destacou que, de fato, há alguns poucos órgãos públicos que têm referida Certificação (como </w:t>
      </w:r>
      <w:r w:rsidRPr="00F65B63">
        <w:rPr>
          <w:sz w:val="24"/>
          <w:szCs w:val="24"/>
        </w:rPr>
        <w:lastRenderedPageBreak/>
        <w:t>o gabinete do Ministro Ricardo Lewandowski)</w:t>
      </w:r>
      <w:r w:rsidRPr="00F65B63">
        <w:rPr>
          <w:sz w:val="24"/>
          <w:szCs w:val="24"/>
          <w:vertAlign w:val="superscript"/>
        </w:rPr>
        <w:footnoteReference w:id="40"/>
      </w:r>
      <w:r w:rsidRPr="00F65B63">
        <w:rPr>
          <w:sz w:val="24"/>
          <w:szCs w:val="24"/>
        </w:rPr>
        <w:t xml:space="preserve">, mas que tal não significa que os demais órgãos estejam em desconformidade com a lei. Significaria apenas que esses poucos órgãos foram avaliados pela ABNT, conforme métodos próprios. </w:t>
      </w:r>
    </w:p>
    <w:p w14:paraId="4E364119" w14:textId="77777777" w:rsidR="003C12C9" w:rsidRPr="00F65B63" w:rsidRDefault="003C12C9" w:rsidP="001C10C4">
      <w:pPr>
        <w:spacing w:line="360" w:lineRule="auto"/>
        <w:ind w:firstLine="720"/>
        <w:jc w:val="both"/>
        <w:rPr>
          <w:sz w:val="24"/>
          <w:szCs w:val="24"/>
        </w:rPr>
      </w:pPr>
      <w:r w:rsidRPr="00F65B63">
        <w:rPr>
          <w:sz w:val="24"/>
          <w:szCs w:val="24"/>
        </w:rPr>
        <w:t>No Estado de São Paulo, nenhum órgão público possui tal Certificação, cuja obtenção seria uma faculdade (inexiste lei que a determine), podendo o administrador público optar ou não por contratar referida entidade privada para essa finalidade.</w:t>
      </w:r>
    </w:p>
    <w:p w14:paraId="126C486E" w14:textId="77777777" w:rsidR="003C12C9" w:rsidRPr="00F65B63" w:rsidRDefault="003C12C9" w:rsidP="001C10C4">
      <w:pPr>
        <w:spacing w:line="360" w:lineRule="auto"/>
        <w:ind w:firstLine="720"/>
        <w:jc w:val="both"/>
        <w:rPr>
          <w:sz w:val="24"/>
          <w:szCs w:val="24"/>
        </w:rPr>
      </w:pPr>
      <w:r w:rsidRPr="00F65B63">
        <w:rPr>
          <w:sz w:val="24"/>
          <w:szCs w:val="24"/>
        </w:rPr>
        <w:t xml:space="preserve">Consignou que, se realmente houvesse a obrigação de órgãos públicos obterem certificação por entidade privada, esta não precisaria ser necessariamente a ABNT, hipótese na qual haveria licitação para seleção da melhor proposta, conforme critérios a serem definidos em edital, em atendimento aos princípios da isonomia e moralidade (art. 37, </w:t>
      </w:r>
      <w:r w:rsidRPr="00F65B63">
        <w:rPr>
          <w:i/>
          <w:sz w:val="24"/>
          <w:szCs w:val="24"/>
        </w:rPr>
        <w:t>caput</w:t>
      </w:r>
      <w:r w:rsidRPr="00F65B63">
        <w:rPr>
          <w:sz w:val="24"/>
          <w:szCs w:val="24"/>
        </w:rPr>
        <w:t>, CF).</w:t>
      </w:r>
    </w:p>
    <w:p w14:paraId="5F237076" w14:textId="77777777" w:rsidR="003C12C9" w:rsidRPr="00F65B63" w:rsidRDefault="003C12C9" w:rsidP="001C10C4">
      <w:pPr>
        <w:spacing w:line="360" w:lineRule="auto"/>
        <w:ind w:firstLine="720"/>
        <w:jc w:val="both"/>
        <w:rPr>
          <w:sz w:val="24"/>
          <w:szCs w:val="24"/>
        </w:rPr>
      </w:pPr>
      <w:r w:rsidRPr="00F65B63">
        <w:rPr>
          <w:sz w:val="24"/>
          <w:szCs w:val="24"/>
        </w:rPr>
        <w:t xml:space="preserve">Por fim, sustentou o excesso do valor cobrado, tanto fruto da elevada multa diária, quanto da ausência de sua limitação, restando evidenciado, no caso, que o montante viola o princípio da proporcionalidade, não se mostrando suficiente e compatível com a obrigação, nos termos exigidos pelo </w:t>
      </w:r>
      <w:r w:rsidRPr="00F65B63">
        <w:rPr>
          <w:i/>
          <w:sz w:val="24"/>
          <w:szCs w:val="24"/>
        </w:rPr>
        <w:t xml:space="preserve">caput </w:t>
      </w:r>
      <w:r w:rsidRPr="00F65B63">
        <w:rPr>
          <w:sz w:val="24"/>
          <w:szCs w:val="24"/>
        </w:rPr>
        <w:t>do art. 537 do CPC.</w:t>
      </w:r>
    </w:p>
    <w:p w14:paraId="6D9E4A29" w14:textId="5DD123DC" w:rsidR="003C12C9" w:rsidRPr="00F65B63" w:rsidRDefault="003C12C9" w:rsidP="001C10C4">
      <w:pPr>
        <w:spacing w:line="360" w:lineRule="auto"/>
        <w:ind w:firstLine="720"/>
        <w:jc w:val="both"/>
        <w:rPr>
          <w:sz w:val="24"/>
          <w:szCs w:val="24"/>
        </w:rPr>
      </w:pPr>
      <w:r w:rsidRPr="00F65B63">
        <w:rPr>
          <w:sz w:val="24"/>
          <w:szCs w:val="24"/>
        </w:rPr>
        <w:t xml:space="preserve">O MPSP peticionou dizendo que se mostra descabida qualquer revisão do conteúdo da sentença e do acórdão, vez que inadmissível reabrir a fase de conhecimento do processo, sob pena de violação do devido processo legal, coisa julgada e duração razoável do processo. </w:t>
      </w:r>
    </w:p>
    <w:p w14:paraId="6C900B4A" w14:textId="11E7FF66" w:rsidR="003C12C9" w:rsidRPr="00F65B63" w:rsidRDefault="003C12C9" w:rsidP="001C10C4">
      <w:pPr>
        <w:spacing w:line="360" w:lineRule="auto"/>
        <w:ind w:firstLine="720"/>
        <w:jc w:val="both"/>
        <w:rPr>
          <w:sz w:val="24"/>
          <w:szCs w:val="24"/>
        </w:rPr>
      </w:pPr>
      <w:r w:rsidRPr="00F65B63">
        <w:rPr>
          <w:sz w:val="24"/>
          <w:szCs w:val="24"/>
        </w:rPr>
        <w:t>No mais, requereu a majoração da multa diária para R$ 30.000,00 (trinta mil reais)</w:t>
      </w:r>
      <w:r w:rsidR="002663BE">
        <w:rPr>
          <w:sz w:val="24"/>
          <w:szCs w:val="24"/>
        </w:rPr>
        <w:t xml:space="preserve"> </w:t>
      </w:r>
      <w:r w:rsidRPr="00F65B63">
        <w:rPr>
          <w:sz w:val="24"/>
          <w:szCs w:val="24"/>
        </w:rPr>
        <w:t xml:space="preserve">e </w:t>
      </w:r>
      <w:r w:rsidR="002663BE">
        <w:rPr>
          <w:sz w:val="24"/>
          <w:szCs w:val="24"/>
        </w:rPr>
        <w:t>requereu o bloqueio do montante da multa vencida.</w:t>
      </w:r>
    </w:p>
    <w:p w14:paraId="6D0E1496" w14:textId="1C1B518A" w:rsidR="003C12C9" w:rsidRPr="00F65B63" w:rsidRDefault="002663BE" w:rsidP="001C10C4">
      <w:pPr>
        <w:spacing w:line="360" w:lineRule="auto"/>
        <w:ind w:firstLine="720"/>
        <w:jc w:val="both"/>
        <w:rPr>
          <w:sz w:val="24"/>
          <w:szCs w:val="24"/>
        </w:rPr>
      </w:pPr>
      <w:r>
        <w:rPr>
          <w:sz w:val="24"/>
          <w:szCs w:val="24"/>
        </w:rPr>
        <w:t xml:space="preserve"> Observa-se, n</w:t>
      </w:r>
      <w:r w:rsidR="003C12C9" w:rsidRPr="00F65B63">
        <w:rPr>
          <w:sz w:val="24"/>
          <w:szCs w:val="24"/>
        </w:rPr>
        <w:t>a espécie,</w:t>
      </w:r>
      <w:r>
        <w:rPr>
          <w:sz w:val="24"/>
          <w:szCs w:val="24"/>
        </w:rPr>
        <w:t xml:space="preserve"> que,</w:t>
      </w:r>
      <w:r w:rsidR="003C12C9" w:rsidRPr="00F65B63">
        <w:rPr>
          <w:sz w:val="24"/>
          <w:szCs w:val="24"/>
        </w:rPr>
        <w:t xml:space="preserve"> por mais que o Estado de São Paulo se manifeste a respeito da implantação de medidas que, na prática, equivalem ao efeito pretendido por meio da tutela jurisdicional, o MPSP se mostra irredutível, apegando-se ao detalhamento contido na sentença, que dispôs exatamente da forma requerida pelo autor, entendendo que essa decisão não pode ser revisada</w:t>
      </w:r>
      <w:r w:rsidR="003C12C9" w:rsidRPr="00F65B63">
        <w:rPr>
          <w:sz w:val="24"/>
          <w:szCs w:val="24"/>
          <w:vertAlign w:val="superscript"/>
        </w:rPr>
        <w:footnoteReference w:id="41"/>
      </w:r>
      <w:r w:rsidR="003C12C9" w:rsidRPr="00F65B63">
        <w:rPr>
          <w:sz w:val="24"/>
          <w:szCs w:val="24"/>
        </w:rPr>
        <w:t>, entendimento esse adotado pelo juízo</w:t>
      </w:r>
      <w:r>
        <w:rPr>
          <w:sz w:val="24"/>
          <w:szCs w:val="24"/>
        </w:rPr>
        <w:t xml:space="preserve"> até o momento.</w:t>
      </w:r>
    </w:p>
    <w:p w14:paraId="50389E53" w14:textId="58AB4EDB" w:rsidR="003C12C9" w:rsidRPr="00F65B63" w:rsidRDefault="003C12C9" w:rsidP="001C10C4">
      <w:pPr>
        <w:spacing w:line="360" w:lineRule="auto"/>
        <w:ind w:firstLine="720"/>
        <w:jc w:val="both"/>
        <w:rPr>
          <w:sz w:val="24"/>
          <w:szCs w:val="24"/>
        </w:rPr>
      </w:pPr>
      <w:r w:rsidRPr="00F65B63">
        <w:rPr>
          <w:sz w:val="24"/>
          <w:szCs w:val="24"/>
        </w:rPr>
        <w:t>Esse caso é repleto de elementos cuja análise se correlaciona sobremaneira com o tema ora estudado.</w:t>
      </w:r>
    </w:p>
    <w:p w14:paraId="7DB4481D" w14:textId="3DA31579" w:rsidR="00F219B0" w:rsidRPr="00F65B63" w:rsidRDefault="00F219B0" w:rsidP="001C10C4">
      <w:pPr>
        <w:spacing w:line="360" w:lineRule="auto"/>
        <w:ind w:firstLine="720"/>
        <w:jc w:val="both"/>
        <w:rPr>
          <w:sz w:val="24"/>
          <w:szCs w:val="24"/>
          <w:shd w:val="clear" w:color="auto" w:fill="FFFFFF"/>
        </w:rPr>
      </w:pPr>
      <w:r w:rsidRPr="00F65B63">
        <w:rPr>
          <w:sz w:val="24"/>
          <w:szCs w:val="24"/>
        </w:rPr>
        <w:t>Por primeiro, a tese do Tema 698 do STF reforça o pleito do Estado de São Paulo, pois a finalidade da intervenção jurisdicional, na espécie, foi a</w:t>
      </w:r>
      <w:r w:rsidRPr="00F65B63">
        <w:rPr>
          <w:sz w:val="24"/>
          <w:szCs w:val="24"/>
          <w:shd w:val="clear" w:color="auto" w:fill="FFFFFF"/>
        </w:rPr>
        <w:t xml:space="preserve"> “adequação das atividades de recebimento, armazenamento e dispensação dos medicamentos de alto custo do NAF de São José dos Campos e GVE de São José dos Campos, ou dos órgãos que o substituírem, às normas e procedimentos técnicos </w:t>
      </w:r>
      <w:r w:rsidRPr="00F65B63">
        <w:rPr>
          <w:sz w:val="24"/>
          <w:szCs w:val="24"/>
          <w:shd w:val="clear" w:color="auto" w:fill="FFFFFF"/>
        </w:rPr>
        <w:lastRenderedPageBreak/>
        <w:t>recomendados para tais atividades”, sendo a obtenção do certificado ISO 9001 apenas um meio, indicado no título executivo judicial, para o atingimento dessa finalidade.</w:t>
      </w:r>
    </w:p>
    <w:p w14:paraId="0CD35499" w14:textId="0D74897C" w:rsidR="00F219B0" w:rsidRPr="00F65B63" w:rsidRDefault="00F219B0" w:rsidP="001C10C4">
      <w:pPr>
        <w:spacing w:line="360" w:lineRule="auto"/>
        <w:ind w:firstLine="720"/>
        <w:jc w:val="both"/>
        <w:rPr>
          <w:sz w:val="24"/>
          <w:szCs w:val="24"/>
        </w:rPr>
      </w:pPr>
      <w:r w:rsidRPr="00F65B63">
        <w:rPr>
          <w:sz w:val="24"/>
          <w:szCs w:val="24"/>
          <w:shd w:val="clear" w:color="auto" w:fill="FFFFFF"/>
        </w:rPr>
        <w:t>Na verdade, o Estado de São Paulo já demonstrou nos autos que a obtenção d</w:t>
      </w:r>
      <w:r w:rsidR="00D04F6E">
        <w:rPr>
          <w:sz w:val="24"/>
          <w:szCs w:val="24"/>
          <w:shd w:val="clear" w:color="auto" w:fill="FFFFFF"/>
        </w:rPr>
        <w:t>a C</w:t>
      </w:r>
      <w:r w:rsidRPr="00F65B63">
        <w:rPr>
          <w:sz w:val="24"/>
          <w:szCs w:val="24"/>
          <w:shd w:val="clear" w:color="auto" w:fill="FFFFFF"/>
        </w:rPr>
        <w:t>ertifica</w:t>
      </w:r>
      <w:r w:rsidR="00D04F6E">
        <w:rPr>
          <w:sz w:val="24"/>
          <w:szCs w:val="24"/>
          <w:shd w:val="clear" w:color="auto" w:fill="FFFFFF"/>
        </w:rPr>
        <w:t>ção</w:t>
      </w:r>
      <w:r w:rsidRPr="00F65B63">
        <w:rPr>
          <w:sz w:val="24"/>
          <w:szCs w:val="24"/>
          <w:shd w:val="clear" w:color="auto" w:fill="FFFFFF"/>
        </w:rPr>
        <w:t xml:space="preserve"> ISO 9001 é incapaz de alcançar a finalidade pretendida</w:t>
      </w:r>
      <w:r w:rsidR="00D04F6E">
        <w:rPr>
          <w:sz w:val="24"/>
          <w:szCs w:val="24"/>
          <w:shd w:val="clear" w:color="auto" w:fill="FFFFFF"/>
        </w:rPr>
        <w:t xml:space="preserve"> (não se presta a tal mister)</w:t>
      </w:r>
      <w:r w:rsidRPr="00F65B63">
        <w:rPr>
          <w:sz w:val="24"/>
          <w:szCs w:val="24"/>
          <w:shd w:val="clear" w:color="auto" w:fill="FFFFFF"/>
        </w:rPr>
        <w:t>, cabendo à Administração a seleção do meio que considere, em sua discricionariedade, mais hábil.</w:t>
      </w:r>
    </w:p>
    <w:p w14:paraId="271EBC48" w14:textId="442F08D8" w:rsidR="003C12C9" w:rsidRPr="00F65B63" w:rsidRDefault="003C12C9" w:rsidP="001C10C4">
      <w:pPr>
        <w:spacing w:line="360" w:lineRule="auto"/>
        <w:ind w:firstLine="720"/>
        <w:jc w:val="both"/>
        <w:rPr>
          <w:sz w:val="24"/>
          <w:szCs w:val="24"/>
        </w:rPr>
      </w:pPr>
      <w:r w:rsidRPr="00F65B63">
        <w:rPr>
          <w:sz w:val="24"/>
          <w:szCs w:val="24"/>
        </w:rPr>
        <w:t xml:space="preserve">De início, evidencia-se que </w:t>
      </w:r>
      <w:r w:rsidR="00F219B0" w:rsidRPr="00F65B63">
        <w:rPr>
          <w:sz w:val="24"/>
          <w:szCs w:val="24"/>
        </w:rPr>
        <w:t>a atuação do</w:t>
      </w:r>
      <w:r w:rsidR="002058D8" w:rsidRPr="00F65B63">
        <w:rPr>
          <w:sz w:val="24"/>
          <w:szCs w:val="24"/>
        </w:rPr>
        <w:t xml:space="preserve"> representante do</w:t>
      </w:r>
      <w:r w:rsidRPr="00F65B63">
        <w:rPr>
          <w:sz w:val="24"/>
          <w:szCs w:val="24"/>
        </w:rPr>
        <w:t xml:space="preserve"> MP</w:t>
      </w:r>
      <w:r w:rsidR="00F219B0" w:rsidRPr="00F65B63">
        <w:rPr>
          <w:sz w:val="24"/>
          <w:szCs w:val="24"/>
        </w:rPr>
        <w:t>S</w:t>
      </w:r>
      <w:r w:rsidRPr="00F65B63">
        <w:rPr>
          <w:sz w:val="24"/>
          <w:szCs w:val="24"/>
        </w:rPr>
        <w:t>P</w:t>
      </w:r>
      <w:r w:rsidR="002058D8" w:rsidRPr="00F65B63">
        <w:rPr>
          <w:sz w:val="24"/>
          <w:szCs w:val="24"/>
        </w:rPr>
        <w:t>, no caso,</w:t>
      </w:r>
      <w:r w:rsidRPr="00F65B63">
        <w:rPr>
          <w:sz w:val="24"/>
          <w:szCs w:val="24"/>
        </w:rPr>
        <w:t xml:space="preserve"> não</w:t>
      </w:r>
      <w:r w:rsidR="002058D8" w:rsidRPr="00F65B63">
        <w:rPr>
          <w:sz w:val="24"/>
          <w:szCs w:val="24"/>
        </w:rPr>
        <w:t xml:space="preserve"> </w:t>
      </w:r>
      <w:r w:rsidR="00F219B0" w:rsidRPr="00F65B63">
        <w:rPr>
          <w:sz w:val="24"/>
          <w:szCs w:val="24"/>
        </w:rPr>
        <w:t>parecer</w:t>
      </w:r>
      <w:r w:rsidR="002058D8" w:rsidRPr="00F65B63">
        <w:rPr>
          <w:sz w:val="24"/>
          <w:szCs w:val="24"/>
        </w:rPr>
        <w:t xml:space="preserve"> </w:t>
      </w:r>
      <w:r w:rsidRPr="00F65B63">
        <w:rPr>
          <w:sz w:val="24"/>
          <w:szCs w:val="24"/>
        </w:rPr>
        <w:t>familiarizad</w:t>
      </w:r>
      <w:r w:rsidR="00F219B0" w:rsidRPr="00F65B63">
        <w:rPr>
          <w:sz w:val="24"/>
          <w:szCs w:val="24"/>
        </w:rPr>
        <w:t>a</w:t>
      </w:r>
      <w:r w:rsidRPr="00F65B63">
        <w:rPr>
          <w:sz w:val="24"/>
          <w:szCs w:val="24"/>
        </w:rPr>
        <w:t xml:space="preserve"> com a</w:t>
      </w:r>
      <w:r w:rsidR="003E742E">
        <w:rPr>
          <w:sz w:val="24"/>
          <w:szCs w:val="24"/>
        </w:rPr>
        <w:t>s técnicas estruturantes, nem com a</w:t>
      </w:r>
      <w:r w:rsidRPr="00F65B63">
        <w:rPr>
          <w:sz w:val="24"/>
          <w:szCs w:val="24"/>
        </w:rPr>
        <w:t xml:space="preserve"> ótica do consequencialismo, </w:t>
      </w:r>
      <w:r w:rsidR="003E742E">
        <w:rPr>
          <w:sz w:val="24"/>
          <w:szCs w:val="24"/>
        </w:rPr>
        <w:t>muito menos</w:t>
      </w:r>
      <w:r w:rsidRPr="00F65B63">
        <w:rPr>
          <w:sz w:val="24"/>
          <w:szCs w:val="24"/>
        </w:rPr>
        <w:t xml:space="preserve"> com uma postura mais conciliadora e resolutiva</w:t>
      </w:r>
      <w:r w:rsidRPr="00F65B63">
        <w:rPr>
          <w:sz w:val="24"/>
          <w:szCs w:val="24"/>
          <w:vertAlign w:val="superscript"/>
        </w:rPr>
        <w:footnoteReference w:id="42"/>
      </w:r>
      <w:r w:rsidRPr="00F65B63">
        <w:rPr>
          <w:sz w:val="24"/>
          <w:szCs w:val="24"/>
        </w:rPr>
        <w:t>, técnicas a serem necessariamente adotadas nas causas envolvendo o direito público (art. 20, LINDB)</w:t>
      </w:r>
      <w:r w:rsidR="003E742E">
        <w:rPr>
          <w:sz w:val="24"/>
          <w:szCs w:val="24"/>
        </w:rPr>
        <w:t>.</w:t>
      </w:r>
    </w:p>
    <w:p w14:paraId="6129DFBC" w14:textId="77777777" w:rsidR="003C12C9" w:rsidRPr="00F65B63" w:rsidRDefault="003C12C9" w:rsidP="001C10C4">
      <w:pPr>
        <w:spacing w:line="360" w:lineRule="auto"/>
        <w:ind w:firstLine="720"/>
        <w:jc w:val="both"/>
        <w:rPr>
          <w:sz w:val="24"/>
          <w:szCs w:val="24"/>
        </w:rPr>
      </w:pPr>
      <w:r w:rsidRPr="00F65B63">
        <w:rPr>
          <w:sz w:val="24"/>
          <w:szCs w:val="24"/>
        </w:rPr>
        <w:t>Isso porque se apega demasiadamente em detalhes do dispositivo da sentença, mesmo em tendo havido demonstração do cumprimento da obrigação de fazer judicialmente imposta (regularização das atividades de recebimento, armazenamento e dispensação de medicamentos e vacinas), ainda que não na forma estrita mencionada na decisão judicial (mediante a obtenção da Certificação ISO 9001 da ABNT).</w:t>
      </w:r>
    </w:p>
    <w:p w14:paraId="1E791760" w14:textId="77777777" w:rsidR="003C12C9" w:rsidRPr="00F65B63" w:rsidRDefault="003C12C9" w:rsidP="001C10C4">
      <w:pPr>
        <w:spacing w:line="360" w:lineRule="auto"/>
        <w:ind w:firstLine="720"/>
        <w:jc w:val="both"/>
        <w:rPr>
          <w:sz w:val="24"/>
          <w:szCs w:val="24"/>
        </w:rPr>
      </w:pPr>
      <w:r w:rsidRPr="00F65B63">
        <w:rPr>
          <w:sz w:val="24"/>
          <w:szCs w:val="24"/>
        </w:rPr>
        <w:t>Aponta Fernão Borba Franco</w:t>
      </w:r>
      <w:r w:rsidRPr="00F65B63">
        <w:rPr>
          <w:sz w:val="24"/>
          <w:szCs w:val="24"/>
          <w:vertAlign w:val="superscript"/>
        </w:rPr>
        <w:footnoteReference w:id="43"/>
      </w:r>
      <w:r w:rsidRPr="00F65B63">
        <w:rPr>
          <w:sz w:val="24"/>
          <w:szCs w:val="24"/>
        </w:rPr>
        <w:t xml:space="preserve"> que a técnica processual deve conferir ao detentor do direito o resultado útil do processo e também deve ser observada “para que o modo dessa prestação seja conforme o direito”, de modo que “a tutela processual dos direitos envolve o resultado do processo (uma faceta mais próxima ao direito material) e também o modo de ser do processo (faceta de direito público, voltada ao exercício do poder do Estado e seus limites).</w:t>
      </w:r>
    </w:p>
    <w:p w14:paraId="26827CD1" w14:textId="77777777" w:rsidR="003C12C9" w:rsidRPr="00F65B63" w:rsidRDefault="003C12C9" w:rsidP="001C10C4">
      <w:pPr>
        <w:spacing w:line="360" w:lineRule="auto"/>
        <w:ind w:firstLine="720"/>
        <w:jc w:val="both"/>
        <w:rPr>
          <w:sz w:val="24"/>
          <w:szCs w:val="24"/>
        </w:rPr>
      </w:pPr>
      <w:r w:rsidRPr="00F65B63">
        <w:rPr>
          <w:sz w:val="24"/>
          <w:szCs w:val="24"/>
        </w:rPr>
        <w:t xml:space="preserve">A técnica empregada no processo estrutural possui íntima relação com a técnica do consequencialismo, hipótese na qual institutos jurídico processuais sofrem, necessariamente, revisitações, como a própria coisa julgada. Essa técnica pressupõe a adoção de um modelo dialógico e consensual de processo civil, para que todas as informações e circunstâncias relevantes possam ser levadas ao Judiciário, o qual, dessa forma, poderá proferir decisões mais legítimas e também mais justas, especialmente no cumprimento do julgado, para que o processo não destoe da realidade fática apresentada. </w:t>
      </w:r>
    </w:p>
    <w:p w14:paraId="76FB2794" w14:textId="1A233444" w:rsidR="003C12C9" w:rsidRPr="00F65B63" w:rsidRDefault="003C12C9" w:rsidP="001C10C4">
      <w:pPr>
        <w:spacing w:line="360" w:lineRule="auto"/>
        <w:ind w:firstLine="720"/>
        <w:jc w:val="both"/>
        <w:rPr>
          <w:sz w:val="24"/>
          <w:szCs w:val="24"/>
        </w:rPr>
      </w:pPr>
      <w:r w:rsidRPr="00F65B63">
        <w:rPr>
          <w:sz w:val="24"/>
          <w:szCs w:val="24"/>
        </w:rPr>
        <w:t xml:space="preserve">E a técnica processual, antes de tudo, deve servir à efetividade do processo. </w:t>
      </w:r>
      <w:r w:rsidR="001B799D" w:rsidRPr="00F65B63">
        <w:rPr>
          <w:sz w:val="24"/>
          <w:szCs w:val="24"/>
        </w:rPr>
        <w:t>E a</w:t>
      </w:r>
      <w:r w:rsidRPr="00F65B63">
        <w:rPr>
          <w:sz w:val="24"/>
          <w:szCs w:val="24"/>
        </w:rPr>
        <w:t xml:space="preserve"> forma </w:t>
      </w:r>
      <w:r w:rsidR="001B799D" w:rsidRPr="00F65B63">
        <w:rPr>
          <w:sz w:val="24"/>
          <w:szCs w:val="24"/>
        </w:rPr>
        <w:t xml:space="preserve">pela qual </w:t>
      </w:r>
      <w:r w:rsidRPr="00F65B63">
        <w:rPr>
          <w:sz w:val="24"/>
          <w:szCs w:val="24"/>
        </w:rPr>
        <w:t>o MPSP vem se comportando nesse processo</w:t>
      </w:r>
      <w:r w:rsidR="001B799D" w:rsidRPr="00F65B63">
        <w:rPr>
          <w:sz w:val="24"/>
          <w:szCs w:val="24"/>
        </w:rPr>
        <w:t xml:space="preserve"> corrobora </w:t>
      </w:r>
      <w:r w:rsidRPr="00F65B63">
        <w:rPr>
          <w:sz w:val="24"/>
          <w:szCs w:val="24"/>
        </w:rPr>
        <w:t>o entendimento judicial</w:t>
      </w:r>
      <w:r w:rsidR="001B799D" w:rsidRPr="00F65B63">
        <w:rPr>
          <w:sz w:val="24"/>
          <w:szCs w:val="24"/>
        </w:rPr>
        <w:t xml:space="preserve">, até então </w:t>
      </w:r>
      <w:r w:rsidR="001B799D" w:rsidRPr="00F65B63">
        <w:rPr>
          <w:sz w:val="24"/>
          <w:szCs w:val="24"/>
        </w:rPr>
        <w:lastRenderedPageBreak/>
        <w:t>vigente,</w:t>
      </w:r>
      <w:r w:rsidRPr="00F65B63">
        <w:rPr>
          <w:sz w:val="24"/>
          <w:szCs w:val="24"/>
        </w:rPr>
        <w:t xml:space="preserve"> a respeito</w:t>
      </w:r>
      <w:r w:rsidR="001B799D" w:rsidRPr="00F65B63">
        <w:rPr>
          <w:sz w:val="24"/>
          <w:szCs w:val="24"/>
        </w:rPr>
        <w:t xml:space="preserve"> do caso</w:t>
      </w:r>
      <w:r w:rsidRPr="00F65B63">
        <w:rPr>
          <w:sz w:val="24"/>
          <w:szCs w:val="24"/>
        </w:rPr>
        <w:t>, ou seja, a técnica do consequencialismo, com base em um modelo processual dialógico e cooperativo, para além das medidas estruturantes, ainda não são aplicadas com a frequência e forma que deveriam, mesmo em se tratando de conflito propriamente estrutural.</w:t>
      </w:r>
    </w:p>
    <w:p w14:paraId="6468EDEF" w14:textId="77777777" w:rsidR="0040139C" w:rsidRPr="00F65B63" w:rsidRDefault="0040139C" w:rsidP="0040139C">
      <w:pPr>
        <w:spacing w:line="360" w:lineRule="auto"/>
        <w:ind w:firstLine="720"/>
        <w:jc w:val="both"/>
        <w:rPr>
          <w:sz w:val="24"/>
          <w:szCs w:val="24"/>
        </w:rPr>
      </w:pPr>
      <w:r w:rsidRPr="00F65B63">
        <w:rPr>
          <w:sz w:val="24"/>
          <w:szCs w:val="24"/>
        </w:rPr>
        <w:t>Sobre a atuação do MP, explica Marcelo Pedroso Goulart</w:t>
      </w:r>
      <w:r w:rsidRPr="00F65B63">
        <w:rPr>
          <w:rStyle w:val="Refdenotaderodap"/>
          <w:sz w:val="24"/>
          <w:szCs w:val="24"/>
        </w:rPr>
        <w:footnoteReference w:id="44"/>
      </w:r>
      <w:r w:rsidRPr="00F65B63">
        <w:rPr>
          <w:sz w:val="24"/>
          <w:szCs w:val="24"/>
        </w:rPr>
        <w:t xml:space="preserve"> que pode ter um paradigma demandista ou resolutivo. No demandista, “é limitada, reativa e apresenta baixo grau de efetividade”, desenvolvendo-se as atividades “nos limites espaciais da comarca e funcionais do processo, sob a regência de agentes que atuam de forma individualizada e isolada e que têm como horizonte a solução judicial de problemas que lhes são postos”. Já no resolutivo, sua atuação é “proativa, integrada, desenvolvida em escalas múltiplas de organização espacial e marcada pela busca de eficácia”.</w:t>
      </w:r>
    </w:p>
    <w:p w14:paraId="287CC3E4" w14:textId="77777777" w:rsidR="0040139C" w:rsidRPr="00F65B63" w:rsidRDefault="0040139C" w:rsidP="0040139C">
      <w:pPr>
        <w:spacing w:line="360" w:lineRule="auto"/>
        <w:ind w:firstLine="720"/>
        <w:jc w:val="both"/>
        <w:rPr>
          <w:sz w:val="24"/>
          <w:szCs w:val="24"/>
        </w:rPr>
      </w:pPr>
      <w:r w:rsidRPr="00F65B63">
        <w:rPr>
          <w:sz w:val="24"/>
          <w:szCs w:val="24"/>
        </w:rPr>
        <w:t>E explica que, no paradigma resolutivo, o MP atua orientado “pelo conhecimento da realidade produzido na interlocução com os movimentos sociais e a comunidade científica, bem como pela pesquisa exaustiva dos fatos em sede procedimental”, potencializando-se, no Judiciário, seu papel de “agente processual como fomentador de decisões justas”.</w:t>
      </w:r>
    </w:p>
    <w:p w14:paraId="5573C20A" w14:textId="2D26C4A7" w:rsidR="0040139C" w:rsidRPr="00F65B63" w:rsidRDefault="003E742E" w:rsidP="0040139C">
      <w:pPr>
        <w:spacing w:line="360" w:lineRule="auto"/>
        <w:ind w:firstLine="720"/>
        <w:jc w:val="both"/>
        <w:rPr>
          <w:sz w:val="24"/>
          <w:szCs w:val="24"/>
        </w:rPr>
      </w:pPr>
      <w:r>
        <w:rPr>
          <w:noProof/>
          <w:sz w:val="24"/>
          <w:szCs w:val="24"/>
        </w:rPr>
        <w:t xml:space="preserve">Samuel Alvarenga </w:t>
      </w:r>
      <w:r w:rsidR="0040139C" w:rsidRPr="00F65B63">
        <w:rPr>
          <w:noProof/>
          <w:sz w:val="24"/>
          <w:szCs w:val="24"/>
        </w:rPr>
        <w:t>Gonçalves</w:t>
      </w:r>
      <w:r w:rsidR="0040139C" w:rsidRPr="00F65B63">
        <w:rPr>
          <w:rStyle w:val="Refdenotaderodap"/>
          <w:noProof/>
          <w:sz w:val="24"/>
          <w:szCs w:val="24"/>
        </w:rPr>
        <w:footnoteReference w:id="45"/>
      </w:r>
      <w:r w:rsidR="0040139C" w:rsidRPr="00F65B63">
        <w:rPr>
          <w:noProof/>
          <w:sz w:val="24"/>
          <w:szCs w:val="24"/>
        </w:rPr>
        <w:t xml:space="preserve"> afirma que o perfil resolutivo do MP “parece ter encontrado o seu limite ou um suposto nível de saturação em termos de resolução extrajudicial de problemas envolvendo a não implantação de políticas públicas pelo Poder Executivo”, questionando como que uma recomendação sua “conseguirá fazer com que o Poder Público cumpra algo que nem mesmo o Judiciário o tem conseguido?”</w:t>
      </w:r>
    </w:p>
    <w:p w14:paraId="54E7ED05" w14:textId="77777777" w:rsidR="0040139C" w:rsidRPr="00F65B63" w:rsidRDefault="0040139C" w:rsidP="0040139C">
      <w:pPr>
        <w:spacing w:line="360" w:lineRule="auto"/>
        <w:ind w:firstLine="720"/>
        <w:jc w:val="both"/>
        <w:rPr>
          <w:sz w:val="24"/>
          <w:szCs w:val="24"/>
        </w:rPr>
      </w:pPr>
      <w:r w:rsidRPr="00F65B63">
        <w:rPr>
          <w:noProof/>
          <w:sz w:val="24"/>
          <w:szCs w:val="24"/>
        </w:rPr>
        <w:t>Sem menosprezar a atuação resolutiva do MP, pondera que os TACs não têm tido integral cumprimento, em especial quando envolvem políticas públicas complexas, sendo a falta de orçamento um dos principais entraves, celebrando o Poder Público esses acordos “apenas como forma de se ver livre de eventual ação civil pública ou mesmo ação de improbidade administrativa.</w:t>
      </w:r>
    </w:p>
    <w:p w14:paraId="607CCE87" w14:textId="77777777" w:rsidR="0040139C" w:rsidRPr="00F65B63" w:rsidRDefault="0040139C" w:rsidP="0040139C">
      <w:pPr>
        <w:spacing w:line="360" w:lineRule="auto"/>
        <w:ind w:firstLine="720"/>
        <w:jc w:val="both"/>
        <w:rPr>
          <w:sz w:val="24"/>
          <w:szCs w:val="24"/>
        </w:rPr>
      </w:pPr>
      <w:r w:rsidRPr="00F65B63">
        <w:rPr>
          <w:noProof/>
          <w:sz w:val="24"/>
          <w:szCs w:val="24"/>
        </w:rPr>
        <w:t xml:space="preserve">Ou seja, a eficiência dessa atuação resolutivo exige boa-fé e vontade letígima do gestor público em conciliar e/ou resolver a questão, contexto no qual entende o autor que o MP deve assumir uma postura mais influenciadora, sem abandonar os perfis resolutivo e demandista”. Nesta forma de atuação, o MP fiscaliza o Poder Público de modo preventivo, com grande proximidade do dia-a-dia da Administração, “influenciando o gestor a adotar esta ou aquela decisão, com base em estudos e dados concretamente coletados e cuja pertinência será impossível contestar”. </w:t>
      </w:r>
    </w:p>
    <w:p w14:paraId="2F0BF898" w14:textId="77777777" w:rsidR="0040139C" w:rsidRPr="00F65B63" w:rsidRDefault="0040139C" w:rsidP="0040139C">
      <w:pPr>
        <w:spacing w:line="360" w:lineRule="auto"/>
        <w:ind w:firstLine="720"/>
        <w:jc w:val="both"/>
        <w:rPr>
          <w:sz w:val="24"/>
          <w:szCs w:val="24"/>
        </w:rPr>
      </w:pPr>
      <w:r w:rsidRPr="00F65B63">
        <w:rPr>
          <w:sz w:val="24"/>
          <w:szCs w:val="24"/>
        </w:rPr>
        <w:t xml:space="preserve">Claro que essa atuação poderá chocar-se “com o poder discricionário do gestor eleito quanto </w:t>
      </w:r>
      <w:r w:rsidRPr="00F65B63">
        <w:rPr>
          <w:sz w:val="24"/>
          <w:szCs w:val="24"/>
        </w:rPr>
        <w:lastRenderedPageBreak/>
        <w:t>ao melhor momento para a implantação de determinada política pública”, mas, para isso, o MP deve realizar um levantamento de dados e um diagnóstico social global, inclusive com auxílio popular, com o que “o gestor muito provavelmente não enxergará outro caminho que não o de dar cumprimento ao balizamento ministerial”.</w:t>
      </w:r>
    </w:p>
    <w:p w14:paraId="4AD4865F" w14:textId="25966491" w:rsidR="003C12C9" w:rsidRPr="00F65B63" w:rsidRDefault="003E742E" w:rsidP="001C10C4">
      <w:pPr>
        <w:spacing w:line="360" w:lineRule="auto"/>
        <w:ind w:firstLine="720"/>
        <w:jc w:val="both"/>
        <w:rPr>
          <w:sz w:val="24"/>
          <w:szCs w:val="24"/>
        </w:rPr>
      </w:pPr>
      <w:r>
        <w:rPr>
          <w:sz w:val="24"/>
          <w:szCs w:val="24"/>
        </w:rPr>
        <w:t>Por fim, a</w:t>
      </w:r>
      <w:r w:rsidR="001B799D" w:rsidRPr="00F65B63">
        <w:rPr>
          <w:sz w:val="24"/>
          <w:szCs w:val="24"/>
        </w:rPr>
        <w:t>inda em relação ao caso prático</w:t>
      </w:r>
      <w:r w:rsidR="003C12C9" w:rsidRPr="00F65B63">
        <w:rPr>
          <w:sz w:val="24"/>
          <w:szCs w:val="24"/>
        </w:rPr>
        <w:t>,</w:t>
      </w:r>
      <w:r w:rsidR="001B799D" w:rsidRPr="00F65B63">
        <w:rPr>
          <w:sz w:val="24"/>
          <w:szCs w:val="24"/>
        </w:rPr>
        <w:t xml:space="preserve"> também houve</w:t>
      </w:r>
      <w:r w:rsidR="003C12C9" w:rsidRPr="00F65B63">
        <w:rPr>
          <w:sz w:val="24"/>
          <w:szCs w:val="24"/>
        </w:rPr>
        <w:t xml:space="preserve"> a dedução de pedido atécnico pelo MP</w:t>
      </w:r>
      <w:r w:rsidR="001B799D" w:rsidRPr="00F65B63">
        <w:rPr>
          <w:sz w:val="24"/>
          <w:szCs w:val="24"/>
        </w:rPr>
        <w:t>S</w:t>
      </w:r>
      <w:r w:rsidR="003C12C9" w:rsidRPr="00F65B63">
        <w:rPr>
          <w:sz w:val="24"/>
          <w:szCs w:val="24"/>
        </w:rPr>
        <w:t>P, pois não há que se falar em bloqueio judicial de multa coercitiva em face da Fazenda Pública. Trata-se</w:t>
      </w:r>
      <w:r w:rsidR="001B799D" w:rsidRPr="00F65B63">
        <w:rPr>
          <w:sz w:val="24"/>
          <w:szCs w:val="24"/>
        </w:rPr>
        <w:t>, como sabido,</w:t>
      </w:r>
      <w:r w:rsidR="003C12C9" w:rsidRPr="00F65B63">
        <w:rPr>
          <w:sz w:val="24"/>
          <w:szCs w:val="24"/>
        </w:rPr>
        <w:t xml:space="preserve"> de medidas dotadas de natureza jurídica distinta</w:t>
      </w:r>
      <w:r w:rsidR="001B799D" w:rsidRPr="00F65B63">
        <w:rPr>
          <w:rStyle w:val="Refdenotaderodap"/>
          <w:sz w:val="24"/>
          <w:szCs w:val="24"/>
        </w:rPr>
        <w:footnoteReference w:id="46"/>
      </w:r>
      <w:r w:rsidR="003C12C9" w:rsidRPr="00F65B63">
        <w:rPr>
          <w:sz w:val="24"/>
          <w:szCs w:val="24"/>
        </w:rPr>
        <w:t xml:space="preserve">. </w:t>
      </w:r>
    </w:p>
    <w:p w14:paraId="5018F11A" w14:textId="77777777" w:rsidR="003C12C9" w:rsidRPr="00F65B63" w:rsidRDefault="003C12C9" w:rsidP="001C10C4">
      <w:pPr>
        <w:spacing w:line="360" w:lineRule="auto"/>
        <w:ind w:firstLine="720"/>
        <w:jc w:val="both"/>
        <w:rPr>
          <w:sz w:val="24"/>
          <w:szCs w:val="24"/>
        </w:rPr>
      </w:pPr>
    </w:p>
    <w:p w14:paraId="11EC27E4" w14:textId="33514B47" w:rsidR="00C57BB4" w:rsidRPr="00F65B63" w:rsidRDefault="007A5D21" w:rsidP="001C10C4">
      <w:pPr>
        <w:spacing w:line="360" w:lineRule="auto"/>
        <w:rPr>
          <w:sz w:val="24"/>
          <w:szCs w:val="24"/>
        </w:rPr>
      </w:pPr>
      <w:r w:rsidRPr="00F65B63">
        <w:rPr>
          <w:sz w:val="24"/>
          <w:szCs w:val="24"/>
        </w:rPr>
        <w:t>5</w:t>
      </w:r>
      <w:r w:rsidR="00D91EB9" w:rsidRPr="00F65B63">
        <w:rPr>
          <w:sz w:val="24"/>
          <w:szCs w:val="24"/>
        </w:rPr>
        <w:t xml:space="preserve">. </w:t>
      </w:r>
      <w:r w:rsidR="0040139C" w:rsidRPr="00F65B63">
        <w:rPr>
          <w:sz w:val="24"/>
          <w:szCs w:val="24"/>
        </w:rPr>
        <w:t xml:space="preserve">BREVES </w:t>
      </w:r>
      <w:r w:rsidR="008428DE" w:rsidRPr="00F65B63">
        <w:rPr>
          <w:sz w:val="24"/>
          <w:szCs w:val="24"/>
        </w:rPr>
        <w:t>CONCLUSÕES</w:t>
      </w:r>
    </w:p>
    <w:p w14:paraId="71DF05CC" w14:textId="38573EB2" w:rsidR="008428DE" w:rsidRPr="00F65B63" w:rsidRDefault="008428DE" w:rsidP="001C10C4">
      <w:pPr>
        <w:spacing w:line="360" w:lineRule="auto"/>
        <w:rPr>
          <w:sz w:val="24"/>
          <w:szCs w:val="24"/>
        </w:rPr>
      </w:pPr>
    </w:p>
    <w:p w14:paraId="2AE398A1" w14:textId="77777777" w:rsidR="008C11A8" w:rsidRPr="00122609" w:rsidRDefault="008C11A8" w:rsidP="008C11A8">
      <w:pPr>
        <w:spacing w:line="360" w:lineRule="auto"/>
        <w:ind w:firstLine="720"/>
        <w:jc w:val="both"/>
        <w:rPr>
          <w:sz w:val="24"/>
          <w:szCs w:val="24"/>
        </w:rPr>
      </w:pPr>
      <w:r>
        <w:rPr>
          <w:sz w:val="24"/>
          <w:szCs w:val="24"/>
        </w:rPr>
        <w:t>No contexto do quanto decidido pelo STF no Tema 698, surge a imprescindibilidade de uma intervenção jurisdicional em política pública de caráter interinstitucional e estruturante, promovendo-se, dessa forma, uma tutela mais efetiva do interesse público.</w:t>
      </w:r>
    </w:p>
    <w:p w14:paraId="78631567" w14:textId="77777777" w:rsidR="008C11A8" w:rsidRDefault="008C11A8" w:rsidP="008C11A8">
      <w:pPr>
        <w:spacing w:line="360" w:lineRule="auto"/>
        <w:ind w:firstLine="720"/>
        <w:jc w:val="both"/>
        <w:rPr>
          <w:sz w:val="24"/>
          <w:szCs w:val="24"/>
        </w:rPr>
      </w:pPr>
      <w:r>
        <w:rPr>
          <w:sz w:val="24"/>
          <w:szCs w:val="24"/>
        </w:rPr>
        <w:t>O entendimento do STF no Tema 698 acaba por reservar à Administração Pública, na prática,</w:t>
      </w:r>
      <w:r w:rsidRPr="00122609">
        <w:rPr>
          <w:sz w:val="24"/>
          <w:szCs w:val="24"/>
        </w:rPr>
        <w:t xml:space="preserve"> a possibilidade de escolher os meios para que o objetivo material</w:t>
      </w:r>
      <w:r>
        <w:rPr>
          <w:sz w:val="24"/>
          <w:szCs w:val="24"/>
        </w:rPr>
        <w:t>, indicado na decisão judicial,</w:t>
      </w:r>
      <w:r w:rsidRPr="00122609">
        <w:rPr>
          <w:sz w:val="24"/>
          <w:szCs w:val="24"/>
        </w:rPr>
        <w:t xml:space="preserve"> seja alcançado, </w:t>
      </w:r>
      <w:r>
        <w:rPr>
          <w:sz w:val="24"/>
          <w:szCs w:val="24"/>
        </w:rPr>
        <w:t xml:space="preserve">preservando-se, assim, </w:t>
      </w:r>
      <w:r w:rsidRPr="00122609">
        <w:rPr>
          <w:sz w:val="24"/>
          <w:szCs w:val="24"/>
        </w:rPr>
        <w:t>sua discricionariedade administrativa,</w:t>
      </w:r>
      <w:r>
        <w:rPr>
          <w:sz w:val="24"/>
          <w:szCs w:val="24"/>
        </w:rPr>
        <w:t xml:space="preserve"> inclusive, se o caso, com a</w:t>
      </w:r>
      <w:r w:rsidRPr="00122609">
        <w:rPr>
          <w:sz w:val="24"/>
          <w:szCs w:val="24"/>
        </w:rPr>
        <w:t xml:space="preserve"> adoção de um regime de transição</w:t>
      </w:r>
      <w:r>
        <w:rPr>
          <w:sz w:val="24"/>
          <w:szCs w:val="24"/>
        </w:rPr>
        <w:t xml:space="preserve"> (</w:t>
      </w:r>
      <w:r w:rsidRPr="00122609">
        <w:rPr>
          <w:sz w:val="24"/>
          <w:szCs w:val="24"/>
        </w:rPr>
        <w:t>art. 23 da LINDB</w:t>
      </w:r>
      <w:r w:rsidRPr="00122609">
        <w:rPr>
          <w:rStyle w:val="Refdenotaderodap"/>
          <w:sz w:val="24"/>
          <w:szCs w:val="24"/>
        </w:rPr>
        <w:footnoteReference w:id="47"/>
      </w:r>
      <w:r>
        <w:rPr>
          <w:sz w:val="24"/>
          <w:szCs w:val="24"/>
        </w:rPr>
        <w:t>)</w:t>
      </w:r>
      <w:r w:rsidRPr="00122609">
        <w:rPr>
          <w:sz w:val="24"/>
          <w:szCs w:val="24"/>
        </w:rPr>
        <w:t xml:space="preserve">. </w:t>
      </w:r>
    </w:p>
    <w:p w14:paraId="0C39041C" w14:textId="77777777" w:rsidR="008C11A8" w:rsidRDefault="008C11A8" w:rsidP="008C11A8">
      <w:pPr>
        <w:spacing w:line="360" w:lineRule="auto"/>
        <w:ind w:firstLine="720"/>
        <w:jc w:val="both"/>
        <w:rPr>
          <w:sz w:val="24"/>
          <w:szCs w:val="24"/>
        </w:rPr>
      </w:pPr>
      <w:r>
        <w:rPr>
          <w:sz w:val="24"/>
          <w:szCs w:val="24"/>
        </w:rPr>
        <w:t>E tal entendimento vai ao encontro do que ordinariamente acontece: são fartos os casos judiciais demonstrando que a mera determinação de execução de medidas pontuais por parte da Administração Pública não tem logrado êxito, sendo muito mais racional, efetivo e adequado que sejam apontadas as finalidades a serem alcançadas, devendo o Poder Público, para tanto, apresentar um plano e/ou meios adequados para alcançar tais finalidades.</w:t>
      </w:r>
    </w:p>
    <w:p w14:paraId="025F6B09" w14:textId="77777777" w:rsidR="008C11A8" w:rsidRPr="00497997" w:rsidRDefault="008C11A8" w:rsidP="008C11A8">
      <w:pPr>
        <w:spacing w:line="360" w:lineRule="auto"/>
        <w:ind w:firstLine="720"/>
        <w:jc w:val="both"/>
        <w:rPr>
          <w:sz w:val="24"/>
          <w:szCs w:val="24"/>
          <w:highlight w:val="white"/>
        </w:rPr>
      </w:pPr>
      <w:r>
        <w:rPr>
          <w:sz w:val="24"/>
          <w:szCs w:val="24"/>
        </w:rPr>
        <w:t xml:space="preserve">Até mesmo porque esse tipo de condenação não pode engessar a atuação da Administração, </w:t>
      </w:r>
      <w:r>
        <w:rPr>
          <w:sz w:val="24"/>
          <w:szCs w:val="24"/>
        </w:rPr>
        <w:lastRenderedPageBreak/>
        <w:t>dado que as</w:t>
      </w:r>
      <w:r w:rsidRPr="00122609">
        <w:rPr>
          <w:sz w:val="24"/>
          <w:szCs w:val="24"/>
        </w:rPr>
        <w:t xml:space="preserve"> circunstâncias fáticas, jurídicas, econômicas e até </w:t>
      </w:r>
      <w:r>
        <w:rPr>
          <w:sz w:val="24"/>
          <w:szCs w:val="24"/>
        </w:rPr>
        <w:t xml:space="preserve">mesmo </w:t>
      </w:r>
      <w:r w:rsidRPr="00122609">
        <w:rPr>
          <w:sz w:val="24"/>
          <w:szCs w:val="24"/>
        </w:rPr>
        <w:t>jurídicas podem ter se alterado</w:t>
      </w:r>
      <w:r>
        <w:rPr>
          <w:sz w:val="24"/>
          <w:szCs w:val="24"/>
        </w:rPr>
        <w:t>.</w:t>
      </w:r>
    </w:p>
    <w:p w14:paraId="3CC82C7E" w14:textId="49B7D488" w:rsidR="0040139C" w:rsidRDefault="0040139C" w:rsidP="0040139C">
      <w:pPr>
        <w:spacing w:line="360" w:lineRule="auto"/>
        <w:ind w:firstLine="720"/>
        <w:jc w:val="both"/>
        <w:rPr>
          <w:sz w:val="24"/>
          <w:szCs w:val="24"/>
        </w:rPr>
      </w:pPr>
      <w:r w:rsidRPr="00F65B63">
        <w:rPr>
          <w:sz w:val="24"/>
          <w:szCs w:val="24"/>
        </w:rPr>
        <w:t>A tipologia de conflito ora examinada exige do Poder Judiciário um novo papel (gerenciador, mediador, estratégico) para fins de efetiva e adequada consolidação de valores públicos. E não apenas do Judiciário, como também dos membros do MP, da DP, dos advogados públicos e privados, bem como dos gestores públicos</w:t>
      </w:r>
      <w:r w:rsidRPr="00F65B63">
        <w:rPr>
          <w:rStyle w:val="Refdenotaderodap"/>
          <w:sz w:val="24"/>
          <w:szCs w:val="24"/>
        </w:rPr>
        <w:footnoteReference w:id="48"/>
      </w:r>
      <w:r w:rsidRPr="00F65B63">
        <w:rPr>
          <w:sz w:val="24"/>
          <w:szCs w:val="24"/>
        </w:rPr>
        <w:t xml:space="preserve">. </w:t>
      </w:r>
    </w:p>
    <w:p w14:paraId="643920ED" w14:textId="77777777" w:rsidR="003E742E" w:rsidRDefault="003E742E" w:rsidP="0040139C">
      <w:pPr>
        <w:spacing w:line="360" w:lineRule="auto"/>
        <w:ind w:firstLine="720"/>
        <w:jc w:val="both"/>
        <w:rPr>
          <w:sz w:val="24"/>
          <w:szCs w:val="24"/>
        </w:rPr>
      </w:pPr>
      <w:r>
        <w:rPr>
          <w:sz w:val="24"/>
          <w:szCs w:val="24"/>
        </w:rPr>
        <w:t>Nesse ponto, também é um grande desafio à Advocacia Pública o manejo de técnicas estruturantes, principalmente sob a ótica do necessário trabalho em conjunto com a Administração Pública, que nem sempre deseja, de fato, entender o pano de fundo que ensejou o ajuizamento dos processos e, mesmo entendendo, nem sempre almeja envolver-se na restruturação pretendida.</w:t>
      </w:r>
    </w:p>
    <w:p w14:paraId="3F23A68A" w14:textId="1FC2C3B9" w:rsidR="003E742E" w:rsidRPr="00F65B63" w:rsidRDefault="003E742E" w:rsidP="0040139C">
      <w:pPr>
        <w:spacing w:line="360" w:lineRule="auto"/>
        <w:ind w:firstLine="720"/>
        <w:jc w:val="both"/>
        <w:rPr>
          <w:sz w:val="24"/>
          <w:szCs w:val="24"/>
        </w:rPr>
      </w:pPr>
      <w:r>
        <w:rPr>
          <w:sz w:val="24"/>
          <w:szCs w:val="24"/>
        </w:rPr>
        <w:t xml:space="preserve">De fato, o emprego de técnicas estruturantes nos processos envolvendo o Poder Público demandam, sobretudo, uma mudança cultural, porque de nada adianta uma postura resolutiva e colaborativa por parte dos advogados públicos sem a Administração não se empenhar em fornecer as informações e os cronogramas necessários, bem como se não se organizar internamente para cumprir o quanto negociado. </w:t>
      </w:r>
    </w:p>
    <w:p w14:paraId="29E5B996" w14:textId="58E26718" w:rsidR="0040139C" w:rsidRPr="00F65B63" w:rsidRDefault="003E742E" w:rsidP="0040139C">
      <w:pPr>
        <w:spacing w:line="360" w:lineRule="auto"/>
        <w:ind w:firstLine="720"/>
        <w:jc w:val="both"/>
        <w:rPr>
          <w:sz w:val="24"/>
          <w:szCs w:val="24"/>
        </w:rPr>
      </w:pPr>
      <w:r>
        <w:rPr>
          <w:sz w:val="24"/>
          <w:szCs w:val="24"/>
        </w:rPr>
        <w:t xml:space="preserve">Com efeito, resta ultrapassado, inclusive em termos de efetividade da tutela do interesse público, </w:t>
      </w:r>
      <w:r w:rsidR="0040139C" w:rsidRPr="00F65B63">
        <w:rPr>
          <w:sz w:val="24"/>
          <w:szCs w:val="24"/>
        </w:rPr>
        <w:t xml:space="preserve">o manejo </w:t>
      </w:r>
      <w:r>
        <w:rPr>
          <w:sz w:val="24"/>
          <w:szCs w:val="24"/>
        </w:rPr>
        <w:t xml:space="preserve">de técnicas processuais tradicionais </w:t>
      </w:r>
      <w:r w:rsidR="00D04F6E">
        <w:rPr>
          <w:sz w:val="24"/>
          <w:szCs w:val="24"/>
        </w:rPr>
        <w:t>na</w:t>
      </w:r>
      <w:r>
        <w:rPr>
          <w:sz w:val="24"/>
          <w:szCs w:val="24"/>
        </w:rPr>
        <w:t xml:space="preserve"> intervenção jurisdicional em políticas públicas, sendo mister o emprego de técnicas mais con</w:t>
      </w:r>
      <w:r w:rsidR="0040139C" w:rsidRPr="00F65B63">
        <w:rPr>
          <w:sz w:val="24"/>
          <w:szCs w:val="24"/>
        </w:rPr>
        <w:t>sequencialista</w:t>
      </w:r>
      <w:r>
        <w:rPr>
          <w:sz w:val="24"/>
          <w:szCs w:val="24"/>
        </w:rPr>
        <w:t>s e de cunho verdadeiramente estruturante, sempre com o imprescindível apoio da Administração.</w:t>
      </w:r>
    </w:p>
    <w:p w14:paraId="6D0D8210" w14:textId="2E20A572" w:rsidR="0040139C" w:rsidRPr="00F65B63" w:rsidRDefault="0040139C" w:rsidP="0040139C">
      <w:pPr>
        <w:spacing w:line="360" w:lineRule="auto"/>
        <w:ind w:firstLine="720"/>
        <w:jc w:val="both"/>
        <w:rPr>
          <w:sz w:val="24"/>
          <w:szCs w:val="24"/>
        </w:rPr>
      </w:pPr>
      <w:r w:rsidRPr="00F65B63">
        <w:rPr>
          <w:sz w:val="24"/>
          <w:szCs w:val="24"/>
        </w:rPr>
        <w:t xml:space="preserve">Ou seja, </w:t>
      </w:r>
      <w:r w:rsidR="003E742E">
        <w:rPr>
          <w:sz w:val="24"/>
          <w:szCs w:val="24"/>
        </w:rPr>
        <w:t xml:space="preserve">esse tipo de conflito exige </w:t>
      </w:r>
      <w:r w:rsidRPr="00F65B63">
        <w:rPr>
          <w:sz w:val="24"/>
          <w:szCs w:val="24"/>
        </w:rPr>
        <w:t xml:space="preserve">respostas difusas, flexíveis e negociadas, com uma perspectiva futura, evitando-se, com isso, que </w:t>
      </w:r>
      <w:r w:rsidR="00D04F6E">
        <w:rPr>
          <w:sz w:val="24"/>
          <w:szCs w:val="24"/>
        </w:rPr>
        <w:t>o cumprimento da</w:t>
      </w:r>
      <w:r w:rsidRPr="00F65B63">
        <w:rPr>
          <w:sz w:val="24"/>
          <w:szCs w:val="24"/>
        </w:rPr>
        <w:t xml:space="preserve"> decisão judicial consista em um problema maior que o próprio litígio </w:t>
      </w:r>
      <w:r w:rsidRPr="00F65B63">
        <w:rPr>
          <w:i/>
          <w:iCs/>
          <w:sz w:val="24"/>
          <w:szCs w:val="24"/>
        </w:rPr>
        <w:t>sub judice</w:t>
      </w:r>
      <w:r w:rsidRPr="00F65B63">
        <w:rPr>
          <w:sz w:val="24"/>
          <w:szCs w:val="24"/>
        </w:rPr>
        <w:t>.</w:t>
      </w:r>
    </w:p>
    <w:p w14:paraId="455F5B87" w14:textId="77777777" w:rsidR="00D91EB9" w:rsidRPr="00F65B63" w:rsidRDefault="00D91EB9" w:rsidP="001C10C4">
      <w:pPr>
        <w:spacing w:line="360" w:lineRule="auto"/>
        <w:rPr>
          <w:sz w:val="24"/>
          <w:szCs w:val="24"/>
        </w:rPr>
      </w:pPr>
    </w:p>
    <w:p w14:paraId="37B3106F" w14:textId="1BB351F0" w:rsidR="008428DE" w:rsidRPr="00F65B63" w:rsidRDefault="008428DE" w:rsidP="001C10C4">
      <w:pPr>
        <w:spacing w:line="360" w:lineRule="auto"/>
        <w:rPr>
          <w:sz w:val="24"/>
          <w:szCs w:val="24"/>
        </w:rPr>
      </w:pPr>
      <w:r w:rsidRPr="00F65B63">
        <w:rPr>
          <w:sz w:val="24"/>
          <w:szCs w:val="24"/>
        </w:rPr>
        <w:t>REFERÊNCIAS</w:t>
      </w:r>
    </w:p>
    <w:p w14:paraId="415EBC7A" w14:textId="77777777" w:rsidR="004266AF" w:rsidRPr="00F65B63" w:rsidRDefault="004266AF" w:rsidP="004266AF">
      <w:pPr>
        <w:pStyle w:val="Textodenotaderodap"/>
        <w:jc w:val="both"/>
        <w:rPr>
          <w:rFonts w:ascii="Times New Roman" w:hAnsi="Times New Roman"/>
          <w:lang w:val="pt-BR"/>
        </w:rPr>
      </w:pPr>
    </w:p>
    <w:p w14:paraId="75CA406C" w14:textId="77777777" w:rsidR="001B799D" w:rsidRPr="00F65B63" w:rsidRDefault="001B799D" w:rsidP="001B799D">
      <w:pPr>
        <w:jc w:val="both"/>
      </w:pPr>
      <w:r w:rsidRPr="00F65B63">
        <w:t xml:space="preserve">ARENHART, Sérgio Cruz. Processos estruturais no Direito brasileiro: reflexões a partir do caso da ACP do carvão. </w:t>
      </w:r>
      <w:r w:rsidRPr="00F65B63">
        <w:rPr>
          <w:i/>
        </w:rPr>
        <w:t>Revista do Tribunal Regional Federal da Primeira Região (R.TRF1)</w:t>
      </w:r>
      <w:r w:rsidRPr="00F65B63">
        <w:t xml:space="preserve">, Brasília, v. 29, n. 1-2, p. 70-79, jan./fev. 2017. Disponível em: https://bit.ly/3Ixzwmq. Acesso em: 10 ago. 2023. </w:t>
      </w:r>
    </w:p>
    <w:p w14:paraId="6B166193" w14:textId="77777777" w:rsidR="001B799D" w:rsidRPr="00F65B63" w:rsidRDefault="001B799D" w:rsidP="001B799D">
      <w:pPr>
        <w:jc w:val="both"/>
      </w:pPr>
    </w:p>
    <w:p w14:paraId="54AA256F"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ARENHART, Sérgio Cruz; MARINONI, Luiz Guilherme. A proteção ressarcitória de danos coletivos e o devido processo legal: a experiência brasileira. </w:t>
      </w:r>
      <w:r w:rsidRPr="00F65B63">
        <w:rPr>
          <w:rFonts w:ascii="Times New Roman" w:hAnsi="Times New Roman"/>
          <w:i/>
          <w:iCs/>
          <w:sz w:val="22"/>
          <w:szCs w:val="22"/>
          <w:lang w:val="pt-BR"/>
        </w:rPr>
        <w:t>Revista de Estudos Jurídicos e Sociais,</w:t>
      </w:r>
      <w:r w:rsidRPr="00F65B63">
        <w:rPr>
          <w:rFonts w:ascii="Times New Roman" w:hAnsi="Times New Roman"/>
          <w:sz w:val="22"/>
          <w:szCs w:val="22"/>
          <w:lang w:val="pt-BR"/>
        </w:rPr>
        <w:t xml:space="preserve"> 3. ed., n. 3, 2014.</w:t>
      </w:r>
    </w:p>
    <w:p w14:paraId="1E6AF5DB" w14:textId="77777777" w:rsidR="001B799D" w:rsidRPr="00F65B63" w:rsidRDefault="001B799D" w:rsidP="001B799D">
      <w:pPr>
        <w:jc w:val="both"/>
      </w:pPr>
    </w:p>
    <w:p w14:paraId="0866A6EE"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rPr>
        <w:lastRenderedPageBreak/>
        <w:t xml:space="preserve">ARENHART, Sérgio Cruz. Decisões estruturais no direito processual civil brasileiro. </w:t>
      </w:r>
      <w:r w:rsidRPr="00F65B63">
        <w:rPr>
          <w:rFonts w:ascii="Times New Roman" w:hAnsi="Times New Roman"/>
          <w:i/>
          <w:sz w:val="22"/>
          <w:szCs w:val="22"/>
        </w:rPr>
        <w:t>Revista de Processo (RePro)</w:t>
      </w:r>
      <w:r w:rsidRPr="00F65B63">
        <w:rPr>
          <w:rFonts w:ascii="Times New Roman" w:hAnsi="Times New Roman"/>
          <w:sz w:val="22"/>
          <w:szCs w:val="22"/>
        </w:rPr>
        <w:t>, v. 38, n. 225, p. 389-410, nov. 2013</w:t>
      </w:r>
      <w:r w:rsidRPr="00F65B63">
        <w:rPr>
          <w:rFonts w:ascii="Times New Roman" w:hAnsi="Times New Roman"/>
          <w:sz w:val="22"/>
          <w:szCs w:val="22"/>
          <w:lang w:val="pt-BR"/>
        </w:rPr>
        <w:t>.</w:t>
      </w:r>
    </w:p>
    <w:p w14:paraId="651EC02A" w14:textId="77777777" w:rsidR="001B799D" w:rsidRPr="00F65B63" w:rsidRDefault="001B799D" w:rsidP="001B799D">
      <w:pPr>
        <w:pStyle w:val="Textodenotaderodap"/>
        <w:jc w:val="both"/>
        <w:rPr>
          <w:rFonts w:ascii="Times New Roman" w:hAnsi="Times New Roman"/>
          <w:sz w:val="22"/>
          <w:szCs w:val="22"/>
          <w:lang w:val="pt-BR"/>
        </w:rPr>
      </w:pPr>
    </w:p>
    <w:p w14:paraId="67BF04F0" w14:textId="77777777" w:rsidR="001B799D" w:rsidRPr="00F65B63" w:rsidRDefault="001B799D" w:rsidP="001B799D">
      <w:pPr>
        <w:jc w:val="both"/>
      </w:pPr>
      <w:r w:rsidRPr="00F65B63">
        <w:t xml:space="preserve">BAUERMANN, Desirê. </w:t>
      </w:r>
      <w:r w:rsidRPr="00F65B63">
        <w:rPr>
          <w:i/>
        </w:rPr>
        <w:t>Structural injunctions</w:t>
      </w:r>
      <w:r w:rsidRPr="00F65B63">
        <w:t xml:space="preserve"> no direito norte americano. </w:t>
      </w:r>
      <w:r w:rsidRPr="00F65B63">
        <w:rPr>
          <w:i/>
        </w:rPr>
        <w:t>In:</w:t>
      </w:r>
      <w:r w:rsidRPr="00F65B63">
        <w:t xml:space="preserve"> ARENHART, Sérgio Cruz; JOBIM, Marco Félix (Orgs.). </w:t>
      </w:r>
      <w:r w:rsidRPr="00F65B63">
        <w:rPr>
          <w:i/>
        </w:rPr>
        <w:t>Processos Estruturais</w:t>
      </w:r>
      <w:r w:rsidRPr="00F65B63">
        <w:t>. Salvador: Juspodivm, 2021. p. 305-327.</w:t>
      </w:r>
    </w:p>
    <w:p w14:paraId="262D6ACB" w14:textId="77777777" w:rsidR="001B799D" w:rsidRPr="00F65B63" w:rsidRDefault="001B799D" w:rsidP="001B799D">
      <w:pPr>
        <w:pStyle w:val="Textodenotaderodap"/>
        <w:jc w:val="both"/>
        <w:rPr>
          <w:rFonts w:ascii="Times New Roman" w:hAnsi="Times New Roman"/>
          <w:sz w:val="22"/>
          <w:szCs w:val="22"/>
          <w:lang w:val="pt-BR"/>
        </w:rPr>
      </w:pPr>
    </w:p>
    <w:p w14:paraId="3766AE09" w14:textId="77777777" w:rsidR="001B799D" w:rsidRPr="00F65B63" w:rsidRDefault="001B799D" w:rsidP="001B799D">
      <w:pPr>
        <w:jc w:val="both"/>
      </w:pPr>
      <w:r w:rsidRPr="00F65B63">
        <w:t>BRASIL. Conselho Nacional do Ministério Público.</w:t>
      </w:r>
      <w:r w:rsidRPr="00F65B63">
        <w:rPr>
          <w:i/>
        </w:rPr>
        <w:t xml:space="preserve"> Recomendação Conjunta PRESI-CN nº 2, de 18 de junho de 2020.</w:t>
      </w:r>
      <w:r w:rsidRPr="00F65B63">
        <w:t xml:space="preserve"> </w:t>
      </w:r>
      <w:r w:rsidRPr="00F65B63">
        <w:rPr>
          <w:lang w:val="pt-BR"/>
        </w:rPr>
        <w:t xml:space="preserve">Brasília, DF: CNMP, 2020. </w:t>
      </w:r>
      <w:r w:rsidRPr="00F65B63">
        <w:t xml:space="preserve">Disponível em: </w:t>
      </w:r>
      <w:hyperlink r:id="rId8" w:history="1">
        <w:r w:rsidRPr="00F65B63">
          <w:rPr>
            <w:rStyle w:val="Hyperlink"/>
            <w:color w:val="auto"/>
            <w:u w:val="none"/>
          </w:rPr>
          <w:t>https://www.cnmp.mp.br/portal/images/Recomendacoes/RECOMENDAO-CONJUNTA-PRESI-CN-N-2-DE-19-DE-JUNHO-DE-2020-1.pdf</w:t>
        </w:r>
      </w:hyperlink>
      <w:r w:rsidRPr="00F65B63">
        <w:t>. Acesso em: 16 ago. 2023.</w:t>
      </w:r>
    </w:p>
    <w:p w14:paraId="792F6343" w14:textId="77777777" w:rsidR="001B799D" w:rsidRPr="00F65B63" w:rsidRDefault="001B799D" w:rsidP="001B799D">
      <w:pPr>
        <w:jc w:val="both"/>
      </w:pPr>
    </w:p>
    <w:p w14:paraId="29FFF2EF"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BRASIL. Conselho Nacional de Justiça. Sumário executivo – Justiça Pesquisa. </w:t>
      </w:r>
      <w:r w:rsidRPr="00F65B63">
        <w:rPr>
          <w:rFonts w:ascii="Times New Roman" w:hAnsi="Times New Roman"/>
          <w:i/>
          <w:iCs/>
          <w:sz w:val="22"/>
          <w:szCs w:val="22"/>
          <w:lang w:val="pt-BR"/>
        </w:rPr>
        <w:t>Judicialização da saúde no Brasil:</w:t>
      </w:r>
      <w:r w:rsidRPr="00F65B63">
        <w:rPr>
          <w:rFonts w:ascii="Times New Roman" w:hAnsi="Times New Roman"/>
          <w:sz w:val="22"/>
          <w:szCs w:val="22"/>
          <w:lang w:val="pt-BR"/>
        </w:rPr>
        <w:t xml:space="preserve"> perfil das demandas, causas e propostas de solução. Brasília: Conselho Nacional de Justiça, 2019. Disponível em: </w:t>
      </w:r>
      <w:hyperlink r:id="rId9" w:history="1">
        <w:r w:rsidRPr="00F65B63">
          <w:rPr>
            <w:rStyle w:val="Hyperlink"/>
            <w:rFonts w:ascii="Times New Roman" w:hAnsi="Times New Roman"/>
            <w:color w:val="auto"/>
            <w:sz w:val="22"/>
            <w:szCs w:val="22"/>
            <w:u w:val="none"/>
            <w:lang w:val="pt-BR"/>
          </w:rPr>
          <w:t>https://www.cnj.jus.br/</w:t>
        </w:r>
      </w:hyperlink>
      <w:r w:rsidRPr="00F65B63">
        <w:rPr>
          <w:rFonts w:ascii="Times New Roman" w:hAnsi="Times New Roman"/>
          <w:sz w:val="22"/>
          <w:szCs w:val="22"/>
          <w:lang w:val="pt-BR"/>
        </w:rPr>
        <w:t>. Acesso em: 18 ago. 2023.</w:t>
      </w:r>
    </w:p>
    <w:p w14:paraId="5B177C63" w14:textId="77777777" w:rsidR="001B799D" w:rsidRPr="00F65B63" w:rsidRDefault="001B799D" w:rsidP="001B799D">
      <w:pPr>
        <w:jc w:val="both"/>
      </w:pPr>
    </w:p>
    <w:p w14:paraId="2F0BB955" w14:textId="77777777" w:rsidR="001B799D" w:rsidRPr="00F65B63" w:rsidRDefault="001B799D" w:rsidP="001B799D">
      <w:pPr>
        <w:jc w:val="both"/>
      </w:pPr>
      <w:r w:rsidRPr="00F65B63">
        <w:t xml:space="preserve">BRASIL. Supremo Tribunal Federal. </w:t>
      </w:r>
      <w:r w:rsidRPr="00F65B63">
        <w:rPr>
          <w:i/>
        </w:rPr>
        <w:t>Tema 45 de Repercussão Geral</w:t>
      </w:r>
      <w:r w:rsidRPr="00F65B63">
        <w:t xml:space="preserve">, RE 573.872, j. 24/05/2017, DJe 11/09/2017. Disponível em: </w:t>
      </w:r>
      <w:hyperlink r:id="rId10">
        <w:r w:rsidRPr="00F65B63">
          <w:t>https://portal.stf.jus.br/</w:t>
        </w:r>
      </w:hyperlink>
      <w:r w:rsidRPr="00F65B63">
        <w:t>. Acesso em: 16 ago. 2023.</w:t>
      </w:r>
    </w:p>
    <w:p w14:paraId="6FD1C3C6" w14:textId="77777777" w:rsidR="001B799D" w:rsidRPr="00F65B63" w:rsidRDefault="001B799D" w:rsidP="001B799D">
      <w:pPr>
        <w:jc w:val="both"/>
      </w:pPr>
    </w:p>
    <w:p w14:paraId="5D507139" w14:textId="77777777" w:rsidR="001B799D" w:rsidRPr="00F65B63" w:rsidRDefault="001B799D" w:rsidP="001B799D">
      <w:pPr>
        <w:jc w:val="both"/>
      </w:pPr>
      <w:r w:rsidRPr="00F65B63">
        <w:t xml:space="preserve">BRASIL. Supremo Tribunal Federal. </w:t>
      </w:r>
      <w:r w:rsidRPr="00F65B63">
        <w:rPr>
          <w:i/>
        </w:rPr>
        <w:t>Tema 698 de Repercussão Geral</w:t>
      </w:r>
      <w:r w:rsidRPr="00F65B63">
        <w:t>, RE 684.612, j. 30/06/2023, DJe 07/08/2023. Disponível em: https://portal.stf.jus.br/. Acesso em: 10 ago. 2023.</w:t>
      </w:r>
    </w:p>
    <w:p w14:paraId="72147FEE" w14:textId="77777777" w:rsidR="001B799D" w:rsidRPr="00F65B63" w:rsidRDefault="001B799D" w:rsidP="001B799D">
      <w:pPr>
        <w:jc w:val="both"/>
      </w:pPr>
    </w:p>
    <w:p w14:paraId="177CC0B4" w14:textId="77777777" w:rsidR="001B799D" w:rsidRPr="00F65B63" w:rsidRDefault="001B799D" w:rsidP="001B799D">
      <w:pPr>
        <w:jc w:val="both"/>
      </w:pPr>
      <w:r w:rsidRPr="00F65B63">
        <w:t>CONSULTOR JURÍDICO.</w:t>
      </w:r>
      <w:r w:rsidRPr="00F65B63">
        <w:rPr>
          <w:i/>
        </w:rPr>
        <w:t xml:space="preserve"> Ministro recebe Certificado ISO 9001 no TSE</w:t>
      </w:r>
      <w:r w:rsidRPr="00F65B63">
        <w:t xml:space="preserve">, 16/04/2010. Disponível em: </w:t>
      </w:r>
      <w:hyperlink r:id="rId11">
        <w:r w:rsidRPr="00F65B63">
          <w:t>https://www.conjur.com.br/2010-abr-16/ministro-lewandowski-recebe-iso-9001-gestao-qualidade-tse</w:t>
        </w:r>
      </w:hyperlink>
      <w:r w:rsidRPr="00F65B63">
        <w:t>. Acesso em: 16 ago. 2023.</w:t>
      </w:r>
    </w:p>
    <w:p w14:paraId="27F97AF4" w14:textId="77777777" w:rsidR="001B799D" w:rsidRPr="00F65B63" w:rsidRDefault="001B799D" w:rsidP="001B799D">
      <w:pPr>
        <w:jc w:val="both"/>
      </w:pPr>
    </w:p>
    <w:p w14:paraId="28EEBA02" w14:textId="77777777" w:rsidR="001B799D" w:rsidRPr="00F65B63" w:rsidRDefault="001B799D" w:rsidP="001B799D">
      <w:pPr>
        <w:jc w:val="both"/>
      </w:pPr>
      <w:r w:rsidRPr="00F65B63">
        <w:t xml:space="preserve">DIDIER JUNIOR, Fredie; ZANETI JUNIOR, Hermes; ALEXANDRIA DE OLIVEIRA, Rafael. Elementos para uma teoria do processo estrutural aplicada ao processo civil brasileiro. </w:t>
      </w:r>
      <w:r w:rsidRPr="00F65B63">
        <w:rPr>
          <w:i/>
        </w:rPr>
        <w:t>Revista de Processo</w:t>
      </w:r>
      <w:r w:rsidRPr="00F65B63">
        <w:t>, v. 303, p. 45-81, mai. 2020.</w:t>
      </w:r>
    </w:p>
    <w:p w14:paraId="6962B09F" w14:textId="77777777" w:rsidR="001B799D" w:rsidRPr="00F65B63" w:rsidRDefault="001B799D" w:rsidP="001B799D">
      <w:pPr>
        <w:jc w:val="both"/>
      </w:pPr>
    </w:p>
    <w:p w14:paraId="0A1EB20F" w14:textId="77777777" w:rsidR="001B799D" w:rsidRPr="00F65B63" w:rsidRDefault="001B799D" w:rsidP="001B799D">
      <w:pPr>
        <w:jc w:val="both"/>
      </w:pPr>
      <w:r w:rsidRPr="00F65B63">
        <w:t xml:space="preserve">ESTADOS UNIDOS </w:t>
      </w:r>
      <w:r w:rsidRPr="00F65B63">
        <w:rPr>
          <w:i/>
        </w:rPr>
        <w:t xml:space="preserve">(US Supreme Court). </w:t>
      </w:r>
      <w:r w:rsidRPr="00F65B63">
        <w:rPr>
          <w:i/>
          <w:lang w:val="en-US"/>
        </w:rPr>
        <w:t>Brown v. Board of Education of Topeka</w:t>
      </w:r>
      <w:r w:rsidRPr="00F65B63">
        <w:rPr>
          <w:lang w:val="en-US"/>
        </w:rPr>
        <w:t xml:space="preserve">, 347 U.S. 483 (1954). </w:t>
      </w:r>
      <w:r w:rsidRPr="00F65B63">
        <w:t xml:space="preserve">Disponível em: </w:t>
      </w:r>
      <w:hyperlink r:id="rId12">
        <w:r w:rsidRPr="00F65B63">
          <w:t>https://supreme.justia.com/cases/federal/us/347/483/</w:t>
        </w:r>
      </w:hyperlink>
      <w:r w:rsidRPr="00F65B63">
        <w:t>. Acesso em: 12 ago. 2023.</w:t>
      </w:r>
    </w:p>
    <w:p w14:paraId="56A1AB4F" w14:textId="77777777" w:rsidR="001B799D" w:rsidRPr="00F65B63" w:rsidRDefault="001B799D" w:rsidP="001B799D">
      <w:pPr>
        <w:pStyle w:val="Textodenotaderodap"/>
        <w:jc w:val="both"/>
        <w:rPr>
          <w:rFonts w:ascii="Times New Roman" w:hAnsi="Times New Roman"/>
          <w:sz w:val="22"/>
          <w:szCs w:val="22"/>
        </w:rPr>
      </w:pPr>
    </w:p>
    <w:p w14:paraId="1335E8F1"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rPr>
        <w:t>FISS, Owen.</w:t>
      </w:r>
      <w:r w:rsidRPr="00F65B63">
        <w:rPr>
          <w:rFonts w:ascii="Times New Roman" w:hAnsi="Times New Roman"/>
          <w:i/>
          <w:sz w:val="22"/>
          <w:szCs w:val="22"/>
        </w:rPr>
        <w:t xml:space="preserve"> Direito como Razão Pública.</w:t>
      </w:r>
      <w:r w:rsidRPr="00F65B63">
        <w:rPr>
          <w:rFonts w:ascii="Times New Roman" w:hAnsi="Times New Roman"/>
          <w:sz w:val="22"/>
          <w:szCs w:val="22"/>
        </w:rPr>
        <w:t xml:space="preserve"> Processo, Jurisdição e Sociedade. Trad. Carlos Alberto de Salles (Coord.). Curitiba: Juruá Editora, 2017. </w:t>
      </w:r>
    </w:p>
    <w:p w14:paraId="163626F7" w14:textId="77777777" w:rsidR="001B799D" w:rsidRPr="00F65B63" w:rsidRDefault="001B799D" w:rsidP="001B799D">
      <w:pPr>
        <w:pStyle w:val="Textodenotaderodap"/>
        <w:jc w:val="both"/>
        <w:rPr>
          <w:rFonts w:ascii="Times New Roman" w:hAnsi="Times New Roman"/>
          <w:sz w:val="22"/>
          <w:szCs w:val="22"/>
        </w:rPr>
      </w:pPr>
    </w:p>
    <w:p w14:paraId="36819B29" w14:textId="77777777" w:rsidR="001B799D" w:rsidRPr="00F65B63" w:rsidRDefault="001B799D" w:rsidP="001B799D">
      <w:pPr>
        <w:jc w:val="both"/>
      </w:pPr>
      <w:r w:rsidRPr="00F65B63">
        <w:t xml:space="preserve">FISS, Owen. </w:t>
      </w:r>
      <w:r w:rsidRPr="00F65B63">
        <w:rPr>
          <w:i/>
        </w:rPr>
        <w:t>Um novo processo civil</w:t>
      </w:r>
      <w:r w:rsidRPr="00F65B63">
        <w:t xml:space="preserve">: estudos norte-americanos sobre jurisdição, constituição e sociedade. Trad. por Daniel Porto Godinho da Silva e Melina de Medeiros Rós. Coord. por Carlos Alberto de Salles. São Paulo: Revista dos Tribunais, 2004. </w:t>
      </w:r>
    </w:p>
    <w:p w14:paraId="252A4E09" w14:textId="77777777" w:rsidR="001B799D" w:rsidRPr="00F65B63" w:rsidRDefault="001B799D" w:rsidP="001B799D">
      <w:pPr>
        <w:jc w:val="both"/>
      </w:pPr>
    </w:p>
    <w:p w14:paraId="63007673" w14:textId="77777777" w:rsidR="001B799D" w:rsidRPr="00F65B63" w:rsidRDefault="001B799D" w:rsidP="001B799D">
      <w:pPr>
        <w:jc w:val="both"/>
        <w:rPr>
          <w:i/>
          <w:lang w:val="en-US"/>
        </w:rPr>
      </w:pPr>
      <w:r w:rsidRPr="00F65B63">
        <w:rPr>
          <w:lang w:val="en-US"/>
        </w:rPr>
        <w:t xml:space="preserve">FISS, Owen. “The allure of individualismo”. </w:t>
      </w:r>
      <w:r w:rsidRPr="00F65B63">
        <w:rPr>
          <w:i/>
          <w:lang w:val="en-US"/>
        </w:rPr>
        <w:t>Iowa Law Review,</w:t>
      </w:r>
      <w:r w:rsidRPr="00F65B63">
        <w:rPr>
          <w:lang w:val="en-US"/>
        </w:rPr>
        <w:t xml:space="preserve"> v. 78, n. 5, p. 965-979, 1993.</w:t>
      </w:r>
    </w:p>
    <w:p w14:paraId="23CD090C" w14:textId="77777777" w:rsidR="001B799D" w:rsidRPr="00F65B63" w:rsidRDefault="001B799D" w:rsidP="001B799D">
      <w:pPr>
        <w:jc w:val="both"/>
        <w:rPr>
          <w:lang w:val="en-US"/>
        </w:rPr>
      </w:pPr>
    </w:p>
    <w:p w14:paraId="0BE0E116" w14:textId="77777777" w:rsidR="001B799D" w:rsidRPr="0058051A" w:rsidRDefault="001B799D" w:rsidP="001B799D">
      <w:pPr>
        <w:jc w:val="both"/>
        <w:rPr>
          <w:i/>
          <w:lang w:val="pt-BR"/>
        </w:rPr>
      </w:pPr>
      <w:r w:rsidRPr="00F65B63">
        <w:rPr>
          <w:lang w:val="en-US"/>
        </w:rPr>
        <w:t>FISS, Owen.</w:t>
      </w:r>
      <w:r w:rsidRPr="00F65B63">
        <w:rPr>
          <w:rFonts w:eastAsia="Calibri"/>
          <w:lang w:val="en-US"/>
        </w:rPr>
        <w:t xml:space="preserve"> Two models of adjudication. </w:t>
      </w:r>
      <w:r w:rsidRPr="00F65B63">
        <w:rPr>
          <w:rFonts w:eastAsia="Calibri"/>
          <w:i/>
        </w:rPr>
        <w:t>In:</w:t>
      </w:r>
      <w:r w:rsidRPr="00F65B63">
        <w:rPr>
          <w:rFonts w:eastAsia="Calibri"/>
        </w:rPr>
        <w:t xml:space="preserve"> DIDIER JUNIOR, Fredie; JORDÃO, Eduardo Ferreira</w:t>
      </w:r>
      <w:r w:rsidRPr="00F65B63">
        <w:rPr>
          <w:i/>
        </w:rPr>
        <w:t xml:space="preserve">. Teoria do processo: </w:t>
      </w:r>
      <w:r w:rsidRPr="00F65B63">
        <w:t>panorama doutrinário mundial. Salvador: Juspodivm, 2008. p. 761-768.</w:t>
      </w:r>
    </w:p>
    <w:p w14:paraId="4D27C6A8" w14:textId="77777777" w:rsidR="001B799D" w:rsidRPr="00F65B63" w:rsidRDefault="001B799D" w:rsidP="001B799D">
      <w:pPr>
        <w:jc w:val="both"/>
      </w:pPr>
    </w:p>
    <w:p w14:paraId="09FD07AE" w14:textId="77777777" w:rsidR="001B799D" w:rsidRPr="00F65B63" w:rsidRDefault="001B799D" w:rsidP="001B799D">
      <w:pPr>
        <w:jc w:val="both"/>
      </w:pPr>
      <w:r w:rsidRPr="00F65B63">
        <w:t xml:space="preserve">FONSECA COSTA, Eduardo José da. </w:t>
      </w:r>
      <w:r w:rsidRPr="00F65B63">
        <w:rPr>
          <w:highlight w:val="white"/>
        </w:rPr>
        <w:t xml:space="preserve">A "execução negociada" de políticas públicas em juízo. </w:t>
      </w:r>
      <w:r w:rsidRPr="00F65B63">
        <w:rPr>
          <w:i/>
        </w:rPr>
        <w:t>Revista do Ministério Público do Rio de Janeiro,</w:t>
      </w:r>
      <w:r w:rsidRPr="00F65B63">
        <w:t xml:space="preserve"> n</w:t>
      </w:r>
      <w:r w:rsidRPr="00F65B63">
        <w:rPr>
          <w:lang w:val="pt-BR"/>
        </w:rPr>
        <w:t>.</w:t>
      </w:r>
      <w:r w:rsidRPr="00F65B63">
        <w:t xml:space="preserve"> 59, p. 109-136, jan./mar. 2016. Disponível em:</w:t>
      </w:r>
      <w:hyperlink r:id="rId13">
        <w:r w:rsidRPr="00F65B63">
          <w:t xml:space="preserve"> </w:t>
        </w:r>
      </w:hyperlink>
      <w:r w:rsidRPr="00F65B63">
        <w:t xml:space="preserve"> </w:t>
      </w:r>
      <w:hyperlink r:id="rId14" w:history="1">
        <w:r w:rsidRPr="00F65B63">
          <w:rPr>
            <w:rStyle w:val="Hyperlink"/>
            <w:color w:val="auto"/>
            <w:u w:val="none"/>
          </w:rPr>
          <w:t>https://bit.ly/3Xfaqgq</w:t>
        </w:r>
      </w:hyperlink>
      <w:r w:rsidRPr="00F65B63">
        <w:t>. Acesso em: 14 ago. 2023.</w:t>
      </w:r>
    </w:p>
    <w:p w14:paraId="4B1C6039" w14:textId="77777777" w:rsidR="001B799D" w:rsidRPr="00F65B63" w:rsidRDefault="001B799D" w:rsidP="001B799D">
      <w:pPr>
        <w:jc w:val="both"/>
      </w:pPr>
    </w:p>
    <w:p w14:paraId="1AA44586" w14:textId="77777777" w:rsidR="001B799D" w:rsidRPr="00F65B63" w:rsidRDefault="001B799D" w:rsidP="001B799D">
      <w:pPr>
        <w:jc w:val="both"/>
      </w:pPr>
      <w:r w:rsidRPr="00F65B63">
        <w:t xml:space="preserve">FRANCO, Fernão Borba. </w:t>
      </w:r>
      <w:r w:rsidRPr="00F65B63">
        <w:rPr>
          <w:i/>
        </w:rPr>
        <w:t xml:space="preserve">Execução em face da Fazenda Pública. </w:t>
      </w:r>
      <w:r w:rsidRPr="00F65B63">
        <w:t xml:space="preserve">São Paulo: Editora Juarez de Oliveira, 2002. </w:t>
      </w:r>
    </w:p>
    <w:p w14:paraId="2B0BDEDA" w14:textId="77777777" w:rsidR="001B799D" w:rsidRPr="00F65B63" w:rsidRDefault="001B799D" w:rsidP="001B799D">
      <w:pPr>
        <w:pStyle w:val="Textodenotaderodap"/>
        <w:jc w:val="both"/>
        <w:rPr>
          <w:rFonts w:ascii="Times New Roman" w:hAnsi="Times New Roman"/>
          <w:sz w:val="22"/>
          <w:szCs w:val="22"/>
        </w:rPr>
      </w:pPr>
    </w:p>
    <w:p w14:paraId="01711B61"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rPr>
        <w:t xml:space="preserve">GARCIA SOUZA, Fernando. Política educacional - Suprema Corte dos EUA - Caso </w:t>
      </w:r>
      <w:r w:rsidRPr="00F65B63">
        <w:rPr>
          <w:rFonts w:ascii="Times New Roman" w:hAnsi="Times New Roman"/>
          <w:i/>
          <w:iCs/>
          <w:sz w:val="22"/>
          <w:szCs w:val="22"/>
        </w:rPr>
        <w:t>Brown v. Board of Education 347 U.S. 483 (1954)</w:t>
      </w:r>
      <w:r w:rsidRPr="00F65B63">
        <w:rPr>
          <w:rFonts w:ascii="Times New Roman" w:hAnsi="Times New Roman"/>
          <w:sz w:val="22"/>
          <w:szCs w:val="22"/>
        </w:rPr>
        <w:t xml:space="preserve"> - Julgamento em 17 de maio de 1954. </w:t>
      </w:r>
      <w:r w:rsidRPr="00F65B63">
        <w:rPr>
          <w:rFonts w:ascii="Times New Roman" w:hAnsi="Times New Roman"/>
          <w:i/>
          <w:sz w:val="22"/>
          <w:szCs w:val="22"/>
        </w:rPr>
        <w:t>In:</w:t>
      </w:r>
      <w:r w:rsidRPr="00F65B63">
        <w:rPr>
          <w:rFonts w:ascii="Times New Roman" w:hAnsi="Times New Roman"/>
          <w:sz w:val="22"/>
          <w:szCs w:val="22"/>
        </w:rPr>
        <w:t xml:space="preserve"> GRINOVER, Ada Pellegrini; WATANABE, Kazuo; COSTA, Susana Henriques da. </w:t>
      </w:r>
      <w:r w:rsidRPr="00F65B63">
        <w:rPr>
          <w:rFonts w:ascii="Times New Roman" w:hAnsi="Times New Roman"/>
          <w:i/>
          <w:iCs/>
          <w:sz w:val="22"/>
          <w:szCs w:val="22"/>
        </w:rPr>
        <w:t>O processo para solução de conflitos de interesse público</w:t>
      </w:r>
      <w:r w:rsidRPr="00F65B63">
        <w:rPr>
          <w:rFonts w:ascii="Times New Roman" w:hAnsi="Times New Roman"/>
          <w:sz w:val="22"/>
          <w:szCs w:val="22"/>
        </w:rPr>
        <w:t>. Salvador: Juspodivm, 2017. p. 251-257</w:t>
      </w:r>
      <w:r w:rsidRPr="00F65B63">
        <w:rPr>
          <w:rFonts w:ascii="Times New Roman" w:hAnsi="Times New Roman"/>
          <w:sz w:val="22"/>
          <w:szCs w:val="22"/>
          <w:lang w:val="pt-BR"/>
        </w:rPr>
        <w:t>.</w:t>
      </w:r>
    </w:p>
    <w:p w14:paraId="6B3404F8" w14:textId="77777777" w:rsidR="001B799D" w:rsidRPr="00F65B63" w:rsidRDefault="001B799D" w:rsidP="001B799D">
      <w:pPr>
        <w:pStyle w:val="Textodenotaderodap"/>
        <w:jc w:val="both"/>
        <w:rPr>
          <w:rFonts w:ascii="Times New Roman" w:hAnsi="Times New Roman"/>
          <w:sz w:val="22"/>
          <w:szCs w:val="22"/>
          <w:lang w:val="pt-BR"/>
        </w:rPr>
      </w:pPr>
    </w:p>
    <w:p w14:paraId="45AF88CB"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lastRenderedPageBreak/>
        <w:t>GOULART, Marcelo Pedroso. Corregedorias e Ministério Público resolutivo. In</w:t>
      </w:r>
      <w:r w:rsidRPr="00F65B63">
        <w:rPr>
          <w:rFonts w:ascii="Times New Roman" w:hAnsi="Times New Roman"/>
          <w:i/>
          <w:iCs/>
          <w:sz w:val="22"/>
          <w:szCs w:val="22"/>
          <w:lang w:val="pt-BR"/>
        </w:rPr>
        <w:t>: Revista Jurídica Corregedoria Nacional:</w:t>
      </w:r>
      <w:r w:rsidRPr="00F65B63">
        <w:rPr>
          <w:rFonts w:ascii="Times New Roman" w:hAnsi="Times New Roman"/>
          <w:sz w:val="22"/>
          <w:szCs w:val="22"/>
          <w:lang w:val="pt-BR"/>
        </w:rPr>
        <w:t xml:space="preserve"> o papel constitucional das Corregedorias do Ministério Público. Brasília: CNMP, 2016. v. I. </w:t>
      </w:r>
    </w:p>
    <w:p w14:paraId="7A1FABEF" w14:textId="77777777" w:rsidR="001B799D" w:rsidRPr="00F65B63" w:rsidRDefault="001B799D" w:rsidP="001B799D">
      <w:pPr>
        <w:jc w:val="both"/>
      </w:pPr>
    </w:p>
    <w:p w14:paraId="2C13E803" w14:textId="77777777" w:rsidR="001B799D" w:rsidRPr="00F65B63" w:rsidRDefault="001B799D" w:rsidP="001B799D">
      <w:pPr>
        <w:jc w:val="both"/>
      </w:pPr>
      <w:r w:rsidRPr="00F65B63">
        <w:t xml:space="preserve">GONÇALVES, Samuel Alvarenga. </w:t>
      </w:r>
      <w:r w:rsidRPr="00F65B63">
        <w:rPr>
          <w:i/>
          <w:iCs/>
        </w:rPr>
        <w:t xml:space="preserve">Crise do processo coletivo brasileiro: papel do Ministério Público e as sentenças materialmente complexas contra a Administração Pública. </w:t>
      </w:r>
      <w:r w:rsidRPr="00F65B63">
        <w:t xml:space="preserve">Dissertação (Mestrado). São Paulo: Pontifícia Universidade Católica de São Paulo, 2018. </w:t>
      </w:r>
      <w:r w:rsidRPr="00F65B63">
        <w:rPr>
          <w:lang w:val="pt-BR"/>
        </w:rPr>
        <w:t xml:space="preserve">Disponível em: </w:t>
      </w:r>
      <w:hyperlink r:id="rId15" w:history="1">
        <w:r w:rsidRPr="00F65B63">
          <w:rPr>
            <w:rStyle w:val="Hyperlink"/>
            <w:color w:val="auto"/>
            <w:u w:val="none"/>
            <w:lang w:val="pt-BR"/>
          </w:rPr>
          <w:t>https://tede2.pucsp.br/bitstream/handle/21347/2/Samuel%20Alvarenga%20Gon%C3%A7alves.pdf</w:t>
        </w:r>
      </w:hyperlink>
      <w:r w:rsidRPr="00F65B63">
        <w:rPr>
          <w:lang w:val="pt-BR"/>
        </w:rPr>
        <w:t>. Acesso em: 16 ago. 2023.</w:t>
      </w:r>
    </w:p>
    <w:p w14:paraId="12B87C0E" w14:textId="77777777" w:rsidR="001B799D" w:rsidRPr="00F65B63" w:rsidRDefault="001B799D" w:rsidP="001B799D">
      <w:pPr>
        <w:pStyle w:val="Textodenotaderodap"/>
        <w:jc w:val="both"/>
        <w:rPr>
          <w:rFonts w:ascii="Times New Roman" w:hAnsi="Times New Roman"/>
          <w:sz w:val="22"/>
          <w:szCs w:val="22"/>
        </w:rPr>
      </w:pPr>
    </w:p>
    <w:p w14:paraId="4A7BEB12" w14:textId="77777777" w:rsidR="001B799D" w:rsidRPr="00F65B63" w:rsidRDefault="001B799D" w:rsidP="001B799D">
      <w:pPr>
        <w:jc w:val="both"/>
      </w:pPr>
      <w:r w:rsidRPr="00F65B63">
        <w:t xml:space="preserve">GRINOVER, Ada Pellegrini. Caminhos e descaminhos do controle jurisdicional de políticas públicas no Brasil. </w:t>
      </w:r>
      <w:r w:rsidRPr="00F65B63">
        <w:rPr>
          <w:i/>
        </w:rPr>
        <w:t>In:</w:t>
      </w:r>
      <w:r w:rsidRPr="00F65B63">
        <w:t xml:space="preserve"> GRINOVER, Ada Pellegrini; WATANABE, Kazuo; COSTA, Susana Henriques da. </w:t>
      </w:r>
      <w:r w:rsidRPr="00F65B63">
        <w:rPr>
          <w:i/>
        </w:rPr>
        <w:t xml:space="preserve">O processo para solução de conflitos de interesse público. </w:t>
      </w:r>
      <w:r w:rsidRPr="00F65B63">
        <w:t>Salvador: Juspodivm, 2017. p. 423-448.</w:t>
      </w:r>
    </w:p>
    <w:p w14:paraId="0EF5DE0B" w14:textId="77777777" w:rsidR="001B799D" w:rsidRPr="00F65B63" w:rsidRDefault="001B799D" w:rsidP="001B799D">
      <w:pPr>
        <w:pStyle w:val="Textodenotaderodap"/>
        <w:jc w:val="both"/>
        <w:rPr>
          <w:rFonts w:ascii="Times New Roman" w:hAnsi="Times New Roman"/>
          <w:sz w:val="22"/>
          <w:szCs w:val="22"/>
        </w:rPr>
      </w:pPr>
    </w:p>
    <w:p w14:paraId="095410EF"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MARÇAL, Felipe Barreto. </w:t>
      </w:r>
      <w:r w:rsidRPr="00F65B63">
        <w:rPr>
          <w:rFonts w:ascii="Times New Roman" w:hAnsi="Times New Roman"/>
          <w:i/>
          <w:iCs/>
          <w:sz w:val="22"/>
          <w:szCs w:val="22"/>
          <w:lang w:val="pt-BR"/>
        </w:rPr>
        <w:t>Processos estruturantes</w:t>
      </w:r>
      <w:r w:rsidRPr="00F65B63">
        <w:rPr>
          <w:rFonts w:ascii="Times New Roman" w:hAnsi="Times New Roman"/>
          <w:sz w:val="22"/>
          <w:szCs w:val="22"/>
          <w:lang w:val="pt-BR"/>
        </w:rPr>
        <w:t xml:space="preserve">. Salvador: Juspodivm, 2021. </w:t>
      </w:r>
    </w:p>
    <w:p w14:paraId="791A587E" w14:textId="77777777" w:rsidR="001B799D" w:rsidRPr="00F65B63" w:rsidRDefault="001B799D" w:rsidP="001B799D">
      <w:pPr>
        <w:pStyle w:val="Textodenotaderodap"/>
        <w:jc w:val="both"/>
        <w:rPr>
          <w:rFonts w:ascii="Times New Roman" w:hAnsi="Times New Roman"/>
          <w:sz w:val="22"/>
          <w:szCs w:val="22"/>
          <w:lang w:val="pt-BR"/>
        </w:rPr>
      </w:pPr>
    </w:p>
    <w:p w14:paraId="02C1D868"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rPr>
        <w:t>MEDAUAR, Odete.</w:t>
      </w:r>
      <w:r w:rsidRPr="00F65B63">
        <w:rPr>
          <w:rFonts w:ascii="Times New Roman" w:hAnsi="Times New Roman"/>
          <w:i/>
          <w:sz w:val="22"/>
          <w:szCs w:val="22"/>
        </w:rPr>
        <w:t xml:space="preserve"> O direito administrativo em evolução.</w:t>
      </w:r>
      <w:r w:rsidRPr="00F65B63">
        <w:rPr>
          <w:rFonts w:ascii="Times New Roman" w:hAnsi="Times New Roman"/>
          <w:sz w:val="22"/>
          <w:szCs w:val="22"/>
        </w:rPr>
        <w:t xml:space="preserve"> 3. ed. Brasília, DF: Gazeta Jurídica, 2017.</w:t>
      </w:r>
    </w:p>
    <w:p w14:paraId="6197C05B" w14:textId="77777777" w:rsidR="001B799D" w:rsidRPr="00F65B63" w:rsidRDefault="001B799D" w:rsidP="001B799D">
      <w:pPr>
        <w:pStyle w:val="Textodenotaderodap"/>
        <w:jc w:val="both"/>
        <w:rPr>
          <w:rFonts w:ascii="Times New Roman" w:hAnsi="Times New Roman"/>
          <w:sz w:val="22"/>
          <w:szCs w:val="22"/>
        </w:rPr>
      </w:pPr>
    </w:p>
    <w:p w14:paraId="15BB5435"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MEDEIROS JÚNIOR, Leonardo. Processo estrutural consequencialista: A intervenção judicial em políticas públicas. Rio de Janeiro: Lumen Juris, 2018. </w:t>
      </w:r>
    </w:p>
    <w:p w14:paraId="4E9A2402" w14:textId="77777777" w:rsidR="001B799D" w:rsidRPr="00F65B63" w:rsidRDefault="001B799D" w:rsidP="001B799D">
      <w:pPr>
        <w:pStyle w:val="Textodenotaderodap"/>
        <w:jc w:val="both"/>
        <w:rPr>
          <w:rFonts w:ascii="Times New Roman" w:hAnsi="Times New Roman"/>
          <w:sz w:val="22"/>
          <w:szCs w:val="22"/>
          <w:lang w:val="pt-BR"/>
        </w:rPr>
      </w:pPr>
    </w:p>
    <w:p w14:paraId="0A6447C2" w14:textId="77777777" w:rsidR="001B799D" w:rsidRPr="00F65B63" w:rsidRDefault="001B799D" w:rsidP="001B799D">
      <w:pPr>
        <w:jc w:val="both"/>
      </w:pPr>
      <w:r w:rsidRPr="00F65B63">
        <w:t xml:space="preserve">MOREIRA DOS SANTOS, Camila Perez Yeda. </w:t>
      </w:r>
      <w:r w:rsidRPr="00F65B63">
        <w:rPr>
          <w:i/>
        </w:rPr>
        <w:t xml:space="preserve">Processo Estrutural: </w:t>
      </w:r>
      <w:r w:rsidRPr="00F65B63">
        <w:t xml:space="preserve">Controle Jurisdicional de Políticas Públicas. São Paulo: Almedina, 2021. </w:t>
      </w:r>
    </w:p>
    <w:p w14:paraId="44218796" w14:textId="77777777" w:rsidR="001B799D" w:rsidRPr="00F65B63" w:rsidRDefault="001B799D" w:rsidP="001B799D">
      <w:pPr>
        <w:jc w:val="both"/>
      </w:pPr>
    </w:p>
    <w:p w14:paraId="555B627A" w14:textId="77777777" w:rsidR="001B799D" w:rsidRPr="00F65B63" w:rsidRDefault="001B799D" w:rsidP="001B799D">
      <w:pPr>
        <w:jc w:val="both"/>
      </w:pPr>
      <w:r w:rsidRPr="00F65B63">
        <w:t xml:space="preserve">NUNES, Leonardo Silva; COTA, Samuel Paiva; CARVALHO FARIA, Ana Maria Damasceno de. Dos litígios aos processos estruturais: pressupostos e fundamentos. </w:t>
      </w:r>
      <w:r w:rsidRPr="00F65B63">
        <w:rPr>
          <w:i/>
        </w:rPr>
        <w:t>In:</w:t>
      </w:r>
      <w:r w:rsidRPr="00F65B63">
        <w:t xml:space="preserve"> FARIA, Juliana Cordeiro; REZENDE, Ester Camila Gomes Norato; MARX NETO, Edgard Audomar. </w:t>
      </w:r>
      <w:r w:rsidRPr="00F65B63">
        <w:rPr>
          <w:i/>
        </w:rPr>
        <w:t xml:space="preserve">Novas tendências. Diálogos entre direito material e processo </w:t>
      </w:r>
      <w:r w:rsidRPr="00F65B63">
        <w:t xml:space="preserve">- Estudos em homenagem ao professor Humberto Theodoro Júnior. Belo Horizonte: Editora D’Plácido, 2018. p. 365-383. </w:t>
      </w:r>
    </w:p>
    <w:p w14:paraId="2DDDCC1F" w14:textId="77777777" w:rsidR="001B799D" w:rsidRPr="00F65B63" w:rsidRDefault="001B799D" w:rsidP="001B799D">
      <w:pPr>
        <w:jc w:val="both"/>
      </w:pPr>
    </w:p>
    <w:p w14:paraId="30EC8705"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SOUZA GALDINO, Matheus. </w:t>
      </w:r>
      <w:r w:rsidRPr="00F65B63">
        <w:rPr>
          <w:rFonts w:ascii="Times New Roman" w:hAnsi="Times New Roman"/>
          <w:i/>
          <w:iCs/>
          <w:sz w:val="22"/>
          <w:szCs w:val="22"/>
          <w:lang w:val="pt-BR"/>
        </w:rPr>
        <w:t>Elementos para uma compreensão tipológica dos processos estruturais.</w:t>
      </w:r>
      <w:r w:rsidRPr="00F65B63">
        <w:rPr>
          <w:rFonts w:ascii="Times New Roman" w:hAnsi="Times New Roman"/>
          <w:sz w:val="22"/>
          <w:szCs w:val="22"/>
          <w:lang w:val="pt-BR"/>
        </w:rPr>
        <w:t xml:space="preserve"> Dissertação (Mestrado). Salvador: Faculdade de Direito da Universidade Federal da Bahia, 2019. p. 139. Disponível em: </w:t>
      </w:r>
      <w:hyperlink r:id="rId16" w:history="1">
        <w:r w:rsidRPr="00F65B63">
          <w:rPr>
            <w:rStyle w:val="Hyperlink"/>
            <w:rFonts w:ascii="Times New Roman" w:hAnsi="Times New Roman"/>
            <w:color w:val="auto"/>
            <w:sz w:val="22"/>
            <w:szCs w:val="22"/>
            <w:u w:val="none"/>
            <w:lang w:val="pt-BR"/>
          </w:rPr>
          <w:t>https://repositorio.ufba.br/</w:t>
        </w:r>
      </w:hyperlink>
      <w:r w:rsidRPr="00F65B63">
        <w:rPr>
          <w:rFonts w:ascii="Times New Roman" w:hAnsi="Times New Roman"/>
          <w:sz w:val="22"/>
          <w:szCs w:val="22"/>
          <w:lang w:val="pt-BR"/>
        </w:rPr>
        <w:t>. Acesso em: 15 ago. 2023.</w:t>
      </w:r>
    </w:p>
    <w:p w14:paraId="7D04A8C6" w14:textId="77777777" w:rsidR="001B799D" w:rsidRPr="00F65B63" w:rsidRDefault="001B799D" w:rsidP="001B799D">
      <w:pPr>
        <w:pStyle w:val="Textodenotaderodap"/>
        <w:jc w:val="both"/>
        <w:rPr>
          <w:rFonts w:ascii="Times New Roman" w:hAnsi="Times New Roman"/>
          <w:sz w:val="22"/>
          <w:szCs w:val="22"/>
          <w:lang w:val="pt-BR"/>
        </w:rPr>
      </w:pPr>
    </w:p>
    <w:p w14:paraId="36CBAB97" w14:textId="77777777" w:rsidR="001B799D" w:rsidRPr="00F65B63" w:rsidRDefault="001B799D" w:rsidP="001B799D">
      <w:pPr>
        <w:jc w:val="both"/>
      </w:pPr>
      <w:r w:rsidRPr="00F65B63">
        <w:t xml:space="preserve">VITORELLI, Edilson. Levando os conceitos a sério: processo estrutural, processo coletivo, processo estratégico e suas diferenças. </w:t>
      </w:r>
      <w:r w:rsidRPr="00F65B63">
        <w:rPr>
          <w:i/>
        </w:rPr>
        <w:t>Revista de Processo</w:t>
      </w:r>
      <w:r w:rsidRPr="00F65B63">
        <w:t>, v. 284, p. 333-369, out. 2018.</w:t>
      </w:r>
    </w:p>
    <w:p w14:paraId="3E829CD8" w14:textId="77777777" w:rsidR="001B799D" w:rsidRPr="00F65B63" w:rsidRDefault="001B799D" w:rsidP="001B799D">
      <w:pPr>
        <w:jc w:val="both"/>
      </w:pPr>
      <w:r w:rsidRPr="00F65B63">
        <w:t>.</w:t>
      </w:r>
    </w:p>
    <w:p w14:paraId="33C7CDE8"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VITORELLI, Edilson. </w:t>
      </w:r>
      <w:r w:rsidRPr="00F65B63">
        <w:rPr>
          <w:rFonts w:ascii="Times New Roman" w:hAnsi="Times New Roman"/>
          <w:i/>
          <w:iCs/>
          <w:sz w:val="22"/>
          <w:szCs w:val="22"/>
          <w:lang w:val="pt-BR"/>
        </w:rPr>
        <w:t xml:space="preserve">Processo civil estrutural: </w:t>
      </w:r>
      <w:r w:rsidRPr="00F65B63">
        <w:rPr>
          <w:rFonts w:ascii="Times New Roman" w:hAnsi="Times New Roman"/>
          <w:sz w:val="22"/>
          <w:szCs w:val="22"/>
          <w:lang w:val="pt-BR"/>
        </w:rPr>
        <w:t xml:space="preserve">teoria e prática. 2. ed. Salvador: Juspodivm, 2021. </w:t>
      </w:r>
    </w:p>
    <w:p w14:paraId="1333030B" w14:textId="77777777" w:rsidR="001B799D" w:rsidRPr="00F65B63" w:rsidRDefault="001B799D" w:rsidP="001B799D">
      <w:pPr>
        <w:jc w:val="both"/>
        <w:rPr>
          <w:vertAlign w:val="superscript"/>
        </w:rPr>
      </w:pPr>
    </w:p>
    <w:p w14:paraId="27087498" w14:textId="77777777" w:rsidR="001B799D" w:rsidRPr="00F65B63" w:rsidRDefault="001B799D" w:rsidP="001B799D">
      <w:pPr>
        <w:jc w:val="both"/>
      </w:pPr>
      <w:r w:rsidRPr="00F65B63">
        <w:t xml:space="preserve">WATANABE, Kazuo. Tutela antecipatória e tutela específica das obrigações de fazer e não fazer - arts. 273 e 461, CPC. </w:t>
      </w:r>
      <w:r w:rsidRPr="00F65B63">
        <w:rPr>
          <w:i/>
          <w:iCs/>
        </w:rPr>
        <w:t>Revista de Direito do Consumidor,</w:t>
      </w:r>
      <w:r w:rsidRPr="00F65B63">
        <w:t xml:space="preserve"> v. 19/1996, p. 77-101, jul./set. 1996. </w:t>
      </w:r>
    </w:p>
    <w:p w14:paraId="0A6DBC85" w14:textId="77777777" w:rsidR="001B799D" w:rsidRPr="00F65B63" w:rsidRDefault="001B799D" w:rsidP="001B799D">
      <w:pPr>
        <w:pStyle w:val="Textodenotaderodap"/>
        <w:jc w:val="both"/>
        <w:rPr>
          <w:rFonts w:ascii="Times New Roman" w:hAnsi="Times New Roman"/>
          <w:sz w:val="22"/>
          <w:szCs w:val="22"/>
          <w:lang w:val="pt-BR"/>
        </w:rPr>
      </w:pPr>
    </w:p>
    <w:p w14:paraId="2EE5F0DE" w14:textId="77777777" w:rsidR="001B799D" w:rsidRPr="00F65B63" w:rsidRDefault="001B799D" w:rsidP="001B799D">
      <w:pPr>
        <w:pStyle w:val="Textodenotaderodap"/>
        <w:jc w:val="both"/>
        <w:rPr>
          <w:rFonts w:ascii="Times New Roman" w:hAnsi="Times New Roman"/>
          <w:sz w:val="22"/>
          <w:szCs w:val="22"/>
          <w:lang w:val="pt-BR"/>
        </w:rPr>
      </w:pPr>
      <w:r w:rsidRPr="00F65B63">
        <w:rPr>
          <w:rFonts w:ascii="Times New Roman" w:hAnsi="Times New Roman"/>
          <w:sz w:val="22"/>
          <w:szCs w:val="22"/>
          <w:lang w:val="pt-BR"/>
        </w:rPr>
        <w:t xml:space="preserve">ZANETI JUNIOR, Hermes. A teoria da separação de poderes e o Estado Democrático Constitucional: </w:t>
      </w:r>
      <w:r w:rsidRPr="00F65B63">
        <w:rPr>
          <w:rFonts w:ascii="Times New Roman" w:hAnsi="Times New Roman"/>
          <w:sz w:val="22"/>
          <w:szCs w:val="22"/>
        </w:rPr>
        <w:t xml:space="preserve">Funções de governo e funções de garantia. </w:t>
      </w:r>
      <w:r w:rsidRPr="00F65B63">
        <w:rPr>
          <w:rFonts w:ascii="Times New Roman" w:hAnsi="Times New Roman"/>
          <w:i/>
          <w:sz w:val="22"/>
          <w:szCs w:val="22"/>
        </w:rPr>
        <w:t>In:</w:t>
      </w:r>
      <w:r w:rsidRPr="00F65B63">
        <w:rPr>
          <w:rFonts w:ascii="Times New Roman" w:hAnsi="Times New Roman"/>
          <w:sz w:val="22"/>
          <w:szCs w:val="22"/>
          <w:lang w:val="pt-BR"/>
        </w:rPr>
        <w:t xml:space="preserve"> </w:t>
      </w:r>
      <w:r w:rsidRPr="00F65B63">
        <w:rPr>
          <w:rFonts w:ascii="Times New Roman" w:hAnsi="Times New Roman"/>
          <w:sz w:val="22"/>
          <w:szCs w:val="22"/>
        </w:rPr>
        <w:t xml:space="preserve">GRINOVER, Ada Pellegrini; WATANABE, Kazuo </w:t>
      </w:r>
      <w:r w:rsidRPr="00F65B63">
        <w:rPr>
          <w:rFonts w:ascii="Times New Roman" w:hAnsi="Times New Roman"/>
          <w:sz w:val="22"/>
          <w:szCs w:val="22"/>
          <w:lang w:val="pt-BR"/>
        </w:rPr>
        <w:t>(</w:t>
      </w:r>
      <w:r w:rsidRPr="00F65B63">
        <w:rPr>
          <w:rFonts w:ascii="Times New Roman" w:hAnsi="Times New Roman"/>
          <w:sz w:val="22"/>
          <w:szCs w:val="22"/>
        </w:rPr>
        <w:t>Coord</w:t>
      </w:r>
      <w:r w:rsidRPr="00F65B63">
        <w:rPr>
          <w:rFonts w:ascii="Times New Roman" w:hAnsi="Times New Roman"/>
          <w:sz w:val="22"/>
          <w:szCs w:val="22"/>
          <w:lang w:val="pt-BR"/>
        </w:rPr>
        <w:t>s</w:t>
      </w:r>
      <w:r w:rsidRPr="00F65B63">
        <w:rPr>
          <w:rFonts w:ascii="Times New Roman" w:hAnsi="Times New Roman"/>
          <w:sz w:val="22"/>
          <w:szCs w:val="22"/>
        </w:rPr>
        <w:t>.</w:t>
      </w:r>
      <w:r w:rsidRPr="00F65B63">
        <w:rPr>
          <w:rFonts w:ascii="Times New Roman" w:hAnsi="Times New Roman"/>
          <w:sz w:val="22"/>
          <w:szCs w:val="22"/>
          <w:lang w:val="pt-BR"/>
        </w:rPr>
        <w:t>)</w:t>
      </w:r>
      <w:r w:rsidRPr="00F65B63">
        <w:rPr>
          <w:rFonts w:ascii="Times New Roman" w:hAnsi="Times New Roman"/>
          <w:sz w:val="22"/>
          <w:szCs w:val="22"/>
        </w:rPr>
        <w:t xml:space="preserve">. </w:t>
      </w:r>
      <w:r w:rsidRPr="00F65B63">
        <w:rPr>
          <w:rFonts w:ascii="Times New Roman" w:hAnsi="Times New Roman"/>
          <w:i/>
          <w:iCs/>
          <w:sz w:val="22"/>
          <w:szCs w:val="22"/>
        </w:rPr>
        <w:t xml:space="preserve">O </w:t>
      </w:r>
      <w:r w:rsidRPr="00F65B63">
        <w:rPr>
          <w:rFonts w:ascii="Times New Roman" w:hAnsi="Times New Roman"/>
          <w:i/>
          <w:iCs/>
          <w:sz w:val="22"/>
          <w:szCs w:val="22"/>
          <w:lang w:val="pt-BR"/>
        </w:rPr>
        <w:t>c</w:t>
      </w:r>
      <w:r w:rsidRPr="00F65B63">
        <w:rPr>
          <w:rFonts w:ascii="Times New Roman" w:hAnsi="Times New Roman"/>
          <w:i/>
          <w:iCs/>
          <w:sz w:val="22"/>
          <w:szCs w:val="22"/>
        </w:rPr>
        <w:t xml:space="preserve">ontrole </w:t>
      </w:r>
      <w:r w:rsidRPr="00F65B63">
        <w:rPr>
          <w:rFonts w:ascii="Times New Roman" w:hAnsi="Times New Roman"/>
          <w:i/>
          <w:iCs/>
          <w:sz w:val="22"/>
          <w:szCs w:val="22"/>
          <w:lang w:val="pt-BR"/>
        </w:rPr>
        <w:t>j</w:t>
      </w:r>
      <w:r w:rsidRPr="00F65B63">
        <w:rPr>
          <w:rFonts w:ascii="Times New Roman" w:hAnsi="Times New Roman"/>
          <w:i/>
          <w:iCs/>
          <w:sz w:val="22"/>
          <w:szCs w:val="22"/>
        </w:rPr>
        <w:t xml:space="preserve">urisdicional de </w:t>
      </w:r>
      <w:r w:rsidRPr="00F65B63">
        <w:rPr>
          <w:rFonts w:ascii="Times New Roman" w:hAnsi="Times New Roman"/>
          <w:i/>
          <w:iCs/>
          <w:sz w:val="22"/>
          <w:szCs w:val="22"/>
          <w:lang w:val="pt-BR"/>
        </w:rPr>
        <w:t>p</w:t>
      </w:r>
      <w:r w:rsidRPr="00F65B63">
        <w:rPr>
          <w:rFonts w:ascii="Times New Roman" w:hAnsi="Times New Roman"/>
          <w:i/>
          <w:iCs/>
          <w:sz w:val="22"/>
          <w:szCs w:val="22"/>
        </w:rPr>
        <w:t>olíti</w:t>
      </w:r>
      <w:r w:rsidRPr="00F65B63">
        <w:rPr>
          <w:rFonts w:ascii="Times New Roman" w:hAnsi="Times New Roman"/>
          <w:i/>
          <w:iCs/>
          <w:sz w:val="22"/>
          <w:szCs w:val="22"/>
          <w:lang w:val="pt-BR"/>
        </w:rPr>
        <w:t>c</w:t>
      </w:r>
      <w:r w:rsidRPr="00F65B63">
        <w:rPr>
          <w:rFonts w:ascii="Times New Roman" w:hAnsi="Times New Roman"/>
          <w:i/>
          <w:iCs/>
          <w:sz w:val="22"/>
          <w:szCs w:val="22"/>
        </w:rPr>
        <w:t>as públicas.</w:t>
      </w:r>
      <w:r w:rsidRPr="00F65B63">
        <w:rPr>
          <w:rFonts w:ascii="Times New Roman" w:hAnsi="Times New Roman"/>
          <w:sz w:val="22"/>
          <w:szCs w:val="22"/>
        </w:rPr>
        <w:t xml:space="preserve"> Rio de Janeiro: Forense, </w:t>
      </w:r>
      <w:r w:rsidRPr="00F65B63">
        <w:rPr>
          <w:rFonts w:ascii="Times New Roman" w:hAnsi="Times New Roman"/>
          <w:sz w:val="22"/>
          <w:szCs w:val="22"/>
          <w:lang w:val="pt-BR"/>
        </w:rPr>
        <w:t xml:space="preserve">2013. p. 33-72. </w:t>
      </w:r>
    </w:p>
    <w:p w14:paraId="4656311E" w14:textId="77777777" w:rsidR="001B799D" w:rsidRPr="00F65B63" w:rsidRDefault="001B799D" w:rsidP="001B799D"/>
    <w:p w14:paraId="60E78E7D" w14:textId="066157C6" w:rsidR="00436B31" w:rsidRPr="00F65B63" w:rsidRDefault="00436B31" w:rsidP="001C10C4">
      <w:pPr>
        <w:spacing w:line="360" w:lineRule="auto"/>
        <w:rPr>
          <w:sz w:val="24"/>
          <w:szCs w:val="24"/>
        </w:rPr>
      </w:pPr>
    </w:p>
    <w:sectPr w:rsidR="00436B31" w:rsidRPr="00F65B63" w:rsidSect="009851F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068" w14:textId="77777777" w:rsidR="00090972" w:rsidRDefault="00090972" w:rsidP="003C12C9">
      <w:r>
        <w:separator/>
      </w:r>
    </w:p>
  </w:endnote>
  <w:endnote w:type="continuationSeparator" w:id="0">
    <w:p w14:paraId="41337D55" w14:textId="77777777" w:rsidR="00090972" w:rsidRDefault="00090972" w:rsidP="003C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FBC8" w14:textId="77777777" w:rsidR="00090972" w:rsidRDefault="00090972" w:rsidP="003C12C9">
      <w:r>
        <w:separator/>
      </w:r>
    </w:p>
  </w:footnote>
  <w:footnote w:type="continuationSeparator" w:id="0">
    <w:p w14:paraId="48E2250D" w14:textId="77777777" w:rsidR="00090972" w:rsidRDefault="00090972" w:rsidP="003C12C9">
      <w:r>
        <w:continuationSeparator/>
      </w:r>
    </w:p>
  </w:footnote>
  <w:footnote w:id="1">
    <w:p w14:paraId="5054E0CC" w14:textId="100BDF83" w:rsidR="002663BE" w:rsidRPr="00416D5C"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Iniciado </w:t>
      </w:r>
      <w:r w:rsidRPr="00416D5C">
        <w:rPr>
          <w:rFonts w:ascii="Times New Roman" w:hAnsi="Times New Roman"/>
        </w:rPr>
        <w:t>o cumprimento provisório do acórdão, o réu ingressou com ação cautelar (nº 3.809/RJ), requerendo medida liminar, o que foi parcialmente deferido pela Min. Cármen Lúcia</w:t>
      </w:r>
      <w:r w:rsidRPr="00416D5C">
        <w:rPr>
          <w:rFonts w:ascii="Times New Roman" w:hAnsi="Times New Roman"/>
          <w:lang w:val="pt-BR"/>
        </w:rPr>
        <w:t>, que atribuiu</w:t>
      </w:r>
      <w:r w:rsidRPr="00416D5C">
        <w:rPr>
          <w:rFonts w:ascii="Times New Roman" w:hAnsi="Times New Roman"/>
        </w:rPr>
        <w:t xml:space="preserve"> efeito suspensivo ao RE.</w:t>
      </w:r>
    </w:p>
  </w:footnote>
  <w:footnote w:id="2">
    <w:p w14:paraId="7D79D3F5" w14:textId="1B54EFAF" w:rsidR="002663BE" w:rsidRPr="00416D5C" w:rsidRDefault="002663BE" w:rsidP="001B799D">
      <w:pPr>
        <w:jc w:val="both"/>
        <w:rPr>
          <w:sz w:val="20"/>
          <w:szCs w:val="20"/>
        </w:rPr>
      </w:pPr>
      <w:r w:rsidRPr="00416D5C">
        <w:rPr>
          <w:rStyle w:val="Refdenotaderodap"/>
          <w:sz w:val="20"/>
          <w:szCs w:val="20"/>
        </w:rPr>
        <w:footnoteRef/>
      </w:r>
      <w:r w:rsidRPr="00416D5C">
        <w:rPr>
          <w:sz w:val="20"/>
          <w:szCs w:val="20"/>
        </w:rPr>
        <w:t xml:space="preserve"> </w:t>
      </w:r>
      <w:r w:rsidRPr="00416D5C">
        <w:rPr>
          <w:sz w:val="20"/>
          <w:szCs w:val="20"/>
          <w:shd w:val="clear" w:color="auto" w:fill="FFFFFF"/>
        </w:rPr>
        <w:t xml:space="preserve">“O Tribunal, por maioria, apreciando o tema 698 da repercussão geral, deu parcial provimento ao recurso extraordinário para anular o acórdão recorrido e determinar o retorno dos autos à origem, para novo exame da matéria, de acordo com as circunstâncias fáticas atuais do Hospital Municipal Salgado Filho e com os parâmetros aqui fixados, nos termos do voto do Ministro Roberto Barroso, Redator para o acórdão, vencidos os Ministros Ricardo Lewandowski (Relator) e Edson Fachin, que negavam provimento ao recurso, e os Ministros Alexandre de Moraes e André Mendonça, que davam provimento ao recurso extraordinário para restabelecer a sentença de improcedência do pleito inicial. Nesta assentada, o Ministro Luiz Fux reajustou seu voto para acompanhar o Ministro Roberto Barroso”. (Plenário, Sessão Virtual de 23.6.2023 a 30.6.2023). </w:t>
      </w:r>
      <w:bookmarkStart w:id="3" w:name="_Hlk144201699"/>
      <w:r w:rsidRPr="00416D5C">
        <w:rPr>
          <w:sz w:val="20"/>
          <w:szCs w:val="20"/>
        </w:rPr>
        <w:t xml:space="preserve">BRASIL. Supremo Tribunal Federal. </w:t>
      </w:r>
      <w:r w:rsidRPr="00416D5C">
        <w:rPr>
          <w:i/>
          <w:sz w:val="20"/>
          <w:szCs w:val="20"/>
        </w:rPr>
        <w:t>Tema 698 de Repercussão Geral</w:t>
      </w:r>
      <w:r w:rsidRPr="00416D5C">
        <w:rPr>
          <w:sz w:val="20"/>
          <w:szCs w:val="20"/>
        </w:rPr>
        <w:t>, RE 684.612, j. 30/06/2023, DJe 07/08/2023. Disponível em: https://portal.stf.jus.br/</w:t>
      </w:r>
      <w:r>
        <w:rPr>
          <w:sz w:val="20"/>
          <w:szCs w:val="20"/>
        </w:rPr>
        <w:t>.</w:t>
      </w:r>
      <w:r w:rsidRPr="00416D5C">
        <w:rPr>
          <w:sz w:val="20"/>
          <w:szCs w:val="20"/>
        </w:rPr>
        <w:t xml:space="preserve"> Acesso em: 1</w:t>
      </w:r>
      <w:r>
        <w:rPr>
          <w:sz w:val="20"/>
          <w:szCs w:val="20"/>
        </w:rPr>
        <w:t>0</w:t>
      </w:r>
      <w:r w:rsidRPr="00416D5C">
        <w:rPr>
          <w:sz w:val="20"/>
          <w:szCs w:val="20"/>
        </w:rPr>
        <w:t xml:space="preserve"> ago. 2023.</w:t>
      </w:r>
    </w:p>
    <w:bookmarkEnd w:id="3"/>
    <w:p w14:paraId="5BB03A0D" w14:textId="45C5604E" w:rsidR="002663BE" w:rsidRPr="00946FFB" w:rsidRDefault="002663BE" w:rsidP="001B799D">
      <w:pPr>
        <w:jc w:val="both"/>
        <w:rPr>
          <w:sz w:val="20"/>
          <w:szCs w:val="20"/>
          <w:shd w:val="clear" w:color="auto" w:fill="FFFFFF"/>
        </w:rPr>
      </w:pPr>
    </w:p>
    <w:p w14:paraId="4FC8B6D3" w14:textId="12AFEA1B" w:rsidR="002663BE" w:rsidRPr="00946FFB" w:rsidRDefault="002663BE" w:rsidP="001B799D">
      <w:pPr>
        <w:pStyle w:val="Textodenotaderodap"/>
        <w:jc w:val="both"/>
        <w:rPr>
          <w:rFonts w:ascii="Times New Roman" w:hAnsi="Times New Roman"/>
          <w:lang w:val="pt-BR"/>
        </w:rPr>
      </w:pPr>
    </w:p>
  </w:footnote>
  <w:footnote w:id="3">
    <w:p w14:paraId="5CF97586" w14:textId="29856CAA"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ARENHART, Sérgio Cruz. Processos estruturais no Direito brasileiro: reflexões a partir do caso da ACP do carvão. </w:t>
      </w:r>
      <w:r w:rsidRPr="00946FFB">
        <w:rPr>
          <w:i/>
          <w:sz w:val="20"/>
          <w:szCs w:val="20"/>
        </w:rPr>
        <w:t>Revista do Tribunal Regional Federal da Primeira Região (R.TRF1)</w:t>
      </w:r>
      <w:r w:rsidRPr="00946FFB">
        <w:rPr>
          <w:sz w:val="20"/>
          <w:szCs w:val="20"/>
        </w:rPr>
        <w:t>, Brasília, v. 29, n. 1-2, p. 70-79, jan./fev. 2017, p. 74. Disponível em: https://bit.ly/3Ixzwmq. Acesso em: 1</w:t>
      </w:r>
      <w:r>
        <w:rPr>
          <w:sz w:val="20"/>
          <w:szCs w:val="20"/>
        </w:rPr>
        <w:t>0</w:t>
      </w:r>
      <w:r w:rsidRPr="00946FFB">
        <w:rPr>
          <w:sz w:val="20"/>
          <w:szCs w:val="20"/>
        </w:rPr>
        <w:t xml:space="preserve"> </w:t>
      </w:r>
      <w:r>
        <w:rPr>
          <w:sz w:val="20"/>
          <w:szCs w:val="20"/>
        </w:rPr>
        <w:t>ago</w:t>
      </w:r>
      <w:r w:rsidRPr="00946FFB">
        <w:rPr>
          <w:sz w:val="20"/>
          <w:szCs w:val="20"/>
        </w:rPr>
        <w:t>. 202</w:t>
      </w:r>
      <w:r>
        <w:rPr>
          <w:sz w:val="20"/>
          <w:szCs w:val="20"/>
        </w:rPr>
        <w:t>3</w:t>
      </w:r>
      <w:r w:rsidRPr="00946FFB">
        <w:rPr>
          <w:sz w:val="20"/>
          <w:szCs w:val="20"/>
        </w:rPr>
        <w:t xml:space="preserve">. </w:t>
      </w:r>
    </w:p>
  </w:footnote>
  <w:footnote w:id="4">
    <w:p w14:paraId="691E6B8C"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MEDAUAR, Odete.</w:t>
      </w:r>
      <w:r w:rsidRPr="00946FFB">
        <w:rPr>
          <w:rFonts w:ascii="Times New Roman" w:hAnsi="Times New Roman"/>
          <w:i/>
        </w:rPr>
        <w:t xml:space="preserve"> O direito administrativo em evolução.</w:t>
      </w:r>
      <w:r w:rsidRPr="00946FFB">
        <w:rPr>
          <w:rFonts w:ascii="Times New Roman" w:hAnsi="Times New Roman"/>
        </w:rPr>
        <w:t xml:space="preserve"> 3. ed. Brasília, DF: Gazeta Jurídica, 2017. p. 371-378.</w:t>
      </w:r>
    </w:p>
  </w:footnote>
  <w:footnote w:id="5">
    <w:p w14:paraId="4F10B9D8" w14:textId="77777777" w:rsidR="002663BE" w:rsidRPr="00946FFB" w:rsidRDefault="002663BE" w:rsidP="001B799D">
      <w:pPr>
        <w:jc w:val="both"/>
        <w:rPr>
          <w:sz w:val="20"/>
          <w:szCs w:val="20"/>
          <w:highlight w:val="white"/>
        </w:rPr>
      </w:pPr>
      <w:r w:rsidRPr="00946FFB">
        <w:rPr>
          <w:rStyle w:val="Refdenotaderodap"/>
          <w:sz w:val="20"/>
          <w:szCs w:val="20"/>
        </w:rPr>
        <w:footnoteRef/>
      </w:r>
      <w:r w:rsidRPr="00946FFB">
        <w:rPr>
          <w:sz w:val="20"/>
          <w:szCs w:val="20"/>
        </w:rPr>
        <w:t xml:space="preserve"> </w:t>
      </w:r>
      <w:r w:rsidRPr="00946FFB">
        <w:rPr>
          <w:sz w:val="20"/>
          <w:szCs w:val="20"/>
          <w:highlight w:val="white"/>
        </w:rPr>
        <w:t xml:space="preserve">Menciona que há atualmente diversas práticas consensuais na atividade administrativa: acordos, negociação, conciliação, mediação, arbitragem, inclusive na esfera sancionadora (TAC, compromisso de cessação, etc), além do que diversos bens públicos são usados pelo setor privado na prestação de serviços públicos (concessão e permissão de serviço público) ou têm sua gestão transferida para particulares (florestas, teatros, creches, auditórios, hospitais, dentre outros), pelo que não há que se falar em indisponibilidade de bens públicos. </w:t>
      </w:r>
    </w:p>
  </w:footnote>
  <w:footnote w:id="6">
    <w:p w14:paraId="4FB66118" w14:textId="77777777" w:rsidR="002663BE" w:rsidRPr="00946FFB" w:rsidRDefault="002663BE" w:rsidP="001B799D">
      <w:pPr>
        <w:jc w:val="both"/>
        <w:rPr>
          <w:sz w:val="20"/>
          <w:szCs w:val="20"/>
        </w:rPr>
      </w:pPr>
      <w:r w:rsidRPr="00946FFB">
        <w:rPr>
          <w:rStyle w:val="Refdenotaderodap"/>
          <w:sz w:val="20"/>
          <w:szCs w:val="20"/>
        </w:rPr>
        <w:footnoteRef/>
      </w:r>
      <w:r w:rsidRPr="00946FFB">
        <w:rPr>
          <w:sz w:val="20"/>
          <w:szCs w:val="20"/>
        </w:rPr>
        <w:t xml:space="preserve"> </w:t>
      </w:r>
      <w:r w:rsidRPr="00946FFB">
        <w:rPr>
          <w:sz w:val="20"/>
          <w:szCs w:val="20"/>
          <w:lang w:val="pt-BR"/>
        </w:rPr>
        <w:t>“</w:t>
      </w:r>
      <w:r w:rsidRPr="00946FFB">
        <w:rPr>
          <w:sz w:val="20"/>
          <w:szCs w:val="20"/>
          <w:shd w:val="clear" w:color="auto" w:fill="FFFFFF"/>
        </w:rPr>
        <w:t>A decisão administrativa, controladora ou judicial que estabelecer interpretação ou orientação nova sobre norma de conteúdo indeterminado, impondo novo dever ou novo condicionamento de direito, deverá prever regime de transição quando indispensável para que o novo dever ou condicionamento de direito seja cumprido de modo proporcional, equânime e eficiente e sem prejuízo aos interesses gerais”. </w:t>
      </w:r>
      <w:r w:rsidRPr="00946FFB">
        <w:rPr>
          <w:sz w:val="20"/>
          <w:szCs w:val="20"/>
        </w:rPr>
        <w:t xml:space="preserve"> </w:t>
      </w:r>
    </w:p>
  </w:footnote>
  <w:footnote w:id="7">
    <w:p w14:paraId="2A7C91B9"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r w:rsidRPr="00946FFB">
        <w:rPr>
          <w:rFonts w:ascii="Times New Roman" w:hAnsi="Times New Roman"/>
          <w:lang w:val="pt-BR"/>
        </w:rPr>
        <w:t xml:space="preserve">Embora não tenha assumido, de forma expressa, se tratar de processo estrutural, a forma da atuação jurisdicional possibilitou à doutrina a construção de uma base teórica dessa nova técnica processual. Nesse sentido, menciona Edilson Vitorelli que o caso Brown não seria um exemplo de processo estrutural, mas que sua implementação, em algumas localidades e por iniciativa dos juízes locais, adquiriu, gradativamente, essa característica. VITORELLI, Edilson. </w:t>
      </w:r>
      <w:r w:rsidRPr="00946FFB">
        <w:rPr>
          <w:rFonts w:ascii="Times New Roman" w:hAnsi="Times New Roman"/>
          <w:i/>
          <w:iCs/>
          <w:lang w:val="pt-BR"/>
        </w:rPr>
        <w:t xml:space="preserve">Processo civil estrutural: </w:t>
      </w:r>
      <w:r w:rsidRPr="00946FFB">
        <w:rPr>
          <w:rFonts w:ascii="Times New Roman" w:hAnsi="Times New Roman"/>
          <w:lang w:val="pt-BR"/>
        </w:rPr>
        <w:t>teoria e prática. 2. ed. Salvador: Juspodivm, 2021. p. 76.</w:t>
      </w:r>
    </w:p>
  </w:footnote>
  <w:footnote w:id="8">
    <w:p w14:paraId="07EF2A05" w14:textId="6DCD390E"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ESTADOS UNIDOS </w:t>
      </w:r>
      <w:r w:rsidRPr="00946FFB">
        <w:rPr>
          <w:i/>
          <w:sz w:val="20"/>
          <w:szCs w:val="20"/>
        </w:rPr>
        <w:t xml:space="preserve">(US Supreme Court). </w:t>
      </w:r>
      <w:r w:rsidRPr="00946FFB">
        <w:rPr>
          <w:i/>
          <w:sz w:val="20"/>
          <w:szCs w:val="20"/>
          <w:lang w:val="en-US"/>
        </w:rPr>
        <w:t>Brown v. Board of Education of Topeka</w:t>
      </w:r>
      <w:r w:rsidRPr="00946FFB">
        <w:rPr>
          <w:sz w:val="20"/>
          <w:szCs w:val="20"/>
          <w:lang w:val="en-US"/>
        </w:rPr>
        <w:t xml:space="preserve">, 347 U.S. 483 (1954). </w:t>
      </w:r>
      <w:r w:rsidRPr="00946FFB">
        <w:rPr>
          <w:sz w:val="20"/>
          <w:szCs w:val="20"/>
        </w:rPr>
        <w:t xml:space="preserve">Disponível em: </w:t>
      </w:r>
      <w:hyperlink r:id="rId1">
        <w:r w:rsidRPr="00946FFB">
          <w:rPr>
            <w:sz w:val="20"/>
            <w:szCs w:val="20"/>
          </w:rPr>
          <w:t>https://supreme.justia.com/cases/federal/us/347/483/</w:t>
        </w:r>
      </w:hyperlink>
      <w:r w:rsidRPr="00946FFB">
        <w:rPr>
          <w:sz w:val="20"/>
          <w:szCs w:val="20"/>
        </w:rPr>
        <w:t>. Acesso em: 1</w:t>
      </w:r>
      <w:r>
        <w:rPr>
          <w:sz w:val="20"/>
          <w:szCs w:val="20"/>
        </w:rPr>
        <w:t>2</w:t>
      </w:r>
      <w:r w:rsidRPr="00946FFB">
        <w:rPr>
          <w:sz w:val="20"/>
          <w:szCs w:val="20"/>
        </w:rPr>
        <w:t xml:space="preserve"> </w:t>
      </w:r>
      <w:r>
        <w:rPr>
          <w:sz w:val="20"/>
          <w:szCs w:val="20"/>
        </w:rPr>
        <w:t>ago</w:t>
      </w:r>
      <w:r w:rsidRPr="00946FFB">
        <w:rPr>
          <w:sz w:val="20"/>
          <w:szCs w:val="20"/>
        </w:rPr>
        <w:t>. 202</w:t>
      </w:r>
      <w:r>
        <w:rPr>
          <w:sz w:val="20"/>
          <w:szCs w:val="20"/>
        </w:rPr>
        <w:t>3</w:t>
      </w:r>
      <w:r w:rsidRPr="00946FFB">
        <w:rPr>
          <w:sz w:val="20"/>
          <w:szCs w:val="20"/>
        </w:rPr>
        <w:t>.</w:t>
      </w:r>
    </w:p>
  </w:footnote>
  <w:footnote w:id="9">
    <w:p w14:paraId="4DC99F74" w14:textId="3453114A" w:rsidR="002663BE" w:rsidRPr="00BD4AFF" w:rsidRDefault="002663BE" w:rsidP="001B799D">
      <w:pPr>
        <w:pStyle w:val="Textodenotaderodap"/>
        <w:jc w:val="both"/>
        <w:rPr>
          <w:rFonts w:ascii="Times New Roman" w:hAnsi="Times New Roman"/>
          <w:lang w:val="pt-BR"/>
        </w:rPr>
      </w:pPr>
      <w:r w:rsidRPr="00497997">
        <w:rPr>
          <w:rStyle w:val="Refdenotaderodap"/>
          <w:rFonts w:ascii="Times New Roman" w:hAnsi="Times New Roman"/>
        </w:rPr>
        <w:footnoteRef/>
      </w:r>
      <w:r w:rsidRPr="00497997">
        <w:rPr>
          <w:rFonts w:ascii="Times New Roman" w:hAnsi="Times New Roman"/>
        </w:rPr>
        <w:t xml:space="preserve"> Essas ações foram ajuizadas em razão da doutrina do “</w:t>
      </w:r>
      <w:r w:rsidRPr="00497997">
        <w:rPr>
          <w:rFonts w:ascii="Times New Roman" w:hAnsi="Times New Roman"/>
          <w:i/>
          <w:iCs/>
        </w:rPr>
        <w:t>separate but equal</w:t>
      </w:r>
      <w:r w:rsidRPr="00497997">
        <w:rPr>
          <w:rFonts w:ascii="Times New Roman" w:hAnsi="Times New Roman"/>
        </w:rPr>
        <w:t xml:space="preserve">”, referendada pela Suprema Corte Americana em 1896 no julgamento do caso </w:t>
      </w:r>
      <w:r w:rsidRPr="00497997">
        <w:rPr>
          <w:rFonts w:ascii="Times New Roman" w:hAnsi="Times New Roman"/>
          <w:i/>
        </w:rPr>
        <w:t>Plessy v. Ferguson - 163 U.S. 537</w:t>
      </w:r>
      <w:r w:rsidRPr="00497997">
        <w:rPr>
          <w:rFonts w:ascii="Times New Roman" w:hAnsi="Times New Roman"/>
        </w:rPr>
        <w:t xml:space="preserve">, caso no qual decidiu que assentos diferenciados em transportes ferroviários não violariam a 14ª Emenda. Nesse contexto, práticas segregacionistas estariam acobertadas pelo entendimento da Suprema Corte, tais como as aplicadas em escolas públicas. Em 1865, foi ratificada a 13ª Emenda Constitucional norte-americana, </w:t>
      </w:r>
      <w:r w:rsidRPr="00BD4AFF">
        <w:rPr>
          <w:rFonts w:ascii="Times New Roman" w:hAnsi="Times New Roman"/>
        </w:rPr>
        <w:t>proclamando o fim da escravidão e da servidão involuntária, salvo como sanção criminal. Em 1868, foi aprovada a 14ª Emenda Constitucional norte-americana, prevendo que os Estados da federação não poderiam negar a nenhuma pessoa dentro de sua jurisdição a proteção igualitária das leis. Mas para garantir o distanciamento de pessoas negras recém-libertas, difundiu-se a doutrina “</w:t>
      </w:r>
      <w:r w:rsidRPr="00BD4AFF">
        <w:rPr>
          <w:rFonts w:ascii="Times New Roman" w:hAnsi="Times New Roman"/>
          <w:i/>
        </w:rPr>
        <w:t>separate but equal</w:t>
      </w:r>
      <w:r w:rsidRPr="00BD4AFF">
        <w:rPr>
          <w:rFonts w:ascii="Times New Roman" w:hAnsi="Times New Roman"/>
        </w:rPr>
        <w:t>” (separados, mas iguais), pelo que não seria necessário que negros e brancos dividissem os mesmos espaços, meios de transporte e demais serviços públicos, desde que fosse garantida igualdade de tratamento a ambas as raças.</w:t>
      </w:r>
    </w:p>
  </w:footnote>
  <w:footnote w:id="10">
    <w:p w14:paraId="4A2365BE" w14:textId="0B04187D" w:rsidR="002663BE" w:rsidRPr="00BD4AFF" w:rsidRDefault="002663BE" w:rsidP="001B799D">
      <w:pPr>
        <w:jc w:val="both"/>
        <w:rPr>
          <w:sz w:val="20"/>
          <w:szCs w:val="20"/>
        </w:rPr>
      </w:pPr>
      <w:r w:rsidRPr="00BD4AFF">
        <w:rPr>
          <w:rStyle w:val="Refdenotaderodap"/>
          <w:sz w:val="20"/>
          <w:szCs w:val="20"/>
        </w:rPr>
        <w:footnoteRef/>
      </w:r>
      <w:r w:rsidRPr="00BD4AFF">
        <w:rPr>
          <w:sz w:val="20"/>
          <w:szCs w:val="20"/>
        </w:rPr>
        <w:t xml:space="preserve"> Os processos tiveram longa tramitação. Nos processos de Carolina do Sul, Virginia e Delaware, o Judiciário averiguou que as condições das escolas para negros (currículos escolares, transporte público de ida e volta, treinamento de professores, planta dos prédios e atividades extracurriculares das escolas para crianças negras) eram inferiores aos das escolas para crianças brancas. No processo em Kansas, detectou-se igualdade nesses quesitos, passando-se a segregação escolar institucionalizada ao centro da discussão, no sentido de, por si só, criar condições de ensino e aprendizado inferiores às crianças negras.</w:t>
      </w:r>
    </w:p>
  </w:footnote>
  <w:footnote w:id="11">
    <w:p w14:paraId="4C261121" w14:textId="5638D81A" w:rsidR="002663BE" w:rsidRPr="00BD4AFF" w:rsidRDefault="002663BE" w:rsidP="001B799D">
      <w:pPr>
        <w:pStyle w:val="Textodenotaderodap"/>
        <w:jc w:val="both"/>
        <w:rPr>
          <w:lang w:val="pt-BR"/>
        </w:rPr>
      </w:pPr>
      <w:r w:rsidRPr="00BD4AFF">
        <w:rPr>
          <w:rStyle w:val="Refdenotaderodap"/>
          <w:rFonts w:ascii="Times New Roman" w:hAnsi="Times New Roman"/>
        </w:rPr>
        <w:footnoteRef/>
      </w:r>
      <w:r w:rsidRPr="00BD4AFF">
        <w:rPr>
          <w:rFonts w:ascii="Times New Roman" w:hAnsi="Times New Roman"/>
        </w:rPr>
        <w:t xml:space="preserve"> Nesse contexto, Owen Fiss destacou algumas das medidas que se fariam necessárias para fins de implementação do quanto decidido: </w:t>
      </w:r>
      <w:r w:rsidRPr="00BD4AFF">
        <w:rPr>
          <w:rFonts w:ascii="Times New Roman" w:hAnsi="Times New Roman"/>
          <w:i/>
        </w:rPr>
        <w:t>(a)</w:t>
      </w:r>
      <w:r w:rsidRPr="00BD4AFF">
        <w:rPr>
          <w:rFonts w:ascii="Times New Roman" w:hAnsi="Times New Roman"/>
        </w:rPr>
        <w:t xml:space="preserve"> novos procedimentos para a escolha dos alunos, </w:t>
      </w:r>
      <w:r w:rsidRPr="00BD4AFF">
        <w:rPr>
          <w:rFonts w:ascii="Times New Roman" w:hAnsi="Times New Roman"/>
          <w:i/>
        </w:rPr>
        <w:t>(b)</w:t>
      </w:r>
      <w:r w:rsidRPr="00BD4AFF">
        <w:rPr>
          <w:rFonts w:ascii="Times New Roman" w:hAnsi="Times New Roman"/>
        </w:rPr>
        <w:t xml:space="preserve"> novos critérios de construção de escolas, </w:t>
      </w:r>
      <w:r w:rsidRPr="00BD4AFF">
        <w:rPr>
          <w:rFonts w:ascii="Times New Roman" w:hAnsi="Times New Roman"/>
          <w:i/>
        </w:rPr>
        <w:t>(c)</w:t>
      </w:r>
      <w:r w:rsidRPr="00BD4AFF">
        <w:rPr>
          <w:rFonts w:ascii="Times New Roman" w:hAnsi="Times New Roman"/>
        </w:rPr>
        <w:t xml:space="preserve"> a substituição dos corpos docentes, </w:t>
      </w:r>
      <w:r w:rsidRPr="00BD4AFF">
        <w:rPr>
          <w:rFonts w:ascii="Times New Roman" w:hAnsi="Times New Roman"/>
          <w:i/>
        </w:rPr>
        <w:t>(d)</w:t>
      </w:r>
      <w:r w:rsidRPr="00BD4AFF">
        <w:rPr>
          <w:rFonts w:ascii="Times New Roman" w:hAnsi="Times New Roman"/>
        </w:rPr>
        <w:t xml:space="preserve"> a revisão do sistema de transporte público para acomodar novas rotas, </w:t>
      </w:r>
      <w:r w:rsidRPr="00BD4AFF">
        <w:rPr>
          <w:rFonts w:ascii="Times New Roman" w:hAnsi="Times New Roman"/>
          <w:i/>
        </w:rPr>
        <w:t>(e)</w:t>
      </w:r>
      <w:r w:rsidRPr="00BD4AFF">
        <w:rPr>
          <w:rFonts w:ascii="Times New Roman" w:hAnsi="Times New Roman"/>
        </w:rPr>
        <w:t xml:space="preserve"> nova alocação de recursos entre escolas e atividades, </w:t>
      </w:r>
      <w:r w:rsidRPr="00BD4AFF">
        <w:rPr>
          <w:rFonts w:ascii="Times New Roman" w:hAnsi="Times New Roman"/>
          <w:i/>
        </w:rPr>
        <w:t>(f)</w:t>
      </w:r>
      <w:r w:rsidRPr="00BD4AFF">
        <w:rPr>
          <w:rFonts w:ascii="Times New Roman" w:hAnsi="Times New Roman"/>
        </w:rPr>
        <w:t xml:space="preserve"> modificação do currículo, </w:t>
      </w:r>
      <w:r w:rsidRPr="00BD4AFF">
        <w:rPr>
          <w:rFonts w:ascii="Times New Roman" w:hAnsi="Times New Roman"/>
          <w:i/>
        </w:rPr>
        <w:t>(g)</w:t>
      </w:r>
      <w:r w:rsidRPr="00BD4AFF">
        <w:rPr>
          <w:rFonts w:ascii="Times New Roman" w:hAnsi="Times New Roman"/>
        </w:rPr>
        <w:t xml:space="preserve"> aumento de verbas e </w:t>
      </w:r>
      <w:r w:rsidRPr="00BD4AFF">
        <w:rPr>
          <w:rFonts w:ascii="Times New Roman" w:hAnsi="Times New Roman"/>
          <w:i/>
        </w:rPr>
        <w:t>(h)</w:t>
      </w:r>
      <w:r w:rsidRPr="00BD4AFF">
        <w:rPr>
          <w:rFonts w:ascii="Times New Roman" w:hAnsi="Times New Roman"/>
        </w:rPr>
        <w:t xml:space="preserve"> novos sistemas de informações para monitorar o desempenho da organização. FISS, Owen.</w:t>
      </w:r>
      <w:r w:rsidRPr="00BD4AFF">
        <w:rPr>
          <w:rFonts w:ascii="Times New Roman" w:hAnsi="Times New Roman"/>
          <w:i/>
        </w:rPr>
        <w:t xml:space="preserve"> Direito como Razão Pública.</w:t>
      </w:r>
      <w:r w:rsidRPr="00BD4AFF">
        <w:rPr>
          <w:rFonts w:ascii="Times New Roman" w:hAnsi="Times New Roman"/>
        </w:rPr>
        <w:t xml:space="preserve"> Processo, Jurisdição e Sociedade. Trad. Carlos Alberto de Salles (Coord.). Curitiba: Juruá Editora, 2017. p. 26.</w:t>
      </w:r>
    </w:p>
  </w:footnote>
  <w:footnote w:id="12">
    <w:p w14:paraId="52888236" w14:textId="14620499"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bookmarkStart w:id="8" w:name="_Hlk123935991"/>
      <w:r w:rsidRPr="00946FFB">
        <w:rPr>
          <w:rFonts w:ascii="Times New Roman" w:hAnsi="Times New Roman"/>
        </w:rPr>
        <w:t xml:space="preserve">GARCIA SOUZA, Fernando. </w:t>
      </w:r>
      <w:bookmarkEnd w:id="8"/>
      <w:r w:rsidRPr="00946FFB">
        <w:rPr>
          <w:rFonts w:ascii="Times New Roman" w:hAnsi="Times New Roman"/>
        </w:rPr>
        <w:t xml:space="preserve">Política educacional - Suprema Corte dos EUA - Caso </w:t>
      </w:r>
      <w:r w:rsidRPr="00946FFB">
        <w:rPr>
          <w:rFonts w:ascii="Times New Roman" w:hAnsi="Times New Roman"/>
          <w:i/>
          <w:iCs/>
        </w:rPr>
        <w:t>Brown v. Board of Education 347 U.S. 483 (1954)</w:t>
      </w:r>
      <w:r w:rsidRPr="00946FFB">
        <w:rPr>
          <w:rFonts w:ascii="Times New Roman" w:hAnsi="Times New Roman"/>
        </w:rPr>
        <w:t xml:space="preserve"> - Julgamento em 17 de maio de 1954. </w:t>
      </w:r>
      <w:r w:rsidRPr="00946FFB">
        <w:rPr>
          <w:rFonts w:ascii="Times New Roman" w:hAnsi="Times New Roman"/>
          <w:i/>
        </w:rPr>
        <w:t>In:</w:t>
      </w:r>
      <w:r w:rsidRPr="00946FFB">
        <w:rPr>
          <w:rFonts w:ascii="Times New Roman" w:hAnsi="Times New Roman"/>
        </w:rPr>
        <w:t xml:space="preserve"> GRINOVER, Ada Pellegrini; WATANABE, Kazuo; COSTA, Susana Henriques da. </w:t>
      </w:r>
      <w:r w:rsidRPr="00946FFB">
        <w:rPr>
          <w:rFonts w:ascii="Times New Roman" w:hAnsi="Times New Roman"/>
          <w:i/>
          <w:iCs/>
        </w:rPr>
        <w:t>O processo para solução de conflitos de interesse público</w:t>
      </w:r>
      <w:r w:rsidRPr="00946FFB">
        <w:rPr>
          <w:rFonts w:ascii="Times New Roman" w:hAnsi="Times New Roman"/>
        </w:rPr>
        <w:t>. Salvador: Juspodivm, 2017. p. 251-257, p. 251-254.</w:t>
      </w:r>
    </w:p>
  </w:footnote>
  <w:footnote w:id="13">
    <w:p w14:paraId="6837F5E1"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Na esteira da doutrina de Kazuo Watanabe, o art. 11 da LACP, ao dispor que o juiz determinará o cumprimento da prestação da atividade devida ou a cessação da atividade nociva, sob pena de execução específica, ou de cominação de multa diária, se suficiente ou compatível, equivaleria à </w:t>
      </w:r>
      <w:r w:rsidRPr="00946FFB">
        <w:rPr>
          <w:i/>
          <w:sz w:val="20"/>
          <w:szCs w:val="20"/>
        </w:rPr>
        <w:t>injunction</w:t>
      </w:r>
      <w:r w:rsidRPr="00946FFB">
        <w:rPr>
          <w:sz w:val="20"/>
          <w:szCs w:val="20"/>
        </w:rPr>
        <w:t xml:space="preserve"> do sistema da </w:t>
      </w:r>
      <w:r w:rsidRPr="00946FFB">
        <w:rPr>
          <w:i/>
          <w:iCs/>
          <w:sz w:val="20"/>
          <w:szCs w:val="20"/>
        </w:rPr>
        <w:t xml:space="preserve">common law </w:t>
      </w:r>
      <w:r w:rsidRPr="00946FFB">
        <w:rPr>
          <w:sz w:val="20"/>
          <w:szCs w:val="20"/>
        </w:rPr>
        <w:t xml:space="preserve">e à ação inibitória do direito italiano. WATANABE, Kazuo. Tutela antecipatória e tutela específica das obrigações de fazer e não fazer - arts. 273 e 461, CPC. </w:t>
      </w:r>
      <w:r w:rsidRPr="00946FFB">
        <w:rPr>
          <w:i/>
          <w:iCs/>
          <w:sz w:val="20"/>
          <w:szCs w:val="20"/>
        </w:rPr>
        <w:t>Revista de Direito do Consumidor,</w:t>
      </w:r>
      <w:r w:rsidRPr="00946FFB">
        <w:rPr>
          <w:sz w:val="20"/>
          <w:szCs w:val="20"/>
        </w:rPr>
        <w:t xml:space="preserve"> v. 19/1996, p. 77-101, jul./set. 1996. p. 80.</w:t>
      </w:r>
    </w:p>
  </w:footnote>
  <w:footnote w:id="14">
    <w:p w14:paraId="09CC2C8E"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r w:rsidRPr="00946FFB">
        <w:rPr>
          <w:rFonts w:ascii="Times New Roman" w:hAnsi="Times New Roman"/>
          <w:lang w:val="pt-BR"/>
        </w:rPr>
        <w:t xml:space="preserve">ZANETI JUNIOR, Hermes. A teoria da separação de poderes e o Estado Democrático Constitucional: </w:t>
      </w:r>
      <w:r w:rsidRPr="00946FFB">
        <w:rPr>
          <w:rFonts w:ascii="Times New Roman" w:hAnsi="Times New Roman"/>
        </w:rPr>
        <w:t xml:space="preserve">Funções de governo e funções de garantia. </w:t>
      </w:r>
      <w:r w:rsidRPr="00946FFB">
        <w:rPr>
          <w:rFonts w:ascii="Times New Roman" w:hAnsi="Times New Roman"/>
          <w:i/>
        </w:rPr>
        <w:t>In:</w:t>
      </w:r>
      <w:r w:rsidRPr="00946FFB">
        <w:rPr>
          <w:rFonts w:ascii="Times New Roman" w:hAnsi="Times New Roman"/>
          <w:lang w:val="pt-BR"/>
        </w:rPr>
        <w:t xml:space="preserve"> </w:t>
      </w:r>
      <w:r w:rsidRPr="00946FFB">
        <w:rPr>
          <w:rFonts w:ascii="Times New Roman" w:hAnsi="Times New Roman"/>
        </w:rPr>
        <w:t xml:space="preserve">GRINOVER, Ada Pellegrini; WATANABE, Kazuo </w:t>
      </w:r>
      <w:r w:rsidRPr="00946FFB">
        <w:rPr>
          <w:rFonts w:ascii="Times New Roman" w:hAnsi="Times New Roman"/>
          <w:lang w:val="pt-BR"/>
        </w:rPr>
        <w:t>(</w:t>
      </w:r>
      <w:r w:rsidRPr="00946FFB">
        <w:rPr>
          <w:rFonts w:ascii="Times New Roman" w:hAnsi="Times New Roman"/>
        </w:rPr>
        <w:t>Coord</w:t>
      </w:r>
      <w:r w:rsidRPr="00946FFB">
        <w:rPr>
          <w:rFonts w:ascii="Times New Roman" w:hAnsi="Times New Roman"/>
          <w:lang w:val="pt-BR"/>
        </w:rPr>
        <w:t>s</w:t>
      </w:r>
      <w:r w:rsidRPr="00946FFB">
        <w:rPr>
          <w:rFonts w:ascii="Times New Roman" w:hAnsi="Times New Roman"/>
        </w:rPr>
        <w:t>.</w:t>
      </w:r>
      <w:r w:rsidRPr="00946FFB">
        <w:rPr>
          <w:rFonts w:ascii="Times New Roman" w:hAnsi="Times New Roman"/>
          <w:lang w:val="pt-BR"/>
        </w:rPr>
        <w:t>)</w:t>
      </w:r>
      <w:r w:rsidRPr="00946FFB">
        <w:rPr>
          <w:rFonts w:ascii="Times New Roman" w:hAnsi="Times New Roman"/>
        </w:rPr>
        <w:t xml:space="preserve">. </w:t>
      </w:r>
      <w:r w:rsidRPr="00946FFB">
        <w:rPr>
          <w:rFonts w:ascii="Times New Roman" w:hAnsi="Times New Roman"/>
          <w:i/>
          <w:iCs/>
        </w:rPr>
        <w:t xml:space="preserve">O </w:t>
      </w:r>
      <w:r w:rsidRPr="00946FFB">
        <w:rPr>
          <w:rFonts w:ascii="Times New Roman" w:hAnsi="Times New Roman"/>
          <w:i/>
          <w:iCs/>
          <w:lang w:val="pt-BR"/>
        </w:rPr>
        <w:t>c</w:t>
      </w:r>
      <w:r w:rsidRPr="00946FFB">
        <w:rPr>
          <w:rFonts w:ascii="Times New Roman" w:hAnsi="Times New Roman"/>
          <w:i/>
          <w:iCs/>
        </w:rPr>
        <w:t xml:space="preserve">ontrole </w:t>
      </w:r>
      <w:r w:rsidRPr="00946FFB">
        <w:rPr>
          <w:rFonts w:ascii="Times New Roman" w:hAnsi="Times New Roman"/>
          <w:i/>
          <w:iCs/>
          <w:lang w:val="pt-BR"/>
        </w:rPr>
        <w:t>j</w:t>
      </w:r>
      <w:r w:rsidRPr="00946FFB">
        <w:rPr>
          <w:rFonts w:ascii="Times New Roman" w:hAnsi="Times New Roman"/>
          <w:i/>
          <w:iCs/>
        </w:rPr>
        <w:t xml:space="preserve">urisdicional de </w:t>
      </w:r>
      <w:r w:rsidRPr="00946FFB">
        <w:rPr>
          <w:rFonts w:ascii="Times New Roman" w:hAnsi="Times New Roman"/>
          <w:i/>
          <w:iCs/>
          <w:lang w:val="pt-BR"/>
        </w:rPr>
        <w:t>p</w:t>
      </w:r>
      <w:r w:rsidRPr="00946FFB">
        <w:rPr>
          <w:rFonts w:ascii="Times New Roman" w:hAnsi="Times New Roman"/>
          <w:i/>
          <w:iCs/>
        </w:rPr>
        <w:t>olíticas públicas.</w:t>
      </w:r>
      <w:r w:rsidRPr="00946FFB">
        <w:rPr>
          <w:rFonts w:ascii="Times New Roman" w:hAnsi="Times New Roman"/>
        </w:rPr>
        <w:t xml:space="preserve"> Rio de Janeiro: Forense, </w:t>
      </w:r>
      <w:r w:rsidRPr="00946FFB">
        <w:rPr>
          <w:rFonts w:ascii="Times New Roman" w:hAnsi="Times New Roman"/>
          <w:lang w:val="pt-BR"/>
        </w:rPr>
        <w:t>2013. p. 33-72. p. 59.</w:t>
      </w:r>
    </w:p>
  </w:footnote>
  <w:footnote w:id="15">
    <w:p w14:paraId="1B921F0D"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GRINOVER, Ada Pellegrini. Caminhos e descaminhos do controle jurisdicional de políticas públicas no Brasil. </w:t>
      </w:r>
      <w:r w:rsidRPr="00946FFB">
        <w:rPr>
          <w:i/>
          <w:sz w:val="20"/>
          <w:szCs w:val="20"/>
        </w:rPr>
        <w:t>In:</w:t>
      </w:r>
      <w:r w:rsidRPr="00946FFB">
        <w:rPr>
          <w:sz w:val="20"/>
          <w:szCs w:val="20"/>
        </w:rPr>
        <w:t xml:space="preserve"> GRINOVER, Ada Pellegrini; WATANABE, Kazuo; COSTA, Susana Henriques da. </w:t>
      </w:r>
      <w:r w:rsidRPr="00946FFB">
        <w:rPr>
          <w:i/>
          <w:sz w:val="20"/>
          <w:szCs w:val="20"/>
        </w:rPr>
        <w:t xml:space="preserve">O processo para solução de conflitos de interesse público. </w:t>
      </w:r>
      <w:r w:rsidRPr="00946FFB">
        <w:rPr>
          <w:sz w:val="20"/>
          <w:szCs w:val="20"/>
        </w:rPr>
        <w:t>Salvador: Juspodivm, 2017. p. 423-448, p. 436-438.</w:t>
      </w:r>
    </w:p>
  </w:footnote>
  <w:footnote w:id="16">
    <w:p w14:paraId="42BE16F6" w14:textId="77777777" w:rsidR="002663BE" w:rsidRPr="00946FFB" w:rsidRDefault="002663BE" w:rsidP="001B799D">
      <w:pPr>
        <w:jc w:val="both"/>
        <w:rPr>
          <w:i/>
          <w:sz w:val="20"/>
          <w:szCs w:val="20"/>
        </w:rPr>
      </w:pPr>
      <w:r w:rsidRPr="00946FFB">
        <w:rPr>
          <w:sz w:val="20"/>
          <w:szCs w:val="20"/>
          <w:vertAlign w:val="superscript"/>
        </w:rPr>
        <w:footnoteRef/>
      </w:r>
      <w:r w:rsidRPr="00946FFB">
        <w:rPr>
          <w:sz w:val="20"/>
          <w:szCs w:val="20"/>
        </w:rPr>
        <w:t xml:space="preserve"> Também chamadas na doutrina norte-americana de </w:t>
      </w:r>
      <w:r w:rsidRPr="00946FFB">
        <w:rPr>
          <w:i/>
          <w:sz w:val="20"/>
          <w:szCs w:val="20"/>
        </w:rPr>
        <w:t>prophylactic injunction</w:t>
      </w:r>
      <w:r w:rsidRPr="00946FFB">
        <w:rPr>
          <w:sz w:val="20"/>
          <w:szCs w:val="20"/>
        </w:rPr>
        <w:t xml:space="preserve"> e de </w:t>
      </w:r>
      <w:r w:rsidRPr="00946FFB">
        <w:rPr>
          <w:i/>
          <w:sz w:val="20"/>
          <w:szCs w:val="20"/>
        </w:rPr>
        <w:t>institutional remedies.</w:t>
      </w:r>
    </w:p>
  </w:footnote>
  <w:footnote w:id="17">
    <w:p w14:paraId="1183A733"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r w:rsidRPr="00946FFB">
        <w:rPr>
          <w:rFonts w:ascii="Times New Roman" w:hAnsi="Times New Roman"/>
          <w:lang w:val="pt-BR"/>
        </w:rPr>
        <w:t>“Reforma estrutural” é uma expressão proposta por Owen Fiss que alude a essa nova faceta do ativismo judicial, por meio da qual se reformulam diversas estruturas de instituições sociais (escolas, presídiso, hospitais psiquiátricos), em razão do que o processo passou a ser organizado de uma forma diferenciada.</w:t>
      </w:r>
    </w:p>
  </w:footnote>
  <w:footnote w:id="18">
    <w:p w14:paraId="02B1FC1D" w14:textId="77777777" w:rsidR="002663BE" w:rsidRPr="00946FFB" w:rsidRDefault="002663BE" w:rsidP="001B799D">
      <w:pPr>
        <w:jc w:val="both"/>
        <w:rPr>
          <w:i/>
          <w:sz w:val="20"/>
          <w:szCs w:val="20"/>
          <w:lang w:val="en-US"/>
        </w:rPr>
      </w:pPr>
      <w:r w:rsidRPr="00946FFB">
        <w:rPr>
          <w:sz w:val="20"/>
          <w:szCs w:val="20"/>
          <w:vertAlign w:val="superscript"/>
        </w:rPr>
        <w:footnoteRef/>
      </w:r>
      <w:r w:rsidRPr="00946FFB">
        <w:rPr>
          <w:sz w:val="20"/>
          <w:szCs w:val="20"/>
          <w:lang w:val="en-US"/>
        </w:rPr>
        <w:t xml:space="preserve"> “The formal medium through which the judiciary seeks to reorganize ongoing bureaucratic organizations so as to bring them into conformity with the Constitution”. FISS, Owen. “The allure of individualismo”. </w:t>
      </w:r>
      <w:r w:rsidRPr="00946FFB">
        <w:rPr>
          <w:i/>
          <w:sz w:val="20"/>
          <w:szCs w:val="20"/>
          <w:lang w:val="en-US"/>
        </w:rPr>
        <w:t>Iowa</w:t>
      </w:r>
    </w:p>
    <w:p w14:paraId="01219AF0" w14:textId="77777777" w:rsidR="002663BE" w:rsidRPr="00946FFB" w:rsidRDefault="002663BE" w:rsidP="001B799D">
      <w:pPr>
        <w:jc w:val="both"/>
        <w:rPr>
          <w:sz w:val="20"/>
          <w:szCs w:val="20"/>
          <w:lang w:val="en-US"/>
        </w:rPr>
      </w:pPr>
      <w:r w:rsidRPr="00946FFB">
        <w:rPr>
          <w:i/>
          <w:sz w:val="20"/>
          <w:szCs w:val="20"/>
          <w:lang w:val="en-US"/>
        </w:rPr>
        <w:t>Law Review,</w:t>
      </w:r>
      <w:r w:rsidRPr="00946FFB">
        <w:rPr>
          <w:sz w:val="20"/>
          <w:szCs w:val="20"/>
          <w:lang w:val="en-US"/>
        </w:rPr>
        <w:t xml:space="preserve"> v. 78, n. 5, p. 965-979, 1993, p. 965.</w:t>
      </w:r>
    </w:p>
  </w:footnote>
  <w:footnote w:id="19">
    <w:p w14:paraId="014197B9"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lang w:val="en-US"/>
        </w:rPr>
        <w:t xml:space="preserve"> </w:t>
      </w:r>
      <w:r w:rsidRPr="00946FFB">
        <w:rPr>
          <w:rFonts w:eastAsia="Calibri"/>
          <w:sz w:val="20"/>
          <w:szCs w:val="20"/>
          <w:lang w:val="en-US"/>
        </w:rPr>
        <w:t xml:space="preserve">Id., Two models of adjudication. </w:t>
      </w:r>
      <w:r w:rsidRPr="00946FFB">
        <w:rPr>
          <w:rFonts w:eastAsia="Calibri"/>
          <w:i/>
          <w:sz w:val="20"/>
          <w:szCs w:val="20"/>
        </w:rPr>
        <w:t>In:</w:t>
      </w:r>
      <w:r w:rsidRPr="00946FFB">
        <w:rPr>
          <w:rFonts w:eastAsia="Calibri"/>
          <w:sz w:val="20"/>
          <w:szCs w:val="20"/>
        </w:rPr>
        <w:t xml:space="preserve"> DIDIER JUNIOR, Fredie; JORDÃO, Eduardo Ferreira</w:t>
      </w:r>
      <w:r w:rsidRPr="00946FFB">
        <w:rPr>
          <w:i/>
          <w:sz w:val="20"/>
          <w:szCs w:val="20"/>
        </w:rPr>
        <w:t xml:space="preserve">. Teoria do processo: </w:t>
      </w:r>
      <w:r w:rsidRPr="00946FFB">
        <w:rPr>
          <w:sz w:val="20"/>
          <w:szCs w:val="20"/>
        </w:rPr>
        <w:t>panorama doutrinário mundial. Salvador: Juspodivm, 2008. p. 761-768, p. 761-764.</w:t>
      </w:r>
    </w:p>
  </w:footnote>
  <w:footnote w:id="20">
    <w:p w14:paraId="4C6656F6"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VITORELLI, Edilson. Levando os conceitos a sério: processo estrutural, processo coletivo, processo estratégico e suas diferenças. </w:t>
      </w:r>
      <w:r w:rsidRPr="00946FFB">
        <w:rPr>
          <w:i/>
          <w:sz w:val="20"/>
          <w:szCs w:val="20"/>
        </w:rPr>
        <w:t>Revista de Processo</w:t>
      </w:r>
      <w:r w:rsidRPr="00946FFB">
        <w:rPr>
          <w:sz w:val="20"/>
          <w:szCs w:val="20"/>
        </w:rPr>
        <w:t>, v. 284, p. 333-369, out. 2018, p. 340.</w:t>
      </w:r>
    </w:p>
  </w:footnote>
  <w:footnote w:id="21">
    <w:p w14:paraId="0D230261"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Litígios estruturais também são denominados de coletivos, sistêmicos, estratégicos, de interesse público, dentre outros.</w:t>
      </w:r>
    </w:p>
  </w:footnote>
  <w:footnote w:id="22">
    <w:p w14:paraId="25B21EBE"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DIDIER JUNIOR, Fredie; ZANETI JUNIOR, Hermes; ALEXANDRIA DE OLIVEIRA, Rafael. Elementos para uma teoria do processo estrutural aplicada ao processo civil brasileiro. </w:t>
      </w:r>
      <w:r w:rsidRPr="00946FFB">
        <w:rPr>
          <w:i/>
          <w:sz w:val="20"/>
          <w:szCs w:val="20"/>
        </w:rPr>
        <w:t>Revista de Processo</w:t>
      </w:r>
      <w:r w:rsidRPr="00946FFB">
        <w:rPr>
          <w:sz w:val="20"/>
          <w:szCs w:val="20"/>
        </w:rPr>
        <w:t>, v. 303, p. 45-81, mai. 2020, p. 48-49.</w:t>
      </w:r>
    </w:p>
  </w:footnote>
  <w:footnote w:id="23">
    <w:p w14:paraId="46E360F5"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w:t>
      </w:r>
      <w:bookmarkStart w:id="10" w:name="_Hlk123935949"/>
      <w:r w:rsidRPr="00946FFB">
        <w:rPr>
          <w:sz w:val="20"/>
          <w:szCs w:val="20"/>
        </w:rPr>
        <w:t xml:space="preserve">NUNES, Leonardo Silva; COTA, Samuel Paiva; CARVALHO FARIA, Ana Maria Damasceno de. </w:t>
      </w:r>
      <w:bookmarkEnd w:id="10"/>
      <w:r w:rsidRPr="00946FFB">
        <w:rPr>
          <w:sz w:val="20"/>
          <w:szCs w:val="20"/>
        </w:rPr>
        <w:t xml:space="preserve">Dos litígios aos processos estruturais: pressupostos e fundamentos. </w:t>
      </w:r>
      <w:r w:rsidRPr="00946FFB">
        <w:rPr>
          <w:i/>
          <w:sz w:val="20"/>
          <w:szCs w:val="20"/>
        </w:rPr>
        <w:t>In:</w:t>
      </w:r>
      <w:r w:rsidRPr="00946FFB">
        <w:rPr>
          <w:sz w:val="20"/>
          <w:szCs w:val="20"/>
        </w:rPr>
        <w:t xml:space="preserve"> FARIA, Juliana Cordeiro; REZENDE, Ester Camila Gomes Norato; MARX NETO, Edgard Audomar. </w:t>
      </w:r>
      <w:r w:rsidRPr="00946FFB">
        <w:rPr>
          <w:i/>
          <w:sz w:val="20"/>
          <w:szCs w:val="20"/>
        </w:rPr>
        <w:t xml:space="preserve">Novas tendências. Diálogos entre direito material e processo </w:t>
      </w:r>
      <w:r w:rsidRPr="00946FFB">
        <w:rPr>
          <w:sz w:val="20"/>
          <w:szCs w:val="20"/>
        </w:rPr>
        <w:t>- Estudos em homenagem ao professor Humberto Theodoro Júnior. Belo Horizonte: Editora D’Plácido, 2018. p. 365-383. p. 367-368.</w:t>
      </w:r>
    </w:p>
  </w:footnote>
  <w:footnote w:id="24">
    <w:p w14:paraId="1C0B618F"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VITORELLI, Edilson. Levando os conceitos a sério: processo estrutural, processo coletivo, processo estratégico e suas diferenças. </w:t>
      </w:r>
      <w:r w:rsidRPr="00946FFB">
        <w:rPr>
          <w:i/>
          <w:sz w:val="20"/>
          <w:szCs w:val="20"/>
        </w:rPr>
        <w:t>Revista de Processo</w:t>
      </w:r>
      <w:r w:rsidRPr="00946FFB">
        <w:rPr>
          <w:sz w:val="20"/>
          <w:szCs w:val="20"/>
        </w:rPr>
        <w:t>, v. 284, p. 333-369, out. 2018, p. 340.</w:t>
      </w:r>
    </w:p>
  </w:footnote>
  <w:footnote w:id="25">
    <w:p w14:paraId="7BAA7A85"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Ibid., p. 341.</w:t>
      </w:r>
    </w:p>
  </w:footnote>
  <w:footnote w:id="26">
    <w:p w14:paraId="1EBDEC28"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r w:rsidRPr="00946FFB">
        <w:rPr>
          <w:rFonts w:ascii="Times New Roman" w:hAnsi="Times New Roman"/>
          <w:lang w:val="pt-BR"/>
        </w:rPr>
        <w:t xml:space="preserve">VITORELLI, Edilson. </w:t>
      </w:r>
      <w:r w:rsidRPr="00946FFB">
        <w:rPr>
          <w:rFonts w:ascii="Times New Roman" w:hAnsi="Times New Roman"/>
          <w:i/>
          <w:iCs/>
          <w:lang w:val="pt-BR"/>
        </w:rPr>
        <w:t xml:space="preserve">Processo civil estrutural: </w:t>
      </w:r>
      <w:r w:rsidRPr="00946FFB">
        <w:rPr>
          <w:rFonts w:ascii="Times New Roman" w:hAnsi="Times New Roman"/>
          <w:lang w:val="pt-BR"/>
        </w:rPr>
        <w:t>teoria e prática. 2. ed. Salvador: Juspodivm, 2021. p. 65.</w:t>
      </w:r>
    </w:p>
  </w:footnote>
  <w:footnote w:id="27">
    <w:p w14:paraId="201903D4"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FISS, Owen. </w:t>
      </w:r>
      <w:r w:rsidRPr="00946FFB">
        <w:rPr>
          <w:i/>
          <w:sz w:val="20"/>
          <w:szCs w:val="20"/>
        </w:rPr>
        <w:t>Direito como Razão Pública.</w:t>
      </w:r>
      <w:r w:rsidRPr="00946FFB">
        <w:rPr>
          <w:sz w:val="20"/>
          <w:szCs w:val="20"/>
        </w:rPr>
        <w:t xml:space="preserve"> Processo, Jurisdição e Sociedade. Trad. Carlos Alberto de Salles (Coord.). Curitiba: Juruá Editora, 2017. p. 25.</w:t>
      </w:r>
    </w:p>
  </w:footnote>
  <w:footnote w:id="28">
    <w:p w14:paraId="7AB4ADFC"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w:t>
      </w:r>
      <w:bookmarkStart w:id="11" w:name="_Hlk123936039"/>
      <w:r w:rsidRPr="00946FFB">
        <w:rPr>
          <w:sz w:val="20"/>
          <w:szCs w:val="20"/>
        </w:rPr>
        <w:t xml:space="preserve">BAUERMANN, Desirê. </w:t>
      </w:r>
      <w:bookmarkEnd w:id="11"/>
      <w:r w:rsidRPr="00946FFB">
        <w:rPr>
          <w:i/>
          <w:sz w:val="20"/>
          <w:szCs w:val="20"/>
        </w:rPr>
        <w:t>Structural injunctions</w:t>
      </w:r>
      <w:r w:rsidRPr="00946FFB">
        <w:rPr>
          <w:sz w:val="20"/>
          <w:szCs w:val="20"/>
        </w:rPr>
        <w:t xml:space="preserve"> no direito norte americano. </w:t>
      </w:r>
      <w:r w:rsidRPr="00946FFB">
        <w:rPr>
          <w:i/>
          <w:sz w:val="20"/>
          <w:szCs w:val="20"/>
        </w:rPr>
        <w:t>In:</w:t>
      </w:r>
      <w:r w:rsidRPr="00946FFB">
        <w:rPr>
          <w:sz w:val="20"/>
          <w:szCs w:val="20"/>
        </w:rPr>
        <w:t xml:space="preserve"> ARENHART, Sérgio Cruz; JOBIM, Marco Félix (Orgs.). </w:t>
      </w:r>
      <w:r w:rsidRPr="00946FFB">
        <w:rPr>
          <w:i/>
          <w:sz w:val="20"/>
          <w:szCs w:val="20"/>
        </w:rPr>
        <w:t>Processos Estruturais</w:t>
      </w:r>
      <w:r w:rsidRPr="00946FFB">
        <w:rPr>
          <w:sz w:val="20"/>
          <w:szCs w:val="20"/>
        </w:rPr>
        <w:t>. Salvador: Juspodivm, 2021. p. 305-327, p. 311.</w:t>
      </w:r>
    </w:p>
  </w:footnote>
  <w:footnote w:id="29">
    <w:p w14:paraId="008391D0"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FISS, Owen. </w:t>
      </w:r>
      <w:r w:rsidRPr="00946FFB">
        <w:rPr>
          <w:i/>
          <w:sz w:val="20"/>
          <w:szCs w:val="20"/>
        </w:rPr>
        <w:t>Um novo processo civil</w:t>
      </w:r>
      <w:r w:rsidRPr="00946FFB">
        <w:rPr>
          <w:sz w:val="20"/>
          <w:szCs w:val="20"/>
        </w:rPr>
        <w:t>: estudos norte-americanos sobre jurisdição, constituição e sociedade. Trad. por Daniel Porto Godinho da Silva e Melina de Medeiros Rós. Coord. por Carlos Alberto de Salles. São Paulo: Revista dos Tribunais, 2004. p. 94.</w:t>
      </w:r>
    </w:p>
  </w:footnote>
  <w:footnote w:id="30">
    <w:p w14:paraId="0A5C8EEF" w14:textId="5BC0E631" w:rsidR="002663BE" w:rsidRPr="00463AC8" w:rsidRDefault="002663BE" w:rsidP="001B799D">
      <w:pPr>
        <w:jc w:val="both"/>
        <w:rPr>
          <w:sz w:val="20"/>
          <w:szCs w:val="20"/>
        </w:rPr>
      </w:pPr>
      <w:r w:rsidRPr="00946FFB">
        <w:rPr>
          <w:sz w:val="20"/>
          <w:szCs w:val="20"/>
          <w:vertAlign w:val="superscript"/>
        </w:rPr>
        <w:footnoteRef/>
      </w:r>
      <w:r w:rsidRPr="00946FFB">
        <w:rPr>
          <w:sz w:val="20"/>
          <w:szCs w:val="20"/>
        </w:rPr>
        <w:t xml:space="preserve"> FONSECA COSTA, Eduardo José da. </w:t>
      </w:r>
      <w:r w:rsidRPr="00946FFB">
        <w:rPr>
          <w:sz w:val="20"/>
          <w:szCs w:val="20"/>
          <w:highlight w:val="white"/>
        </w:rPr>
        <w:t xml:space="preserve">A "execução negociada" de políticas públicas em juízo. </w:t>
      </w:r>
      <w:r w:rsidRPr="00946FFB">
        <w:rPr>
          <w:i/>
          <w:sz w:val="20"/>
          <w:szCs w:val="20"/>
        </w:rPr>
        <w:t xml:space="preserve">Revista do Ministério Público do </w:t>
      </w:r>
      <w:r w:rsidRPr="00463AC8">
        <w:rPr>
          <w:i/>
          <w:sz w:val="20"/>
          <w:szCs w:val="20"/>
        </w:rPr>
        <w:t>Rio de Janeiro,</w:t>
      </w:r>
      <w:r w:rsidRPr="00463AC8">
        <w:rPr>
          <w:sz w:val="20"/>
          <w:szCs w:val="20"/>
        </w:rPr>
        <w:t xml:space="preserve"> n</w:t>
      </w:r>
      <w:r w:rsidRPr="00463AC8">
        <w:rPr>
          <w:sz w:val="20"/>
          <w:szCs w:val="20"/>
          <w:lang w:val="pt-BR"/>
        </w:rPr>
        <w:t>.</w:t>
      </w:r>
      <w:r w:rsidRPr="00463AC8">
        <w:rPr>
          <w:sz w:val="20"/>
          <w:szCs w:val="20"/>
        </w:rPr>
        <w:t xml:space="preserve"> 59, p. 109-136, jan./mar. 2016, </w:t>
      </w:r>
      <w:r w:rsidRPr="00463AC8">
        <w:rPr>
          <w:sz w:val="20"/>
          <w:szCs w:val="20"/>
          <w:lang w:val="pt-BR"/>
        </w:rPr>
        <w:t>p. 109</w:t>
      </w:r>
      <w:r w:rsidRPr="00463AC8">
        <w:rPr>
          <w:sz w:val="20"/>
          <w:szCs w:val="20"/>
        </w:rPr>
        <w:t>. Disponível em:</w:t>
      </w:r>
      <w:hyperlink r:id="rId2">
        <w:r w:rsidRPr="00463AC8">
          <w:rPr>
            <w:sz w:val="20"/>
            <w:szCs w:val="20"/>
          </w:rPr>
          <w:t xml:space="preserve"> </w:t>
        </w:r>
      </w:hyperlink>
      <w:r w:rsidRPr="00463AC8">
        <w:rPr>
          <w:sz w:val="20"/>
          <w:szCs w:val="20"/>
        </w:rPr>
        <w:t xml:space="preserve"> </w:t>
      </w:r>
      <w:hyperlink r:id="rId3" w:history="1">
        <w:r w:rsidRPr="00463AC8">
          <w:rPr>
            <w:rStyle w:val="Hyperlink"/>
            <w:sz w:val="20"/>
            <w:szCs w:val="20"/>
          </w:rPr>
          <w:t>https://bit.ly/3Xfaqgq</w:t>
        </w:r>
      </w:hyperlink>
      <w:r w:rsidRPr="00463AC8">
        <w:rPr>
          <w:sz w:val="20"/>
          <w:szCs w:val="20"/>
        </w:rPr>
        <w:t>. Acesso em: 1</w:t>
      </w:r>
      <w:r>
        <w:rPr>
          <w:sz w:val="20"/>
          <w:szCs w:val="20"/>
        </w:rPr>
        <w:t>4</w:t>
      </w:r>
      <w:r w:rsidRPr="00463AC8">
        <w:rPr>
          <w:sz w:val="20"/>
          <w:szCs w:val="20"/>
        </w:rPr>
        <w:t xml:space="preserve"> </w:t>
      </w:r>
      <w:r>
        <w:rPr>
          <w:sz w:val="20"/>
          <w:szCs w:val="20"/>
        </w:rPr>
        <w:t>ago</w:t>
      </w:r>
      <w:r w:rsidRPr="00463AC8">
        <w:rPr>
          <w:sz w:val="20"/>
          <w:szCs w:val="20"/>
        </w:rPr>
        <w:t>. 202</w:t>
      </w:r>
      <w:r>
        <w:rPr>
          <w:sz w:val="20"/>
          <w:szCs w:val="20"/>
        </w:rPr>
        <w:t>3</w:t>
      </w:r>
      <w:r w:rsidRPr="00463AC8">
        <w:rPr>
          <w:sz w:val="20"/>
          <w:szCs w:val="20"/>
        </w:rPr>
        <w:t>.</w:t>
      </w:r>
    </w:p>
  </w:footnote>
  <w:footnote w:id="31">
    <w:p w14:paraId="11FFF223" w14:textId="1527657F" w:rsidR="002663BE" w:rsidRPr="00463AC8" w:rsidRDefault="002663BE" w:rsidP="001B799D">
      <w:pPr>
        <w:pStyle w:val="Textodenotaderodap"/>
        <w:jc w:val="both"/>
        <w:rPr>
          <w:rFonts w:ascii="Times New Roman" w:hAnsi="Times New Roman"/>
          <w:lang w:val="pt-BR"/>
        </w:rPr>
      </w:pPr>
      <w:r w:rsidRPr="00463AC8">
        <w:rPr>
          <w:rStyle w:val="Refdenotaderodap"/>
          <w:rFonts w:ascii="Times New Roman" w:hAnsi="Times New Roman"/>
        </w:rPr>
        <w:footnoteRef/>
      </w:r>
      <w:r w:rsidRPr="00463AC8">
        <w:rPr>
          <w:rFonts w:ascii="Times New Roman" w:hAnsi="Times New Roman"/>
        </w:rPr>
        <w:t xml:space="preserve"> </w:t>
      </w:r>
      <w:r w:rsidRPr="00463AC8">
        <w:rPr>
          <w:rFonts w:ascii="Times New Roman" w:hAnsi="Times New Roman"/>
          <w:lang w:val="pt-BR"/>
        </w:rPr>
        <w:t>Há</w:t>
      </w:r>
      <w:r w:rsidRPr="00463AC8">
        <w:rPr>
          <w:rFonts w:ascii="Times New Roman" w:hAnsi="Times New Roman"/>
        </w:rPr>
        <w:t xml:space="preserve"> previsões </w:t>
      </w:r>
      <w:r w:rsidRPr="00463AC8">
        <w:rPr>
          <w:rFonts w:ascii="Times New Roman" w:hAnsi="Times New Roman"/>
          <w:lang w:val="pt-BR"/>
        </w:rPr>
        <w:t xml:space="preserve">a este respeito </w:t>
      </w:r>
      <w:r w:rsidRPr="00463AC8">
        <w:rPr>
          <w:rFonts w:ascii="Times New Roman" w:hAnsi="Times New Roman"/>
        </w:rPr>
        <w:t>nos Projetos de Lei sobre a ação civil pública, como o art. 36 do PL nº 4.441/20 que, ao prever a convenção quanto ao direito material, exige que seja escrita e que contenha os deveres, as obrigações e os ônus assumidos, o prazo e o modo de seu cumprimento, a forma de fiscalização, os fundamentos de fato e de direito, e a previsão de medidas para seu cumprimento.</w:t>
      </w:r>
    </w:p>
  </w:footnote>
  <w:footnote w:id="32">
    <w:p w14:paraId="28667691" w14:textId="77777777" w:rsidR="002663BE" w:rsidRPr="00946FFB" w:rsidRDefault="002663BE" w:rsidP="001B799D">
      <w:pPr>
        <w:pStyle w:val="Textodenotaderodap"/>
        <w:jc w:val="both"/>
        <w:rPr>
          <w:rFonts w:ascii="Times New Roman" w:hAnsi="Times New Roman"/>
          <w:lang w:val="pt-BR"/>
        </w:rPr>
      </w:pPr>
      <w:r w:rsidRPr="00463AC8">
        <w:rPr>
          <w:rStyle w:val="Refdenotaderodap"/>
          <w:rFonts w:ascii="Times New Roman" w:hAnsi="Times New Roman"/>
        </w:rPr>
        <w:footnoteRef/>
      </w:r>
      <w:r w:rsidRPr="00463AC8">
        <w:rPr>
          <w:rFonts w:ascii="Times New Roman" w:hAnsi="Times New Roman"/>
        </w:rPr>
        <w:t xml:space="preserve"> </w:t>
      </w:r>
      <w:r w:rsidRPr="00463AC8">
        <w:rPr>
          <w:rFonts w:ascii="Times New Roman" w:hAnsi="Times New Roman"/>
          <w:lang w:val="pt-BR"/>
        </w:rPr>
        <w:t xml:space="preserve">MARÇAL, Felipe Barreto. </w:t>
      </w:r>
      <w:r w:rsidRPr="00463AC8">
        <w:rPr>
          <w:rFonts w:ascii="Times New Roman" w:hAnsi="Times New Roman"/>
          <w:i/>
          <w:iCs/>
          <w:lang w:val="pt-BR"/>
        </w:rPr>
        <w:t>Processos</w:t>
      </w:r>
      <w:r w:rsidRPr="00946FFB">
        <w:rPr>
          <w:rFonts w:ascii="Times New Roman" w:hAnsi="Times New Roman"/>
          <w:i/>
          <w:iCs/>
          <w:lang w:val="pt-BR"/>
        </w:rPr>
        <w:t xml:space="preserve"> estruturantes</w:t>
      </w:r>
      <w:r w:rsidRPr="00946FFB">
        <w:rPr>
          <w:rFonts w:ascii="Times New Roman" w:hAnsi="Times New Roman"/>
          <w:lang w:val="pt-BR"/>
        </w:rPr>
        <w:t>. Salvador: Juspodivm, 2021. p. 152.</w:t>
      </w:r>
    </w:p>
  </w:footnote>
  <w:footnote w:id="33">
    <w:p w14:paraId="7DDF60E7"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r w:rsidRPr="00946FFB">
        <w:rPr>
          <w:rFonts w:ascii="Times New Roman" w:hAnsi="Times New Roman"/>
          <w:lang w:val="pt-BR"/>
        </w:rPr>
        <w:t xml:space="preserve">ARENHART, Sérgio Cruz; MARINONI, Luiz Guilherme. A proteção ressarcitória de danos coletivos e o devido processo legal: a experiência brasileira. </w:t>
      </w:r>
      <w:r w:rsidRPr="00946FFB">
        <w:rPr>
          <w:rFonts w:ascii="Times New Roman" w:hAnsi="Times New Roman"/>
          <w:i/>
          <w:iCs/>
          <w:lang w:val="pt-BR"/>
        </w:rPr>
        <w:t>Revista de Estudos Jurídicos e Sociais,</w:t>
      </w:r>
      <w:r w:rsidRPr="00946FFB">
        <w:rPr>
          <w:rFonts w:ascii="Times New Roman" w:hAnsi="Times New Roman"/>
          <w:lang w:val="pt-BR"/>
        </w:rPr>
        <w:t xml:space="preserve"> 3. ed., n. 3, 2014, p. 17-18.</w:t>
      </w:r>
    </w:p>
  </w:footnote>
  <w:footnote w:id="34">
    <w:p w14:paraId="3722F638"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w:t>
      </w:r>
      <w:bookmarkStart w:id="12" w:name="_Hlk122173603"/>
      <w:r w:rsidRPr="00946FFB">
        <w:rPr>
          <w:sz w:val="20"/>
          <w:szCs w:val="20"/>
        </w:rPr>
        <w:t xml:space="preserve">MOREIRA DOS SANTOS, Camila Perez Yeda. </w:t>
      </w:r>
      <w:r w:rsidRPr="00946FFB">
        <w:rPr>
          <w:i/>
          <w:sz w:val="20"/>
          <w:szCs w:val="20"/>
        </w:rPr>
        <w:t xml:space="preserve">Processo Estrutural: </w:t>
      </w:r>
      <w:r w:rsidRPr="00946FFB">
        <w:rPr>
          <w:sz w:val="20"/>
          <w:szCs w:val="20"/>
        </w:rPr>
        <w:t>Controle Jurisdicional de Políticas Públicas. São Paulo: Almedina, 2021. p. 66-67.</w:t>
      </w:r>
    </w:p>
    <w:bookmarkEnd w:id="12"/>
  </w:footnote>
  <w:footnote w:id="35">
    <w:p w14:paraId="6DD2F6E9" w14:textId="0DF04458"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bookmarkStart w:id="15" w:name="_Hlk123936279"/>
      <w:r w:rsidRPr="00946FFB">
        <w:rPr>
          <w:rFonts w:ascii="Times New Roman" w:hAnsi="Times New Roman"/>
          <w:lang w:val="pt-BR"/>
        </w:rPr>
        <w:t xml:space="preserve">SOUZA GALDINO, Matheus. </w:t>
      </w:r>
      <w:bookmarkEnd w:id="15"/>
      <w:r w:rsidRPr="00946FFB">
        <w:rPr>
          <w:rFonts w:ascii="Times New Roman" w:hAnsi="Times New Roman"/>
          <w:i/>
          <w:iCs/>
          <w:lang w:val="pt-BR"/>
        </w:rPr>
        <w:t>Elementos para uma compreensão tipológica dos processos estruturais.</w:t>
      </w:r>
      <w:r w:rsidRPr="00946FFB">
        <w:rPr>
          <w:rFonts w:ascii="Times New Roman" w:hAnsi="Times New Roman"/>
          <w:lang w:val="pt-BR"/>
        </w:rPr>
        <w:t xml:space="preserve"> Dissertação (Mestrado). Salvador: Faculdade de Direito da Universidade Federal da Bahia, 2019. p. 139. Disponível em: </w:t>
      </w:r>
      <w:hyperlink r:id="rId4" w:history="1">
        <w:r w:rsidRPr="00946FFB">
          <w:rPr>
            <w:rStyle w:val="Hyperlink"/>
            <w:rFonts w:ascii="Times New Roman" w:hAnsi="Times New Roman"/>
            <w:lang w:val="pt-BR"/>
          </w:rPr>
          <w:t>https://repositorio.ufba.br/</w:t>
        </w:r>
      </w:hyperlink>
      <w:r w:rsidRPr="00946FFB">
        <w:rPr>
          <w:rFonts w:ascii="Times New Roman" w:hAnsi="Times New Roman"/>
          <w:lang w:val="pt-BR"/>
        </w:rPr>
        <w:t>. Acesso em: 1</w:t>
      </w:r>
      <w:r>
        <w:rPr>
          <w:rFonts w:ascii="Times New Roman" w:hAnsi="Times New Roman"/>
          <w:lang w:val="pt-BR"/>
        </w:rPr>
        <w:t>5</w:t>
      </w:r>
      <w:r w:rsidRPr="00946FFB">
        <w:rPr>
          <w:rFonts w:ascii="Times New Roman" w:hAnsi="Times New Roman"/>
          <w:lang w:val="pt-BR"/>
        </w:rPr>
        <w:t xml:space="preserve"> </w:t>
      </w:r>
      <w:r>
        <w:rPr>
          <w:rFonts w:ascii="Times New Roman" w:hAnsi="Times New Roman"/>
          <w:lang w:val="pt-BR"/>
        </w:rPr>
        <w:t>ago</w:t>
      </w:r>
      <w:r w:rsidRPr="00946FFB">
        <w:rPr>
          <w:rFonts w:ascii="Times New Roman" w:hAnsi="Times New Roman"/>
          <w:lang w:val="pt-BR"/>
        </w:rPr>
        <w:t>. 202</w:t>
      </w:r>
      <w:r>
        <w:rPr>
          <w:rFonts w:ascii="Times New Roman" w:hAnsi="Times New Roman"/>
          <w:lang w:val="pt-BR"/>
        </w:rPr>
        <w:t>3</w:t>
      </w:r>
      <w:r w:rsidRPr="00946FFB">
        <w:rPr>
          <w:rFonts w:ascii="Times New Roman" w:hAnsi="Times New Roman"/>
          <w:lang w:val="pt-BR"/>
        </w:rPr>
        <w:t>.</w:t>
      </w:r>
    </w:p>
  </w:footnote>
  <w:footnote w:id="36">
    <w:p w14:paraId="51573A03"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ARENHART, Sérgio Cruz. Decisões estruturais no direito processual civil brasileiro. </w:t>
      </w:r>
      <w:r w:rsidRPr="00946FFB">
        <w:rPr>
          <w:rFonts w:ascii="Times New Roman" w:hAnsi="Times New Roman"/>
          <w:i/>
        </w:rPr>
        <w:t>Revista de Processo (RePro)</w:t>
      </w:r>
      <w:r w:rsidRPr="00946FFB">
        <w:rPr>
          <w:rFonts w:ascii="Times New Roman" w:hAnsi="Times New Roman"/>
        </w:rPr>
        <w:t>, v. 38, n. 225, p. 389-410, nov. 2013, p.</w:t>
      </w:r>
      <w:r w:rsidRPr="00946FFB">
        <w:rPr>
          <w:rFonts w:ascii="Times New Roman" w:hAnsi="Times New Roman"/>
          <w:lang w:val="pt-BR"/>
        </w:rPr>
        <w:t xml:space="preserve"> 392-393.</w:t>
      </w:r>
    </w:p>
  </w:footnote>
  <w:footnote w:id="37">
    <w:p w14:paraId="1A595830"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bookmarkStart w:id="16" w:name="_Hlk123936283"/>
      <w:r w:rsidRPr="00946FFB">
        <w:rPr>
          <w:rFonts w:ascii="Times New Roman" w:hAnsi="Times New Roman"/>
          <w:lang w:val="pt-BR"/>
        </w:rPr>
        <w:t xml:space="preserve">MEDEIROS JÚNIOR, Leonardo. </w:t>
      </w:r>
      <w:bookmarkEnd w:id="16"/>
      <w:r w:rsidRPr="00946FFB">
        <w:rPr>
          <w:rFonts w:ascii="Times New Roman" w:hAnsi="Times New Roman"/>
          <w:lang w:val="pt-BR"/>
        </w:rPr>
        <w:t>Processo estrutural consequencialista: A intervenção judicial em políticas públicas. Rio de Janeiro: Lumen Juris, 2018. p. 85.</w:t>
      </w:r>
    </w:p>
  </w:footnote>
  <w:footnote w:id="38">
    <w:p w14:paraId="44E6FFA1"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r w:rsidRPr="00946FFB">
        <w:rPr>
          <w:rFonts w:ascii="Times New Roman" w:hAnsi="Times New Roman"/>
          <w:lang w:val="pt-BR"/>
        </w:rPr>
        <w:t>“Essa adequação deverá se dar de conformidade inclusive com o manual de “boas práticas para  armazenagem de medicamentos” editado pela CEME-Central de Medicamentos do Ministério da Saúde, com a RDC 44/2009 e RDC 59/2000, da ANVISA/MS, a Resolução 357/2001 (art. 72) do Conselho Federal de Farmácia, e Portarias CVS 1/2018 e CVS 15/2002, e deverá contemplar a dotação do local de câmara fria, geladeiras, refrigeradores e freezers, e gerador de eletricidade para evitar interrupções de força nas intercorrências de suspensão ou interrupção de fornecimento de energia elétrica”.</w:t>
      </w:r>
    </w:p>
  </w:footnote>
  <w:footnote w:id="39">
    <w:p w14:paraId="5787E53B" w14:textId="4496AA59"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BRASIL. Supremo Tribunal Federal. </w:t>
      </w:r>
      <w:r w:rsidRPr="00946FFB">
        <w:rPr>
          <w:i/>
          <w:sz w:val="20"/>
          <w:szCs w:val="20"/>
        </w:rPr>
        <w:t>Tema 45 de Repercussão Geral</w:t>
      </w:r>
      <w:r w:rsidRPr="00946FFB">
        <w:rPr>
          <w:sz w:val="20"/>
          <w:szCs w:val="20"/>
        </w:rPr>
        <w:t xml:space="preserve">, RE 573.872, j. 24/05/2017, DJe 11/09/2017. Disponível em: </w:t>
      </w:r>
      <w:hyperlink r:id="rId5">
        <w:r w:rsidRPr="00946FFB">
          <w:rPr>
            <w:sz w:val="20"/>
            <w:szCs w:val="20"/>
          </w:rPr>
          <w:t>https://portal.stf.jus.br/</w:t>
        </w:r>
      </w:hyperlink>
      <w:r w:rsidRPr="00946FFB">
        <w:rPr>
          <w:sz w:val="20"/>
          <w:szCs w:val="20"/>
        </w:rPr>
        <w:t xml:space="preserve">. Acesso em: </w:t>
      </w:r>
      <w:r>
        <w:rPr>
          <w:sz w:val="20"/>
          <w:szCs w:val="20"/>
        </w:rPr>
        <w:t>16</w:t>
      </w:r>
      <w:r w:rsidRPr="00946FFB">
        <w:rPr>
          <w:sz w:val="20"/>
          <w:szCs w:val="20"/>
        </w:rPr>
        <w:t xml:space="preserve"> </w:t>
      </w:r>
      <w:r>
        <w:rPr>
          <w:sz w:val="20"/>
          <w:szCs w:val="20"/>
        </w:rPr>
        <w:t>ago</w:t>
      </w:r>
      <w:r w:rsidRPr="00946FFB">
        <w:rPr>
          <w:sz w:val="20"/>
          <w:szCs w:val="20"/>
        </w:rPr>
        <w:t>. 202</w:t>
      </w:r>
      <w:r>
        <w:rPr>
          <w:sz w:val="20"/>
          <w:szCs w:val="20"/>
        </w:rPr>
        <w:t>3</w:t>
      </w:r>
      <w:r w:rsidRPr="00946FFB">
        <w:rPr>
          <w:sz w:val="20"/>
          <w:szCs w:val="20"/>
        </w:rPr>
        <w:t>.</w:t>
      </w:r>
    </w:p>
  </w:footnote>
  <w:footnote w:id="40">
    <w:p w14:paraId="1371FADA" w14:textId="73F833BA"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CONSULTOR JURÍDICO.</w:t>
      </w:r>
      <w:r w:rsidRPr="00946FFB">
        <w:rPr>
          <w:i/>
          <w:sz w:val="20"/>
          <w:szCs w:val="20"/>
        </w:rPr>
        <w:t xml:space="preserve"> Ministro recebe Certificado ISO 9001 no TSE</w:t>
      </w:r>
      <w:r w:rsidRPr="00946FFB">
        <w:rPr>
          <w:sz w:val="20"/>
          <w:szCs w:val="20"/>
        </w:rPr>
        <w:t xml:space="preserve">, 16/04/2010. Disponível em: </w:t>
      </w:r>
      <w:hyperlink r:id="rId6">
        <w:r w:rsidRPr="00946FFB">
          <w:rPr>
            <w:sz w:val="20"/>
            <w:szCs w:val="20"/>
          </w:rPr>
          <w:t>https://www.conjur.com.br/2010-abr-16/ministro-lewandowski-recebe-iso-9001-gestao-qualidade-tse</w:t>
        </w:r>
      </w:hyperlink>
      <w:r w:rsidRPr="00946FFB">
        <w:rPr>
          <w:sz w:val="20"/>
          <w:szCs w:val="20"/>
        </w:rPr>
        <w:t xml:space="preserve">. Acesso em: </w:t>
      </w:r>
      <w:r>
        <w:rPr>
          <w:sz w:val="20"/>
          <w:szCs w:val="20"/>
        </w:rPr>
        <w:t>16</w:t>
      </w:r>
      <w:r w:rsidRPr="00946FFB">
        <w:rPr>
          <w:sz w:val="20"/>
          <w:szCs w:val="20"/>
        </w:rPr>
        <w:t xml:space="preserve"> </w:t>
      </w:r>
      <w:r>
        <w:rPr>
          <w:sz w:val="20"/>
          <w:szCs w:val="20"/>
        </w:rPr>
        <w:t>ago</w:t>
      </w:r>
      <w:r w:rsidRPr="00946FFB">
        <w:rPr>
          <w:sz w:val="20"/>
          <w:szCs w:val="20"/>
        </w:rPr>
        <w:t>. 202</w:t>
      </w:r>
      <w:r>
        <w:rPr>
          <w:sz w:val="20"/>
          <w:szCs w:val="20"/>
        </w:rPr>
        <w:t>3</w:t>
      </w:r>
      <w:r w:rsidRPr="00946FFB">
        <w:rPr>
          <w:sz w:val="20"/>
          <w:szCs w:val="20"/>
        </w:rPr>
        <w:t>.</w:t>
      </w:r>
    </w:p>
  </w:footnote>
  <w:footnote w:id="41">
    <w:p w14:paraId="16B13EAF"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“A série de documentos e requerimentos apresentados pela executada [...] são e continuam sendo vias inadequadamente esdrúxulas para provocar a revisão da sentença proferida [...], sobretudo quanto à obtenção da certificação ISO 9001”.</w:t>
      </w:r>
    </w:p>
  </w:footnote>
  <w:footnote w:id="42">
    <w:p w14:paraId="28BE8FF9" w14:textId="2ACC35EC"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A Recomendação Conjunta PRESI-CN nº 2/2020, ao dispor sobre critérios de atuação do MP na fiscalização de políticas públicas, menciona expressamente sua legitimidade para assegurar e defender, proativa e resolutivamente, os direitos fundamentais e que não lhe incumbe a eleição de políticas públicas, mas a atuação como agente indutor, proativo e resolutivo das garantias de efetivação dos direitos fundamentais decorrentes destas políticas. BRASIL. Conselho Nacional do Ministério Público.</w:t>
      </w:r>
      <w:r w:rsidRPr="00946FFB">
        <w:rPr>
          <w:i/>
          <w:sz w:val="20"/>
          <w:szCs w:val="20"/>
        </w:rPr>
        <w:t xml:space="preserve"> Recomendação Conjunta PRESI-CN nº 2, de 18 de junho de 2020.</w:t>
      </w:r>
      <w:r w:rsidRPr="00946FFB">
        <w:rPr>
          <w:sz w:val="20"/>
          <w:szCs w:val="20"/>
        </w:rPr>
        <w:t xml:space="preserve"> </w:t>
      </w:r>
      <w:r w:rsidRPr="00946FFB">
        <w:rPr>
          <w:sz w:val="20"/>
          <w:szCs w:val="20"/>
          <w:lang w:val="pt-BR"/>
        </w:rPr>
        <w:t xml:space="preserve">Brasília, DF: CNMP, 2020. </w:t>
      </w:r>
      <w:r w:rsidRPr="00946FFB">
        <w:rPr>
          <w:sz w:val="20"/>
          <w:szCs w:val="20"/>
        </w:rPr>
        <w:t xml:space="preserve">Disponível em: </w:t>
      </w:r>
      <w:hyperlink r:id="rId7" w:history="1">
        <w:r w:rsidRPr="00946FFB">
          <w:rPr>
            <w:rStyle w:val="Hyperlink"/>
            <w:sz w:val="20"/>
            <w:szCs w:val="20"/>
          </w:rPr>
          <w:t>https://www.cnmp.mp.br/portal/images/Recomendacoes/RECOMENDAO-CONJUNTA-PRESI-CN-N-2-DE-19-DE-JUNHO-DE-2020-1.pdf</w:t>
        </w:r>
      </w:hyperlink>
      <w:r w:rsidRPr="00946FFB">
        <w:rPr>
          <w:sz w:val="20"/>
          <w:szCs w:val="20"/>
        </w:rPr>
        <w:t xml:space="preserve">. Acesso em: </w:t>
      </w:r>
      <w:r>
        <w:rPr>
          <w:sz w:val="20"/>
          <w:szCs w:val="20"/>
        </w:rPr>
        <w:t>16</w:t>
      </w:r>
      <w:r w:rsidRPr="00946FFB">
        <w:rPr>
          <w:sz w:val="20"/>
          <w:szCs w:val="20"/>
        </w:rPr>
        <w:t xml:space="preserve"> </w:t>
      </w:r>
      <w:r>
        <w:rPr>
          <w:sz w:val="20"/>
          <w:szCs w:val="20"/>
        </w:rPr>
        <w:t>ago</w:t>
      </w:r>
      <w:r w:rsidRPr="00946FFB">
        <w:rPr>
          <w:sz w:val="20"/>
          <w:szCs w:val="20"/>
        </w:rPr>
        <w:t>. 202</w:t>
      </w:r>
      <w:r>
        <w:rPr>
          <w:sz w:val="20"/>
          <w:szCs w:val="20"/>
        </w:rPr>
        <w:t>3</w:t>
      </w:r>
      <w:r w:rsidRPr="00946FFB">
        <w:rPr>
          <w:sz w:val="20"/>
          <w:szCs w:val="20"/>
        </w:rPr>
        <w:t>.</w:t>
      </w:r>
    </w:p>
  </w:footnote>
  <w:footnote w:id="43">
    <w:p w14:paraId="31A6197A" w14:textId="77777777" w:rsidR="002663BE" w:rsidRPr="00946FFB" w:rsidRDefault="002663BE" w:rsidP="001B799D">
      <w:pPr>
        <w:jc w:val="both"/>
        <w:rPr>
          <w:sz w:val="20"/>
          <w:szCs w:val="20"/>
        </w:rPr>
      </w:pPr>
      <w:r w:rsidRPr="00946FFB">
        <w:rPr>
          <w:sz w:val="20"/>
          <w:szCs w:val="20"/>
          <w:vertAlign w:val="superscript"/>
        </w:rPr>
        <w:footnoteRef/>
      </w:r>
      <w:r w:rsidRPr="00946FFB">
        <w:rPr>
          <w:sz w:val="20"/>
          <w:szCs w:val="20"/>
        </w:rPr>
        <w:t xml:space="preserve"> FRANCO, Fernão Borba. </w:t>
      </w:r>
      <w:r w:rsidRPr="00946FFB">
        <w:rPr>
          <w:i/>
          <w:sz w:val="20"/>
          <w:szCs w:val="20"/>
        </w:rPr>
        <w:t xml:space="preserve">Execução em face da Fazenda Pública. </w:t>
      </w:r>
      <w:r w:rsidRPr="00946FFB">
        <w:rPr>
          <w:sz w:val="20"/>
          <w:szCs w:val="20"/>
        </w:rPr>
        <w:t>São Paulo: Editora Juarez de Oliveira, 2002. p. 18.</w:t>
      </w:r>
    </w:p>
  </w:footnote>
  <w:footnote w:id="44">
    <w:p w14:paraId="794CBA1B" w14:textId="77777777" w:rsidR="002663BE" w:rsidRPr="00946FFB" w:rsidRDefault="002663BE" w:rsidP="001B799D">
      <w:pPr>
        <w:pStyle w:val="Textodenotaderodap"/>
        <w:jc w:val="both"/>
        <w:rPr>
          <w:rFonts w:ascii="Times New Roman" w:hAnsi="Times New Roman"/>
          <w:lang w:val="pt-BR"/>
        </w:rPr>
      </w:pPr>
      <w:r w:rsidRPr="00946FFB">
        <w:rPr>
          <w:rStyle w:val="Refdenotaderodap"/>
          <w:rFonts w:ascii="Times New Roman" w:hAnsi="Times New Roman"/>
        </w:rPr>
        <w:footnoteRef/>
      </w:r>
      <w:r w:rsidRPr="00946FFB">
        <w:rPr>
          <w:rFonts w:ascii="Times New Roman" w:hAnsi="Times New Roman"/>
        </w:rPr>
        <w:t xml:space="preserve"> </w:t>
      </w:r>
      <w:bookmarkStart w:id="19" w:name="_Hlk123936305"/>
      <w:r w:rsidRPr="00946FFB">
        <w:rPr>
          <w:rFonts w:ascii="Times New Roman" w:hAnsi="Times New Roman"/>
          <w:lang w:val="pt-BR"/>
        </w:rPr>
        <w:t xml:space="preserve">GOULART, Marcelo Pedroso. </w:t>
      </w:r>
      <w:bookmarkEnd w:id="19"/>
      <w:r w:rsidRPr="00946FFB">
        <w:rPr>
          <w:rFonts w:ascii="Times New Roman" w:hAnsi="Times New Roman"/>
          <w:lang w:val="pt-BR"/>
        </w:rPr>
        <w:t>Corregedorias e Ministério Público resolutivo. In</w:t>
      </w:r>
      <w:r w:rsidRPr="00946FFB">
        <w:rPr>
          <w:rFonts w:ascii="Times New Roman" w:hAnsi="Times New Roman"/>
          <w:i/>
          <w:iCs/>
          <w:lang w:val="pt-BR"/>
        </w:rPr>
        <w:t>: Revista Jurídica Corregedoria Nacional:</w:t>
      </w:r>
      <w:r w:rsidRPr="00946FFB">
        <w:rPr>
          <w:rFonts w:ascii="Times New Roman" w:hAnsi="Times New Roman"/>
          <w:lang w:val="pt-BR"/>
        </w:rPr>
        <w:t xml:space="preserve"> o papel constitucional das Corregedorias do Ministério Público. Brasília: CNMP, 2016. v. I. p. 219.</w:t>
      </w:r>
    </w:p>
  </w:footnote>
  <w:footnote w:id="45">
    <w:p w14:paraId="0F8C8450" w14:textId="356F48EF" w:rsidR="002663BE" w:rsidRPr="00946FFB" w:rsidRDefault="002663BE" w:rsidP="001B799D">
      <w:pPr>
        <w:jc w:val="both"/>
        <w:rPr>
          <w:sz w:val="20"/>
          <w:szCs w:val="20"/>
        </w:rPr>
      </w:pPr>
      <w:r w:rsidRPr="00946FFB">
        <w:rPr>
          <w:rStyle w:val="Refdenotaderodap"/>
          <w:sz w:val="20"/>
          <w:szCs w:val="20"/>
        </w:rPr>
        <w:footnoteRef/>
      </w:r>
      <w:r w:rsidRPr="00946FFB">
        <w:rPr>
          <w:sz w:val="20"/>
          <w:szCs w:val="20"/>
        </w:rPr>
        <w:t xml:space="preserve"> </w:t>
      </w:r>
      <w:bookmarkStart w:id="20" w:name="_Hlk121640281"/>
      <w:r w:rsidRPr="00946FFB">
        <w:rPr>
          <w:sz w:val="20"/>
          <w:szCs w:val="20"/>
        </w:rPr>
        <w:t xml:space="preserve">GONÇALVES, Samuel Alvarenga. </w:t>
      </w:r>
      <w:r w:rsidRPr="00946FFB">
        <w:rPr>
          <w:i/>
          <w:iCs/>
          <w:sz w:val="20"/>
          <w:szCs w:val="20"/>
        </w:rPr>
        <w:t xml:space="preserve">Crise do processo coletivo brasileiro: papel do Ministério Público e as sentenças materialmente complexas contra a Administração Pública. </w:t>
      </w:r>
      <w:r w:rsidRPr="00946FFB">
        <w:rPr>
          <w:sz w:val="20"/>
          <w:szCs w:val="20"/>
        </w:rPr>
        <w:t xml:space="preserve">Dissertação (Mestrado). São Paulo: Pontifícia Universidade Católica de São Paulo, 2018. p. </w:t>
      </w:r>
      <w:bookmarkEnd w:id="20"/>
      <w:r w:rsidRPr="00946FFB">
        <w:rPr>
          <w:sz w:val="20"/>
          <w:szCs w:val="20"/>
        </w:rPr>
        <w:t xml:space="preserve">96-105. </w:t>
      </w:r>
      <w:r w:rsidRPr="00946FFB">
        <w:rPr>
          <w:sz w:val="20"/>
          <w:szCs w:val="20"/>
          <w:lang w:val="pt-BR"/>
        </w:rPr>
        <w:t xml:space="preserve">Disponível em: </w:t>
      </w:r>
      <w:hyperlink r:id="rId8" w:history="1">
        <w:r w:rsidRPr="00946FFB">
          <w:rPr>
            <w:rStyle w:val="Hyperlink"/>
            <w:sz w:val="20"/>
            <w:szCs w:val="20"/>
            <w:lang w:val="pt-BR"/>
          </w:rPr>
          <w:t>https://tede2.pucsp.br/bitstream/handle/21347/2/Samuel%20Alvarenga%20Gon%C3%A7alves.pdf</w:t>
        </w:r>
      </w:hyperlink>
      <w:r w:rsidRPr="00946FFB">
        <w:rPr>
          <w:sz w:val="20"/>
          <w:szCs w:val="20"/>
          <w:lang w:val="pt-BR"/>
        </w:rPr>
        <w:t xml:space="preserve">. Acesso em: </w:t>
      </w:r>
      <w:r>
        <w:rPr>
          <w:sz w:val="20"/>
          <w:szCs w:val="20"/>
          <w:lang w:val="pt-BR"/>
        </w:rPr>
        <w:t>16</w:t>
      </w:r>
      <w:r w:rsidRPr="00946FFB">
        <w:rPr>
          <w:sz w:val="20"/>
          <w:szCs w:val="20"/>
          <w:lang w:val="pt-BR"/>
        </w:rPr>
        <w:t xml:space="preserve"> </w:t>
      </w:r>
      <w:r>
        <w:rPr>
          <w:sz w:val="20"/>
          <w:szCs w:val="20"/>
          <w:lang w:val="pt-BR"/>
        </w:rPr>
        <w:t>ago</w:t>
      </w:r>
      <w:r w:rsidRPr="00946FFB">
        <w:rPr>
          <w:sz w:val="20"/>
          <w:szCs w:val="20"/>
          <w:lang w:val="pt-BR"/>
        </w:rPr>
        <w:t>. 202</w:t>
      </w:r>
      <w:r>
        <w:rPr>
          <w:sz w:val="20"/>
          <w:szCs w:val="20"/>
          <w:lang w:val="pt-BR"/>
        </w:rPr>
        <w:t>3</w:t>
      </w:r>
      <w:r w:rsidRPr="00946FFB">
        <w:rPr>
          <w:sz w:val="20"/>
          <w:szCs w:val="20"/>
          <w:lang w:val="pt-BR"/>
        </w:rPr>
        <w:t>.</w:t>
      </w:r>
    </w:p>
  </w:footnote>
  <w:footnote w:id="46">
    <w:p w14:paraId="37737D47" w14:textId="77777777" w:rsidR="002663BE" w:rsidRPr="001B799D" w:rsidRDefault="002663BE" w:rsidP="001B799D">
      <w:pPr>
        <w:jc w:val="both"/>
        <w:rPr>
          <w:sz w:val="20"/>
          <w:szCs w:val="20"/>
        </w:rPr>
      </w:pPr>
      <w:r w:rsidRPr="001B799D">
        <w:rPr>
          <w:rStyle w:val="Refdenotaderodap"/>
          <w:sz w:val="20"/>
          <w:szCs w:val="20"/>
        </w:rPr>
        <w:footnoteRef/>
      </w:r>
      <w:r w:rsidRPr="001B799D">
        <w:rPr>
          <w:sz w:val="20"/>
          <w:szCs w:val="20"/>
        </w:rPr>
        <w:t xml:space="preserve"> Com efeito, a multa cominatória, como sabido, possui caráter coercitivo, ou seja, visa compelir, indiretamente, o executado a cumprir uma obrigação. No caso da Fazenda Pública, somente pode ser cobrada após o trânsito em julgado (art. 100, CF). Nesse cumprimento de sentença, terá ainda a oportunidade de apresentar impugnação e, ao final, caso realmente haja o reconhecimento da obrigação de pagar a multa, será paga obrigatoriamente pela via do precatório ou da requisição de pequeno valor, a depender do montante cobrado.</w:t>
      </w:r>
    </w:p>
    <w:p w14:paraId="6499CE47" w14:textId="77777777" w:rsidR="002663BE" w:rsidRPr="001B799D" w:rsidRDefault="002663BE" w:rsidP="001B799D">
      <w:pPr>
        <w:jc w:val="both"/>
        <w:rPr>
          <w:sz w:val="20"/>
          <w:szCs w:val="20"/>
        </w:rPr>
      </w:pPr>
      <w:r w:rsidRPr="001B799D">
        <w:rPr>
          <w:sz w:val="20"/>
          <w:szCs w:val="20"/>
        </w:rPr>
        <w:t xml:space="preserve">Por sua vez, o bloqueio judicial possui caráter satisfativo, ou seja, em caso de obrigações fungíveis que estejam sendo descumpridas pelo executado, pode o juízo determinar o bloqueio judicial de valor suficiente para que a parte exequente realize a obrigação diretamente. Em um processo envolvendo o fornecimento de medicamentos, por exemplo, a parte exequente levanta o valor bloqueado, adquire diretamente o fármaco e, após, presta contas em juízo, inclusive devolvendo eventual saldo remanescente, se o caso. </w:t>
      </w:r>
    </w:p>
    <w:p w14:paraId="24087260" w14:textId="09017ADE" w:rsidR="002663BE" w:rsidRPr="001B799D" w:rsidRDefault="002663BE" w:rsidP="001B799D">
      <w:pPr>
        <w:jc w:val="both"/>
        <w:rPr>
          <w:sz w:val="20"/>
          <w:szCs w:val="20"/>
        </w:rPr>
      </w:pPr>
      <w:r w:rsidRPr="001B799D">
        <w:rPr>
          <w:sz w:val="20"/>
          <w:szCs w:val="20"/>
        </w:rPr>
        <w:t>Ou seja, multa cominatória e bloqueio judicial jamais se confundem, de modo que causa bastante estranheza o pedido deduzido pelo MPE/SP. Ou seja, para além das dificuldades propriamente relacionadas ao cumprimento em si, judicial ou extrajudicial, inclusive com a desconsideração das condutas adotadas pela parte ré para fins de cumprimento da decisão, há ainda graves equívocos nos atos processuais das partes envolvidas e também nos atos judiciais.</w:t>
      </w:r>
    </w:p>
  </w:footnote>
  <w:footnote w:id="47">
    <w:p w14:paraId="2199E8FA" w14:textId="77777777" w:rsidR="008C11A8" w:rsidRPr="00946FFB" w:rsidRDefault="008C11A8" w:rsidP="008C11A8">
      <w:pPr>
        <w:jc w:val="both"/>
        <w:rPr>
          <w:sz w:val="20"/>
          <w:szCs w:val="20"/>
        </w:rPr>
      </w:pPr>
      <w:r w:rsidRPr="00946FFB">
        <w:rPr>
          <w:rStyle w:val="Refdenotaderodap"/>
          <w:sz w:val="20"/>
          <w:szCs w:val="20"/>
        </w:rPr>
        <w:footnoteRef/>
      </w:r>
      <w:r w:rsidRPr="00946FFB">
        <w:rPr>
          <w:sz w:val="20"/>
          <w:szCs w:val="20"/>
        </w:rPr>
        <w:t xml:space="preserve"> </w:t>
      </w:r>
      <w:r w:rsidRPr="00946FFB">
        <w:rPr>
          <w:sz w:val="20"/>
          <w:szCs w:val="20"/>
          <w:lang w:val="pt-BR"/>
        </w:rPr>
        <w:t>“</w:t>
      </w:r>
      <w:r w:rsidRPr="00946FFB">
        <w:rPr>
          <w:sz w:val="20"/>
          <w:szCs w:val="20"/>
          <w:shd w:val="clear" w:color="auto" w:fill="FFFFFF"/>
        </w:rPr>
        <w:t>A decisão administrativa, controladora ou judicial que estabelecer interpretação ou orientação nova sobre norma de conteúdo indeterminado, impondo novo dever ou novo condicionamento de direito, deverá prever regime de transição quando indispensável para que o novo dever ou condicionamento de direito seja cumprido de modo proporcional, equânime e eficiente e sem prejuízo aos interesses gerais”. </w:t>
      </w:r>
      <w:r w:rsidRPr="00946FFB">
        <w:rPr>
          <w:sz w:val="20"/>
          <w:szCs w:val="20"/>
        </w:rPr>
        <w:t xml:space="preserve"> </w:t>
      </w:r>
    </w:p>
  </w:footnote>
  <w:footnote w:id="48">
    <w:p w14:paraId="665FC193" w14:textId="45E89CCD" w:rsidR="002663BE" w:rsidRPr="00946FFB" w:rsidRDefault="002663BE" w:rsidP="001B799D">
      <w:pPr>
        <w:pStyle w:val="Textodenotaderodap"/>
        <w:jc w:val="both"/>
        <w:rPr>
          <w:rFonts w:ascii="Times New Roman" w:hAnsi="Times New Roman"/>
          <w:lang w:val="pt-BR"/>
        </w:rPr>
      </w:pPr>
      <w:r w:rsidRPr="001B799D">
        <w:rPr>
          <w:rStyle w:val="Refdenotaderodap"/>
          <w:rFonts w:ascii="Times New Roman" w:hAnsi="Times New Roman"/>
        </w:rPr>
        <w:footnoteRef/>
      </w:r>
      <w:r w:rsidRPr="001B799D">
        <w:rPr>
          <w:rFonts w:ascii="Times New Roman" w:hAnsi="Times New Roman"/>
        </w:rPr>
        <w:t xml:space="preserve"> </w:t>
      </w:r>
      <w:r w:rsidRPr="001B799D">
        <w:rPr>
          <w:rFonts w:ascii="Times New Roman" w:hAnsi="Times New Roman"/>
          <w:lang w:val="pt-BR"/>
        </w:rPr>
        <w:t>Conforme pesquisa realizada pelo CNJ a respeito da judicialização da saúde, a</w:t>
      </w:r>
      <w:r w:rsidRPr="001B799D">
        <w:rPr>
          <w:rFonts w:ascii="Times New Roman" w:hAnsi="Times New Roman"/>
        </w:rPr>
        <w:t xml:space="preserve"> atuação </w:t>
      </w:r>
      <w:r w:rsidRPr="001B799D">
        <w:rPr>
          <w:rFonts w:ascii="Times New Roman" w:hAnsi="Times New Roman"/>
          <w:lang w:val="pt-BR"/>
        </w:rPr>
        <w:t>aproximada entre</w:t>
      </w:r>
      <w:r w:rsidRPr="001B799D">
        <w:rPr>
          <w:rFonts w:ascii="Times New Roman" w:hAnsi="Times New Roman"/>
        </w:rPr>
        <w:t xml:space="preserve"> gestores e </w:t>
      </w:r>
      <w:r w:rsidRPr="001B799D">
        <w:rPr>
          <w:rFonts w:ascii="Times New Roman" w:hAnsi="Times New Roman"/>
          <w:lang w:val="pt-BR"/>
        </w:rPr>
        <w:t>P</w:t>
      </w:r>
      <w:r w:rsidRPr="001B799D">
        <w:rPr>
          <w:rFonts w:ascii="Times New Roman" w:hAnsi="Times New Roman"/>
        </w:rPr>
        <w:t xml:space="preserve">rocuradores </w:t>
      </w:r>
      <w:r w:rsidRPr="001B799D">
        <w:rPr>
          <w:rFonts w:ascii="Times New Roman" w:hAnsi="Times New Roman"/>
          <w:lang w:val="pt-BR"/>
        </w:rPr>
        <w:t xml:space="preserve">enseja </w:t>
      </w:r>
      <w:r w:rsidRPr="001B799D">
        <w:rPr>
          <w:rFonts w:ascii="Times New Roman" w:hAnsi="Times New Roman"/>
        </w:rPr>
        <w:t>defesas mais técnicas</w:t>
      </w:r>
      <w:r w:rsidRPr="001B799D">
        <w:rPr>
          <w:rFonts w:ascii="Times New Roman" w:hAnsi="Times New Roman"/>
          <w:lang w:val="pt-BR"/>
        </w:rPr>
        <w:t xml:space="preserve"> e t</w:t>
      </w:r>
      <w:r w:rsidRPr="001B799D">
        <w:rPr>
          <w:rFonts w:ascii="Times New Roman" w:hAnsi="Times New Roman"/>
        </w:rPr>
        <w:t xml:space="preserve">ambém </w:t>
      </w:r>
      <w:r w:rsidRPr="001B799D">
        <w:rPr>
          <w:rFonts w:ascii="Times New Roman" w:hAnsi="Times New Roman"/>
          <w:lang w:val="pt-BR"/>
        </w:rPr>
        <w:t xml:space="preserve">informa aos magistrados </w:t>
      </w:r>
      <w:r w:rsidRPr="001B799D">
        <w:rPr>
          <w:rFonts w:ascii="Times New Roman" w:hAnsi="Times New Roman"/>
        </w:rPr>
        <w:t xml:space="preserve">dados reais sobre estoque de medicamentos e </w:t>
      </w:r>
      <w:r w:rsidRPr="001B799D">
        <w:rPr>
          <w:rFonts w:ascii="Times New Roman" w:hAnsi="Times New Roman"/>
          <w:lang w:val="pt-BR"/>
        </w:rPr>
        <w:t>prazos para compra e</w:t>
      </w:r>
      <w:r w:rsidRPr="001B799D">
        <w:rPr>
          <w:rFonts w:ascii="Times New Roman" w:hAnsi="Times New Roman"/>
        </w:rPr>
        <w:t xml:space="preserve"> distribuição</w:t>
      </w:r>
      <w:r w:rsidRPr="001B799D">
        <w:rPr>
          <w:rFonts w:ascii="Times New Roman" w:hAnsi="Times New Roman"/>
          <w:lang w:val="pt-BR"/>
        </w:rPr>
        <w:t>, cenário em que os</w:t>
      </w:r>
      <w:r w:rsidRPr="001B799D">
        <w:rPr>
          <w:rFonts w:ascii="Times New Roman" w:hAnsi="Times New Roman"/>
        </w:rPr>
        <w:t xml:space="preserve"> juízes</w:t>
      </w:r>
      <w:r w:rsidRPr="001B799D">
        <w:rPr>
          <w:rFonts w:ascii="Times New Roman" w:hAnsi="Times New Roman"/>
          <w:lang w:val="pt-BR"/>
        </w:rPr>
        <w:t xml:space="preserve"> tendem a atuar com maior re</w:t>
      </w:r>
      <w:r w:rsidRPr="001B799D">
        <w:rPr>
          <w:rFonts w:ascii="Times New Roman" w:hAnsi="Times New Roman"/>
        </w:rPr>
        <w:t>serva na imposição de multas por descumprimento e na fixação de prazos curtos para cumprimento</w:t>
      </w:r>
      <w:r w:rsidRPr="001B799D">
        <w:rPr>
          <w:rFonts w:ascii="Times New Roman" w:hAnsi="Times New Roman"/>
          <w:lang w:val="pt-BR"/>
        </w:rPr>
        <w:t>,</w:t>
      </w:r>
      <w:r w:rsidRPr="001B799D">
        <w:rPr>
          <w:rFonts w:ascii="Times New Roman" w:hAnsi="Times New Roman"/>
        </w:rPr>
        <w:t xml:space="preserve"> </w:t>
      </w:r>
      <w:r w:rsidRPr="001B799D">
        <w:rPr>
          <w:rFonts w:ascii="Times New Roman" w:hAnsi="Times New Roman"/>
          <w:lang w:val="pt-BR"/>
        </w:rPr>
        <w:t>“</w:t>
      </w:r>
      <w:r w:rsidRPr="001B799D">
        <w:rPr>
          <w:rFonts w:ascii="Times New Roman" w:hAnsi="Times New Roman"/>
        </w:rPr>
        <w:t xml:space="preserve">uma vez que passam a conhecer melhor a política </w:t>
      </w:r>
      <w:r w:rsidRPr="00946FFB">
        <w:rPr>
          <w:rFonts w:ascii="Times New Roman" w:hAnsi="Times New Roman"/>
        </w:rPr>
        <w:t>e se aproximar da gestão de compra, um processo complexo que enfrenta dificuldades adicionais trazidas pela judicialização</w:t>
      </w:r>
      <w:r w:rsidRPr="00946FFB">
        <w:rPr>
          <w:rFonts w:ascii="Times New Roman" w:hAnsi="Times New Roman"/>
          <w:lang w:val="pt-BR"/>
        </w:rPr>
        <w:t xml:space="preserve">”. BRASIL. Conselho Nacional de Justiça. Sumário executivo – Justiça Pesquisa. </w:t>
      </w:r>
      <w:r w:rsidRPr="00946FFB">
        <w:rPr>
          <w:rFonts w:ascii="Times New Roman" w:hAnsi="Times New Roman"/>
          <w:i/>
          <w:iCs/>
          <w:lang w:val="pt-BR"/>
        </w:rPr>
        <w:t>Judicialização da saúde no Brasil:</w:t>
      </w:r>
      <w:r w:rsidRPr="00946FFB">
        <w:rPr>
          <w:rFonts w:ascii="Times New Roman" w:hAnsi="Times New Roman"/>
          <w:lang w:val="pt-BR"/>
        </w:rPr>
        <w:t xml:space="preserve"> perfil das demandas, causas e propostas de solução. Brasília: Conselho Nacional de Justiça, 2019. Disponível em: </w:t>
      </w:r>
      <w:hyperlink r:id="rId9" w:history="1">
        <w:r w:rsidRPr="00946FFB">
          <w:rPr>
            <w:rStyle w:val="Hyperlink"/>
            <w:rFonts w:ascii="Times New Roman" w:hAnsi="Times New Roman"/>
            <w:lang w:val="pt-BR"/>
          </w:rPr>
          <w:t>https://www.cnj.jus.br/</w:t>
        </w:r>
      </w:hyperlink>
      <w:r w:rsidRPr="00946FFB">
        <w:rPr>
          <w:rFonts w:ascii="Times New Roman" w:hAnsi="Times New Roman"/>
          <w:lang w:val="pt-BR"/>
        </w:rPr>
        <w:t xml:space="preserve">. Acesso em: </w:t>
      </w:r>
      <w:r>
        <w:rPr>
          <w:rFonts w:ascii="Times New Roman" w:hAnsi="Times New Roman"/>
          <w:lang w:val="pt-BR"/>
        </w:rPr>
        <w:t>18 ago</w:t>
      </w:r>
      <w:r w:rsidRPr="00946FFB">
        <w:rPr>
          <w:rFonts w:ascii="Times New Roman" w:hAnsi="Times New Roman"/>
          <w:lang w:val="pt-BR"/>
        </w:rPr>
        <w:t>. 202</w:t>
      </w:r>
      <w:r>
        <w:rPr>
          <w:rFonts w:ascii="Times New Roman" w:hAnsi="Times New Roman"/>
          <w:lang w:val="pt-BR"/>
        </w:rPr>
        <w:t>3</w:t>
      </w:r>
      <w:r w:rsidRPr="00946FFB">
        <w:rPr>
          <w:rFonts w:ascii="Times New Roman" w:hAnsi="Times New Roman"/>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B8F"/>
    <w:multiLevelType w:val="hybridMultilevel"/>
    <w:tmpl w:val="1DA0FD68"/>
    <w:lvl w:ilvl="0" w:tplc="A1188B5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CB13F2"/>
    <w:multiLevelType w:val="multilevel"/>
    <w:tmpl w:val="B69AE6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9B0C1C"/>
    <w:multiLevelType w:val="multilevel"/>
    <w:tmpl w:val="5DC23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A651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5B7CB8"/>
    <w:multiLevelType w:val="multilevel"/>
    <w:tmpl w:val="C2AA7D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BDA36F4"/>
    <w:multiLevelType w:val="multilevel"/>
    <w:tmpl w:val="DB2013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B797CE7"/>
    <w:multiLevelType w:val="multilevel"/>
    <w:tmpl w:val="B69AE6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736E51"/>
    <w:multiLevelType w:val="multilevel"/>
    <w:tmpl w:val="A6A6A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427663"/>
    <w:multiLevelType w:val="multilevel"/>
    <w:tmpl w:val="A6A6A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B6334F"/>
    <w:multiLevelType w:val="hybridMultilevel"/>
    <w:tmpl w:val="385445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7430173">
    <w:abstractNumId w:val="2"/>
  </w:num>
  <w:num w:numId="2" w16cid:durableId="1405448793">
    <w:abstractNumId w:val="5"/>
  </w:num>
  <w:num w:numId="3" w16cid:durableId="636692397">
    <w:abstractNumId w:val="0"/>
  </w:num>
  <w:num w:numId="4" w16cid:durableId="524250847">
    <w:abstractNumId w:val="9"/>
  </w:num>
  <w:num w:numId="5" w16cid:durableId="849835804">
    <w:abstractNumId w:val="3"/>
  </w:num>
  <w:num w:numId="6" w16cid:durableId="1408381805">
    <w:abstractNumId w:val="1"/>
  </w:num>
  <w:num w:numId="7" w16cid:durableId="96026420">
    <w:abstractNumId w:val="8"/>
  </w:num>
  <w:num w:numId="8" w16cid:durableId="1558932285">
    <w:abstractNumId w:val="7"/>
  </w:num>
  <w:num w:numId="9" w16cid:durableId="694111222">
    <w:abstractNumId w:val="6"/>
  </w:num>
  <w:num w:numId="10" w16cid:durableId="695615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C9"/>
    <w:rsid w:val="000035A4"/>
    <w:rsid w:val="00085AE9"/>
    <w:rsid w:val="00090972"/>
    <w:rsid w:val="000A2924"/>
    <w:rsid w:val="000E3A82"/>
    <w:rsid w:val="00122609"/>
    <w:rsid w:val="00155F40"/>
    <w:rsid w:val="00193DF0"/>
    <w:rsid w:val="001B799D"/>
    <w:rsid w:val="001C10C4"/>
    <w:rsid w:val="00200830"/>
    <w:rsid w:val="002058D8"/>
    <w:rsid w:val="00263719"/>
    <w:rsid w:val="002663BE"/>
    <w:rsid w:val="00271EA2"/>
    <w:rsid w:val="0039132D"/>
    <w:rsid w:val="003C12C9"/>
    <w:rsid w:val="003E742E"/>
    <w:rsid w:val="0040139C"/>
    <w:rsid w:val="0040645B"/>
    <w:rsid w:val="00416D5C"/>
    <w:rsid w:val="004266AF"/>
    <w:rsid w:val="00436B31"/>
    <w:rsid w:val="00463AC8"/>
    <w:rsid w:val="004778B0"/>
    <w:rsid w:val="00497997"/>
    <w:rsid w:val="004A4C8A"/>
    <w:rsid w:val="0058051A"/>
    <w:rsid w:val="0059688B"/>
    <w:rsid w:val="005A7CF2"/>
    <w:rsid w:val="006E3F1D"/>
    <w:rsid w:val="007A5D21"/>
    <w:rsid w:val="008428DE"/>
    <w:rsid w:val="008C11A8"/>
    <w:rsid w:val="00946FFB"/>
    <w:rsid w:val="009851F9"/>
    <w:rsid w:val="00A12F17"/>
    <w:rsid w:val="00A22801"/>
    <w:rsid w:val="00A23C45"/>
    <w:rsid w:val="00AC2639"/>
    <w:rsid w:val="00AD6CAC"/>
    <w:rsid w:val="00AE4A10"/>
    <w:rsid w:val="00BD4AFF"/>
    <w:rsid w:val="00C57BB4"/>
    <w:rsid w:val="00CB6CD8"/>
    <w:rsid w:val="00D04F6E"/>
    <w:rsid w:val="00D77682"/>
    <w:rsid w:val="00D91EB9"/>
    <w:rsid w:val="00DA05B8"/>
    <w:rsid w:val="00DF26AD"/>
    <w:rsid w:val="00DF7C6F"/>
    <w:rsid w:val="00E30FF9"/>
    <w:rsid w:val="00E45BC7"/>
    <w:rsid w:val="00ED07A4"/>
    <w:rsid w:val="00ED34F1"/>
    <w:rsid w:val="00F219B0"/>
    <w:rsid w:val="00F65B63"/>
    <w:rsid w:val="00F744ED"/>
    <w:rsid w:val="00F9387A"/>
    <w:rsid w:val="00FB3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6180"/>
  <w15:chartTrackingRefBased/>
  <w15:docId w15:val="{1480BBBD-FEFC-4809-AF96-DAA09006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C9"/>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3C12C9"/>
    <w:pPr>
      <w:spacing w:before="120" w:after="120" w:line="360" w:lineRule="auto"/>
      <w:jc w:val="both"/>
      <w:outlineLvl w:val="0"/>
    </w:pPr>
    <w:rPr>
      <w:b/>
      <w:bCs/>
      <w:caps/>
      <w:sz w:val="28"/>
      <w:szCs w:val="24"/>
    </w:rPr>
  </w:style>
  <w:style w:type="paragraph" w:styleId="Ttulo2">
    <w:name w:val="heading 2"/>
    <w:basedOn w:val="Normal"/>
    <w:next w:val="Normal"/>
    <w:link w:val="Ttulo2Char"/>
    <w:uiPriority w:val="9"/>
    <w:unhideWhenUsed/>
    <w:qFormat/>
    <w:rsid w:val="003C12C9"/>
    <w:pPr>
      <w:keepNext/>
      <w:keepLines/>
      <w:spacing w:before="120" w:after="120" w:line="360" w:lineRule="auto"/>
      <w:jc w:val="both"/>
      <w:outlineLvl w:val="1"/>
    </w:pPr>
    <w:rPr>
      <w:rFonts w:eastAsiaTheme="majorEastAsia" w:cstheme="majorBidi"/>
      <w:caps/>
      <w:sz w:val="24"/>
      <w:szCs w:val="26"/>
    </w:rPr>
  </w:style>
  <w:style w:type="paragraph" w:styleId="Ttulo3">
    <w:name w:val="heading 3"/>
    <w:basedOn w:val="Normal"/>
    <w:next w:val="Normal"/>
    <w:link w:val="Ttulo3Char"/>
    <w:uiPriority w:val="9"/>
    <w:unhideWhenUsed/>
    <w:qFormat/>
    <w:rsid w:val="003C12C9"/>
    <w:pPr>
      <w:keepNext/>
      <w:widowControl/>
      <w:autoSpaceDE/>
      <w:autoSpaceDN/>
      <w:spacing w:before="120" w:after="120" w:line="360" w:lineRule="auto"/>
      <w:outlineLvl w:val="2"/>
    </w:pPr>
    <w:rPr>
      <w:b/>
      <w:bCs/>
      <w:sz w:val="24"/>
      <w:szCs w:val="26"/>
      <w:lang w:val="x-none" w:eastAsia="en-US" w:bidi="ar-SA"/>
    </w:rPr>
  </w:style>
  <w:style w:type="paragraph" w:styleId="Ttulo4">
    <w:name w:val="heading 4"/>
    <w:basedOn w:val="Normal"/>
    <w:next w:val="Normal"/>
    <w:link w:val="Ttulo4Char"/>
    <w:uiPriority w:val="9"/>
    <w:unhideWhenUsed/>
    <w:qFormat/>
    <w:rsid w:val="003C12C9"/>
    <w:pPr>
      <w:keepNext/>
      <w:keepLines/>
      <w:spacing w:before="120" w:after="120" w:line="360" w:lineRule="auto"/>
      <w:jc w:val="both"/>
      <w:outlineLvl w:val="3"/>
    </w:pPr>
    <w:rPr>
      <w:sz w:val="24"/>
      <w:szCs w:val="24"/>
    </w:rPr>
  </w:style>
  <w:style w:type="paragraph" w:styleId="Ttulo5">
    <w:name w:val="heading 5"/>
    <w:basedOn w:val="Normal"/>
    <w:next w:val="Normal"/>
    <w:link w:val="Ttulo5Char"/>
    <w:uiPriority w:val="9"/>
    <w:semiHidden/>
    <w:unhideWhenUsed/>
    <w:qFormat/>
    <w:rsid w:val="003C12C9"/>
    <w:pPr>
      <w:widowControl/>
      <w:autoSpaceDE/>
      <w:autoSpaceDN/>
      <w:spacing w:before="240" w:after="60" w:line="276" w:lineRule="auto"/>
      <w:outlineLvl w:val="4"/>
    </w:pPr>
    <w:rPr>
      <w:rFonts w:ascii="Calibri" w:hAnsi="Calibri"/>
      <w:b/>
      <w:bCs/>
      <w:i/>
      <w:iCs/>
      <w:sz w:val="26"/>
      <w:szCs w:val="26"/>
      <w:lang w:val="x-none" w:eastAsia="en-US" w:bidi="ar-SA"/>
    </w:rPr>
  </w:style>
  <w:style w:type="paragraph" w:styleId="Ttulo6">
    <w:name w:val="heading 6"/>
    <w:basedOn w:val="Normal"/>
    <w:next w:val="Normal"/>
    <w:link w:val="Ttulo6Char"/>
    <w:uiPriority w:val="9"/>
    <w:semiHidden/>
    <w:unhideWhenUsed/>
    <w:qFormat/>
    <w:rsid w:val="003C12C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12C9"/>
    <w:rPr>
      <w:rFonts w:ascii="Times New Roman" w:eastAsia="Times New Roman" w:hAnsi="Times New Roman" w:cs="Times New Roman"/>
      <w:b/>
      <w:bCs/>
      <w:caps/>
      <w:sz w:val="28"/>
      <w:szCs w:val="24"/>
      <w:lang w:val="pt-PT" w:eastAsia="pt-PT" w:bidi="pt-PT"/>
    </w:rPr>
  </w:style>
  <w:style w:type="character" w:customStyle="1" w:styleId="Ttulo2Char">
    <w:name w:val="Título 2 Char"/>
    <w:basedOn w:val="Fontepargpadro"/>
    <w:link w:val="Ttulo2"/>
    <w:uiPriority w:val="9"/>
    <w:rsid w:val="003C12C9"/>
    <w:rPr>
      <w:rFonts w:ascii="Times New Roman" w:eastAsiaTheme="majorEastAsia" w:hAnsi="Times New Roman" w:cstheme="majorBidi"/>
      <w:caps/>
      <w:sz w:val="24"/>
      <w:szCs w:val="26"/>
      <w:lang w:val="pt-PT" w:eastAsia="pt-PT" w:bidi="pt-PT"/>
    </w:rPr>
  </w:style>
  <w:style w:type="character" w:customStyle="1" w:styleId="Ttulo3Char">
    <w:name w:val="Título 3 Char"/>
    <w:basedOn w:val="Fontepargpadro"/>
    <w:link w:val="Ttulo3"/>
    <w:uiPriority w:val="9"/>
    <w:rsid w:val="003C12C9"/>
    <w:rPr>
      <w:rFonts w:ascii="Times New Roman" w:eastAsia="Times New Roman" w:hAnsi="Times New Roman" w:cs="Times New Roman"/>
      <w:b/>
      <w:bCs/>
      <w:sz w:val="24"/>
      <w:szCs w:val="26"/>
      <w:lang w:val="x-none"/>
    </w:rPr>
  </w:style>
  <w:style w:type="character" w:customStyle="1" w:styleId="Ttulo4Char">
    <w:name w:val="Título 4 Char"/>
    <w:basedOn w:val="Fontepargpadro"/>
    <w:link w:val="Ttulo4"/>
    <w:uiPriority w:val="9"/>
    <w:rsid w:val="003C12C9"/>
    <w:rPr>
      <w:rFonts w:ascii="Times New Roman" w:eastAsia="Times New Roman" w:hAnsi="Times New Roman" w:cs="Times New Roman"/>
      <w:sz w:val="24"/>
      <w:szCs w:val="24"/>
      <w:lang w:val="pt-PT" w:eastAsia="pt-PT" w:bidi="pt-PT"/>
    </w:rPr>
  </w:style>
  <w:style w:type="character" w:customStyle="1" w:styleId="Ttulo5Char">
    <w:name w:val="Título 5 Char"/>
    <w:basedOn w:val="Fontepargpadro"/>
    <w:link w:val="Ttulo5"/>
    <w:uiPriority w:val="9"/>
    <w:semiHidden/>
    <w:rsid w:val="003C12C9"/>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3C12C9"/>
    <w:rPr>
      <w:rFonts w:ascii="Times New Roman" w:eastAsia="Times New Roman" w:hAnsi="Times New Roman" w:cs="Times New Roman"/>
      <w:b/>
      <w:sz w:val="20"/>
      <w:szCs w:val="20"/>
      <w:lang w:val="pt-PT" w:eastAsia="pt-PT" w:bidi="pt-PT"/>
    </w:rPr>
  </w:style>
  <w:style w:type="table" w:customStyle="1" w:styleId="TableNormal">
    <w:name w:val="Table Normal"/>
    <w:uiPriority w:val="2"/>
    <w:rsid w:val="003C12C9"/>
    <w:pPr>
      <w:widowControl w:val="0"/>
      <w:spacing w:after="0" w:line="240" w:lineRule="auto"/>
    </w:pPr>
    <w:rPr>
      <w:rFonts w:ascii="Times New Roman" w:eastAsia="Times New Roman" w:hAnsi="Times New Roman" w:cs="Times New Roman"/>
      <w:lang w:val="pt-PT"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3C12C9"/>
    <w:pPr>
      <w:keepNext/>
      <w:keepLines/>
      <w:spacing w:before="480" w:after="120"/>
    </w:pPr>
    <w:rPr>
      <w:b/>
      <w:sz w:val="72"/>
      <w:szCs w:val="72"/>
    </w:rPr>
  </w:style>
  <w:style w:type="character" w:customStyle="1" w:styleId="TtuloChar">
    <w:name w:val="Título Char"/>
    <w:basedOn w:val="Fontepargpadro"/>
    <w:link w:val="Ttulo"/>
    <w:uiPriority w:val="10"/>
    <w:rsid w:val="003C12C9"/>
    <w:rPr>
      <w:rFonts w:ascii="Times New Roman" w:eastAsia="Times New Roman" w:hAnsi="Times New Roman" w:cs="Times New Roman"/>
      <w:b/>
      <w:sz w:val="72"/>
      <w:szCs w:val="72"/>
      <w:lang w:val="pt-PT" w:eastAsia="pt-PT" w:bidi="pt-PT"/>
    </w:rPr>
  </w:style>
  <w:style w:type="paragraph" w:styleId="Sumrio1">
    <w:name w:val="toc 1"/>
    <w:basedOn w:val="Normal"/>
    <w:uiPriority w:val="39"/>
    <w:qFormat/>
    <w:rsid w:val="003C12C9"/>
    <w:pPr>
      <w:spacing w:before="259"/>
      <w:ind w:left="461" w:hanging="241"/>
    </w:pPr>
    <w:rPr>
      <w:b/>
      <w:bCs/>
      <w:sz w:val="24"/>
      <w:szCs w:val="24"/>
    </w:rPr>
  </w:style>
  <w:style w:type="paragraph" w:styleId="Corpodetexto">
    <w:name w:val="Body Text"/>
    <w:basedOn w:val="Normal"/>
    <w:link w:val="CorpodetextoChar"/>
    <w:qFormat/>
    <w:rsid w:val="003C12C9"/>
    <w:rPr>
      <w:sz w:val="24"/>
      <w:szCs w:val="24"/>
    </w:rPr>
  </w:style>
  <w:style w:type="character" w:customStyle="1" w:styleId="CorpodetextoChar">
    <w:name w:val="Corpo de texto Char"/>
    <w:basedOn w:val="Fontepargpadro"/>
    <w:link w:val="Corpodetexto"/>
    <w:rsid w:val="003C12C9"/>
    <w:rPr>
      <w:rFonts w:ascii="Times New Roman" w:eastAsia="Times New Roman" w:hAnsi="Times New Roman" w:cs="Times New Roman"/>
      <w:sz w:val="24"/>
      <w:szCs w:val="24"/>
      <w:lang w:val="pt-PT" w:eastAsia="pt-PT" w:bidi="pt-PT"/>
    </w:rPr>
  </w:style>
  <w:style w:type="paragraph" w:styleId="Textodenotaderodap">
    <w:name w:val="footnote text"/>
    <w:aliases w:val="Char Char17,fn Char,fn,Char Char,Char,Char Char4,Char Char41,Char Char411,Char Char42,Char3,Char Char Char7,fn Char Char Char,Char Char421,Char Char4111"/>
    <w:basedOn w:val="Normal"/>
    <w:link w:val="TextodenotaderodapChar"/>
    <w:uiPriority w:val="99"/>
    <w:unhideWhenUsed/>
    <w:rsid w:val="003C12C9"/>
    <w:pPr>
      <w:widowControl/>
      <w:autoSpaceDE/>
      <w:autoSpaceDN/>
    </w:pPr>
    <w:rPr>
      <w:rFonts w:ascii="Calibri" w:eastAsia="Calibri" w:hAnsi="Calibri"/>
      <w:sz w:val="20"/>
      <w:szCs w:val="20"/>
      <w:lang w:val="x-none" w:eastAsia="x-none" w:bidi="ar-SA"/>
    </w:rPr>
  </w:style>
  <w:style w:type="character" w:customStyle="1" w:styleId="TextodenotaderodapChar">
    <w:name w:val="Texto de nota de rodapé Char"/>
    <w:aliases w:val="Char Char17 Char1,fn Char Char1,fn Char3,Char Char Char,Char Char1,Char Char4 Char,Char Char41 Char,Char Char411 Char,Char Char42 Char,Char3 Char,Char Char Char7 Char,fn Char Char Char Char,Char Char421 Char"/>
    <w:basedOn w:val="Fontepargpadro"/>
    <w:link w:val="Textodenotaderodap"/>
    <w:uiPriority w:val="99"/>
    <w:rsid w:val="003C12C9"/>
    <w:rPr>
      <w:rFonts w:ascii="Calibri" w:eastAsia="Calibri" w:hAnsi="Calibri" w:cs="Times New Roman"/>
      <w:sz w:val="20"/>
      <w:szCs w:val="20"/>
      <w:lang w:val="x-none" w:eastAsia="x-none"/>
    </w:rPr>
  </w:style>
  <w:style w:type="character" w:styleId="Refdenotaderodap">
    <w:name w:val="footnote reference"/>
    <w:uiPriority w:val="99"/>
    <w:unhideWhenUsed/>
    <w:rsid w:val="003C12C9"/>
    <w:rPr>
      <w:vertAlign w:val="superscript"/>
    </w:rPr>
  </w:style>
  <w:style w:type="character" w:styleId="Hyperlink">
    <w:name w:val="Hyperlink"/>
    <w:uiPriority w:val="99"/>
    <w:unhideWhenUsed/>
    <w:rsid w:val="003C12C9"/>
    <w:rPr>
      <w:color w:val="0000FF"/>
      <w:u w:val="single"/>
    </w:rPr>
  </w:style>
  <w:style w:type="paragraph" w:styleId="NormalWeb">
    <w:name w:val="Normal (Web)"/>
    <w:basedOn w:val="Normal"/>
    <w:uiPriority w:val="99"/>
    <w:unhideWhenUsed/>
    <w:rsid w:val="003C12C9"/>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
    <w:rsid w:val="003C12C9"/>
    <w:pPr>
      <w:widowControl/>
      <w:autoSpaceDE/>
      <w:autoSpaceDN/>
      <w:spacing w:before="100" w:beforeAutospacing="1" w:after="100" w:afterAutospacing="1"/>
    </w:pPr>
    <w:rPr>
      <w:sz w:val="24"/>
      <w:szCs w:val="24"/>
      <w:lang w:val="pt-BR" w:eastAsia="pt-BR" w:bidi="ar-SA"/>
    </w:rPr>
  </w:style>
  <w:style w:type="paragraph" w:styleId="PargrafodaLista">
    <w:name w:val="List Paragraph"/>
    <w:basedOn w:val="Normal"/>
    <w:uiPriority w:val="34"/>
    <w:qFormat/>
    <w:rsid w:val="003C12C9"/>
    <w:pPr>
      <w:ind w:left="581" w:hanging="361"/>
    </w:pPr>
  </w:style>
  <w:style w:type="paragraph" w:customStyle="1" w:styleId="TableParagraph">
    <w:name w:val="Table Paragraph"/>
    <w:basedOn w:val="Normal"/>
    <w:uiPriority w:val="1"/>
    <w:qFormat/>
    <w:rsid w:val="003C12C9"/>
  </w:style>
  <w:style w:type="character" w:customStyle="1" w:styleId="apple-converted-space">
    <w:name w:val="apple-converted-space"/>
    <w:basedOn w:val="Fontepargpadro"/>
    <w:rsid w:val="003C12C9"/>
  </w:style>
  <w:style w:type="character" w:styleId="nfase">
    <w:name w:val="Emphasis"/>
    <w:uiPriority w:val="20"/>
    <w:qFormat/>
    <w:rsid w:val="003C12C9"/>
    <w:rPr>
      <w:i/>
      <w:iCs/>
    </w:rPr>
  </w:style>
  <w:style w:type="character" w:styleId="Forte">
    <w:name w:val="Strong"/>
    <w:basedOn w:val="Fontepargpadro"/>
    <w:uiPriority w:val="22"/>
    <w:qFormat/>
    <w:rsid w:val="003C12C9"/>
    <w:rPr>
      <w:b/>
      <w:bCs/>
    </w:rPr>
  </w:style>
  <w:style w:type="character" w:styleId="MenoPendente">
    <w:name w:val="Unresolved Mention"/>
    <w:basedOn w:val="Fontepargpadro"/>
    <w:uiPriority w:val="99"/>
    <w:semiHidden/>
    <w:unhideWhenUsed/>
    <w:rsid w:val="003C12C9"/>
    <w:rPr>
      <w:color w:val="605E5C"/>
      <w:shd w:val="clear" w:color="auto" w:fill="E1DFDD"/>
    </w:rPr>
  </w:style>
  <w:style w:type="paragraph" w:customStyle="1" w:styleId="textbody">
    <w:name w:val="textbody"/>
    <w:basedOn w:val="Normal"/>
    <w:rsid w:val="003C12C9"/>
    <w:pPr>
      <w:widowControl/>
      <w:autoSpaceDE/>
      <w:autoSpaceDN/>
      <w:spacing w:before="100" w:beforeAutospacing="1" w:after="100" w:afterAutospacing="1"/>
    </w:pPr>
    <w:rPr>
      <w:sz w:val="24"/>
      <w:szCs w:val="24"/>
      <w:lang w:val="pt-BR" w:eastAsia="pt-BR" w:bidi="ar-SA"/>
    </w:rPr>
  </w:style>
  <w:style w:type="paragraph" w:styleId="CabealhodoSumrio">
    <w:name w:val="TOC Heading"/>
    <w:basedOn w:val="Ttulo1"/>
    <w:next w:val="Normal"/>
    <w:uiPriority w:val="39"/>
    <w:unhideWhenUsed/>
    <w:qFormat/>
    <w:rsid w:val="003C12C9"/>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bidi="ar-SA"/>
    </w:rPr>
  </w:style>
  <w:style w:type="paragraph" w:styleId="Cabealho">
    <w:name w:val="header"/>
    <w:basedOn w:val="Normal"/>
    <w:link w:val="CabealhoChar"/>
    <w:uiPriority w:val="99"/>
    <w:unhideWhenUsed/>
    <w:rsid w:val="003C12C9"/>
    <w:pPr>
      <w:widowControl/>
      <w:tabs>
        <w:tab w:val="center" w:pos="4252"/>
        <w:tab w:val="right" w:pos="8504"/>
      </w:tabs>
      <w:autoSpaceDE/>
      <w:autoSpaceDN/>
    </w:pPr>
    <w:rPr>
      <w:rFonts w:ascii="Calibri" w:eastAsia="Calibri" w:hAnsi="Calibri"/>
      <w:lang w:val="pt-BR" w:eastAsia="en-US" w:bidi="ar-SA"/>
    </w:rPr>
  </w:style>
  <w:style w:type="character" w:customStyle="1" w:styleId="CabealhoChar">
    <w:name w:val="Cabeçalho Char"/>
    <w:basedOn w:val="Fontepargpadro"/>
    <w:link w:val="Cabealho"/>
    <w:uiPriority w:val="99"/>
    <w:rsid w:val="003C12C9"/>
    <w:rPr>
      <w:rFonts w:ascii="Calibri" w:eastAsia="Calibri" w:hAnsi="Calibri" w:cs="Times New Roman"/>
    </w:rPr>
  </w:style>
  <w:style w:type="paragraph" w:customStyle="1" w:styleId="Default">
    <w:name w:val="Default"/>
    <w:uiPriority w:val="99"/>
    <w:rsid w:val="003C12C9"/>
    <w:pPr>
      <w:widowControl w:val="0"/>
      <w:autoSpaceDE w:val="0"/>
      <w:autoSpaceDN w:val="0"/>
      <w:adjustRightInd w:val="0"/>
      <w:spacing w:after="0" w:line="240" w:lineRule="auto"/>
    </w:pPr>
    <w:rPr>
      <w:rFonts w:ascii="Times New Roman" w:eastAsia="Calibri" w:hAnsi="Times New Roman" w:cs="Times New Roman"/>
      <w:color w:val="000000"/>
      <w:sz w:val="24"/>
      <w:szCs w:val="24"/>
      <w:lang w:val="pt-PT" w:eastAsia="pt-BR"/>
    </w:rPr>
  </w:style>
  <w:style w:type="paragraph" w:styleId="Pr-formataoHTML">
    <w:name w:val="HTML Preformatted"/>
    <w:basedOn w:val="Normal"/>
    <w:link w:val="Pr-formataoHTMLChar"/>
    <w:uiPriority w:val="99"/>
    <w:unhideWhenUsed/>
    <w:rsid w:val="003C1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3C12C9"/>
    <w:rPr>
      <w:rFonts w:ascii="Courier New" w:eastAsia="Times New Roman" w:hAnsi="Courier New" w:cs="Courier New"/>
      <w:sz w:val="20"/>
      <w:szCs w:val="20"/>
      <w:lang w:eastAsia="pt-BR"/>
    </w:rPr>
  </w:style>
  <w:style w:type="character" w:customStyle="1" w:styleId="y2iqfc">
    <w:name w:val="y2iqfc"/>
    <w:basedOn w:val="Fontepargpadro"/>
    <w:rsid w:val="003C12C9"/>
  </w:style>
  <w:style w:type="paragraph" w:customStyle="1" w:styleId="Artigo0">
    <w:name w:val="Artigo"/>
    <w:basedOn w:val="Normal"/>
    <w:rsid w:val="003C12C9"/>
    <w:pPr>
      <w:widowControl/>
      <w:overflowPunct w:val="0"/>
      <w:adjustRightInd w:val="0"/>
      <w:spacing w:before="120"/>
      <w:ind w:firstLine="567"/>
      <w:jc w:val="both"/>
      <w:textAlignment w:val="baseline"/>
    </w:pPr>
    <w:rPr>
      <w:sz w:val="24"/>
      <w:szCs w:val="20"/>
      <w:lang w:val="pt-BR" w:eastAsia="pt-BR" w:bidi="ar-SA"/>
    </w:rPr>
  </w:style>
  <w:style w:type="paragraph" w:customStyle="1" w:styleId="texto1">
    <w:name w:val="texto1"/>
    <w:basedOn w:val="Normal"/>
    <w:rsid w:val="003C12C9"/>
    <w:pPr>
      <w:widowControl/>
      <w:autoSpaceDE/>
      <w:autoSpaceDN/>
      <w:spacing w:before="100" w:beforeAutospacing="1" w:after="100" w:afterAutospacing="1"/>
    </w:pPr>
    <w:rPr>
      <w:sz w:val="24"/>
      <w:szCs w:val="24"/>
      <w:lang w:val="pt-BR" w:eastAsia="pt-BR" w:bidi="ar-SA"/>
    </w:rPr>
  </w:style>
  <w:style w:type="paragraph" w:customStyle="1" w:styleId="texto2">
    <w:name w:val="texto2"/>
    <w:basedOn w:val="Normal"/>
    <w:rsid w:val="003C12C9"/>
    <w:pPr>
      <w:widowControl/>
      <w:autoSpaceDE/>
      <w:autoSpaceDN/>
      <w:spacing w:before="100" w:beforeAutospacing="1" w:after="100" w:afterAutospacing="1"/>
    </w:pPr>
    <w:rPr>
      <w:sz w:val="24"/>
      <w:szCs w:val="24"/>
      <w:lang w:val="pt-BR" w:eastAsia="pt-BR" w:bidi="ar-SA"/>
    </w:rPr>
  </w:style>
  <w:style w:type="character" w:customStyle="1" w:styleId="TextodenotaderodapChar1">
    <w:name w:val="Texto de nota de rodapé Char1"/>
    <w:aliases w:val="Char Char17 Char,fn Char Char,fn Char2,Char Char Char1,Char Char2,Char Char4 Char1,Char Char41 Char1,Char Char411 Char1,Char Char42 Char1,Char3 Char1,Char Char Char7 Char1,fn Char Char Char Char1,Char Char421 Char1,fn Char1"/>
    <w:basedOn w:val="Fontepargpadro"/>
    <w:uiPriority w:val="99"/>
    <w:locked/>
    <w:rsid w:val="003C12C9"/>
    <w:rPr>
      <w:rFonts w:ascii="Times New Roman" w:hAnsi="Times New Roman" w:cs="Times New Roman"/>
      <w:sz w:val="20"/>
      <w:szCs w:val="20"/>
    </w:rPr>
  </w:style>
  <w:style w:type="paragraph" w:customStyle="1" w:styleId="PADRAO">
    <w:name w:val="PADRAO"/>
    <w:uiPriority w:val="99"/>
    <w:rsid w:val="003C12C9"/>
    <w:pPr>
      <w:widowControl w:val="0"/>
      <w:autoSpaceDE w:val="0"/>
      <w:autoSpaceDN w:val="0"/>
      <w:adjustRightInd w:val="0"/>
      <w:spacing w:after="0" w:line="240" w:lineRule="auto"/>
      <w:ind w:firstLine="2736"/>
      <w:jc w:val="both"/>
    </w:pPr>
    <w:rPr>
      <w:rFonts w:ascii="Bookman Old Style" w:eastAsia="Times New Roman" w:hAnsi="Bookman Old Style" w:cs="Bookman Old Style"/>
      <w:color w:val="000000"/>
      <w:sz w:val="24"/>
      <w:szCs w:val="24"/>
      <w:lang w:val="pt-PT" w:eastAsia="pt-BR"/>
    </w:rPr>
  </w:style>
  <w:style w:type="paragraph" w:customStyle="1" w:styleId="Estilo1">
    <w:name w:val="Estilo1"/>
    <w:uiPriority w:val="99"/>
    <w:rsid w:val="003C12C9"/>
    <w:pPr>
      <w:widowControl w:val="0"/>
      <w:autoSpaceDE w:val="0"/>
      <w:autoSpaceDN w:val="0"/>
      <w:adjustRightInd w:val="0"/>
      <w:spacing w:after="0" w:line="360" w:lineRule="auto"/>
      <w:ind w:firstLine="1701"/>
      <w:jc w:val="both"/>
    </w:pPr>
    <w:rPr>
      <w:rFonts w:ascii="CG Omega" w:eastAsia="Times New Roman" w:hAnsi="CG Omega" w:cs="CG Omega"/>
      <w:sz w:val="24"/>
      <w:szCs w:val="24"/>
      <w:lang w:val="pt-PT" w:eastAsia="pt-BR"/>
    </w:rPr>
  </w:style>
  <w:style w:type="paragraph" w:customStyle="1" w:styleId="RDPMTexto">
    <w:name w:val="RDPM Texto"/>
    <w:uiPriority w:val="99"/>
    <w:rsid w:val="003C12C9"/>
    <w:pPr>
      <w:widowControl w:val="0"/>
      <w:autoSpaceDE w:val="0"/>
      <w:autoSpaceDN w:val="0"/>
      <w:adjustRightInd w:val="0"/>
      <w:spacing w:after="0" w:line="360" w:lineRule="auto"/>
      <w:ind w:firstLine="1701"/>
      <w:jc w:val="both"/>
    </w:pPr>
    <w:rPr>
      <w:rFonts w:ascii="Arial" w:eastAsia="Times New Roman" w:hAnsi="Arial" w:cs="Arial"/>
      <w:color w:val="000000"/>
      <w:lang w:val="pt-PT" w:eastAsia="pt-BR"/>
    </w:rPr>
  </w:style>
  <w:style w:type="paragraph" w:customStyle="1" w:styleId="ementa">
    <w:name w:val="ementa"/>
    <w:basedOn w:val="Normal"/>
    <w:rsid w:val="003C12C9"/>
    <w:pPr>
      <w:widowControl/>
      <w:autoSpaceDE/>
      <w:autoSpaceDN/>
      <w:spacing w:before="100" w:beforeAutospacing="1" w:after="100" w:afterAutospacing="1"/>
    </w:pPr>
    <w:rPr>
      <w:sz w:val="24"/>
      <w:szCs w:val="24"/>
      <w:lang w:val="pt-BR" w:eastAsia="pt-BR" w:bidi="ar-SA"/>
    </w:rPr>
  </w:style>
  <w:style w:type="paragraph" w:customStyle="1" w:styleId="fixo">
    <w:name w:val="fixo"/>
    <w:basedOn w:val="Normal"/>
    <w:rsid w:val="003C12C9"/>
    <w:pPr>
      <w:widowControl/>
      <w:autoSpaceDE/>
      <w:autoSpaceDN/>
      <w:spacing w:before="100" w:beforeAutospacing="1" w:after="100" w:afterAutospacing="1"/>
    </w:pPr>
    <w:rPr>
      <w:sz w:val="24"/>
      <w:szCs w:val="24"/>
      <w:lang w:val="pt-BR" w:eastAsia="pt-BR" w:bidi="ar-SA"/>
    </w:rPr>
  </w:style>
  <w:style w:type="paragraph" w:customStyle="1" w:styleId="Recuodecorpodetexto21">
    <w:name w:val="Recuo de corpo de texto 21"/>
    <w:uiPriority w:val="99"/>
    <w:rsid w:val="003C12C9"/>
    <w:pPr>
      <w:widowControl w:val="0"/>
      <w:autoSpaceDE w:val="0"/>
      <w:autoSpaceDN w:val="0"/>
      <w:adjustRightInd w:val="0"/>
      <w:spacing w:after="0" w:line="240" w:lineRule="auto"/>
      <w:ind w:firstLine="2835"/>
      <w:jc w:val="both"/>
    </w:pPr>
    <w:rPr>
      <w:rFonts w:ascii="Times New Roman" w:eastAsia="Times New Roman" w:hAnsi="Times New Roman" w:cs="Times New Roman"/>
      <w:sz w:val="28"/>
      <w:szCs w:val="28"/>
      <w:lang w:val="pt-PT" w:eastAsia="pt-BR"/>
    </w:rPr>
  </w:style>
  <w:style w:type="paragraph" w:customStyle="1" w:styleId="jota-articlelead">
    <w:name w:val="jota-article__lead"/>
    <w:basedOn w:val="Normal"/>
    <w:rsid w:val="003C12C9"/>
    <w:pPr>
      <w:widowControl/>
      <w:autoSpaceDE/>
      <w:autoSpaceDN/>
      <w:spacing w:before="100" w:beforeAutospacing="1" w:after="100" w:afterAutospacing="1"/>
    </w:pPr>
    <w:rPr>
      <w:sz w:val="24"/>
      <w:szCs w:val="24"/>
      <w:lang w:val="pt-BR" w:eastAsia="pt-BR" w:bidi="ar-SA"/>
    </w:rPr>
  </w:style>
  <w:style w:type="character" w:customStyle="1" w:styleId="jota">
    <w:name w:val="jota"/>
    <w:basedOn w:val="Fontepargpadro"/>
    <w:rsid w:val="003C12C9"/>
  </w:style>
  <w:style w:type="paragraph" w:styleId="Textodenotadefim">
    <w:name w:val="endnote text"/>
    <w:basedOn w:val="Normal"/>
    <w:link w:val="TextodenotadefimChar"/>
    <w:uiPriority w:val="99"/>
    <w:semiHidden/>
    <w:unhideWhenUsed/>
    <w:rsid w:val="003C12C9"/>
    <w:rPr>
      <w:sz w:val="20"/>
      <w:szCs w:val="20"/>
    </w:rPr>
  </w:style>
  <w:style w:type="character" w:customStyle="1" w:styleId="TextodenotadefimChar">
    <w:name w:val="Texto de nota de fim Char"/>
    <w:basedOn w:val="Fontepargpadro"/>
    <w:link w:val="Textodenotadefim"/>
    <w:uiPriority w:val="99"/>
    <w:semiHidden/>
    <w:rsid w:val="003C12C9"/>
    <w:rPr>
      <w:rFonts w:ascii="Times New Roman" w:eastAsia="Times New Roman" w:hAnsi="Times New Roman" w:cs="Times New Roman"/>
      <w:sz w:val="20"/>
      <w:szCs w:val="20"/>
      <w:lang w:val="pt-PT" w:eastAsia="pt-PT" w:bidi="pt-PT"/>
    </w:rPr>
  </w:style>
  <w:style w:type="character" w:styleId="Refdenotadefim">
    <w:name w:val="endnote reference"/>
    <w:basedOn w:val="Fontepargpadro"/>
    <w:uiPriority w:val="99"/>
    <w:semiHidden/>
    <w:unhideWhenUsed/>
    <w:rsid w:val="003C12C9"/>
    <w:rPr>
      <w:vertAlign w:val="superscript"/>
    </w:rPr>
  </w:style>
  <w:style w:type="paragraph" w:styleId="Rodap">
    <w:name w:val="footer"/>
    <w:basedOn w:val="Normal"/>
    <w:link w:val="RodapChar"/>
    <w:uiPriority w:val="99"/>
    <w:unhideWhenUsed/>
    <w:rsid w:val="003C12C9"/>
    <w:pPr>
      <w:tabs>
        <w:tab w:val="center" w:pos="4252"/>
        <w:tab w:val="right" w:pos="8504"/>
      </w:tabs>
    </w:pPr>
  </w:style>
  <w:style w:type="character" w:customStyle="1" w:styleId="RodapChar">
    <w:name w:val="Rodapé Char"/>
    <w:basedOn w:val="Fontepargpadro"/>
    <w:link w:val="Rodap"/>
    <w:uiPriority w:val="99"/>
    <w:rsid w:val="003C12C9"/>
    <w:rPr>
      <w:rFonts w:ascii="Times New Roman" w:eastAsia="Times New Roman" w:hAnsi="Times New Roman" w:cs="Times New Roman"/>
      <w:lang w:val="pt-PT" w:eastAsia="pt-PT" w:bidi="pt-PT"/>
    </w:rPr>
  </w:style>
  <w:style w:type="paragraph" w:styleId="Subttulo">
    <w:name w:val="Subtitle"/>
    <w:basedOn w:val="Normal"/>
    <w:next w:val="Normal"/>
    <w:link w:val="SubttuloChar"/>
    <w:uiPriority w:val="11"/>
    <w:qFormat/>
    <w:rsid w:val="003C12C9"/>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3C12C9"/>
    <w:rPr>
      <w:rFonts w:ascii="Georgia" w:eastAsia="Georgia" w:hAnsi="Georgia" w:cs="Georgia"/>
      <w:i/>
      <w:color w:val="666666"/>
      <w:sz w:val="48"/>
      <w:szCs w:val="48"/>
      <w:lang w:val="pt-PT" w:eastAsia="pt-PT" w:bidi="pt-PT"/>
    </w:rPr>
  </w:style>
  <w:style w:type="paragraph" w:customStyle="1" w:styleId="identifica">
    <w:name w:val="identifica"/>
    <w:basedOn w:val="Normal"/>
    <w:rsid w:val="003C12C9"/>
    <w:pPr>
      <w:widowControl/>
      <w:autoSpaceDE/>
      <w:autoSpaceDN/>
      <w:spacing w:before="100" w:beforeAutospacing="1" w:after="100" w:afterAutospacing="1"/>
    </w:pPr>
    <w:rPr>
      <w:sz w:val="24"/>
      <w:szCs w:val="24"/>
      <w:lang w:val="pt-BR" w:eastAsia="pt-BR" w:bidi="ar-SA"/>
    </w:rPr>
  </w:style>
  <w:style w:type="paragraph" w:customStyle="1" w:styleId="dou-paragraph">
    <w:name w:val="dou-paragraph"/>
    <w:basedOn w:val="Normal"/>
    <w:rsid w:val="003C12C9"/>
    <w:pPr>
      <w:widowControl/>
      <w:autoSpaceDE/>
      <w:autoSpaceDN/>
      <w:spacing w:before="100" w:beforeAutospacing="1" w:after="100" w:afterAutospacing="1"/>
    </w:pPr>
    <w:rPr>
      <w:sz w:val="24"/>
      <w:szCs w:val="24"/>
      <w:lang w:val="pt-BR" w:eastAsia="pt-BR" w:bidi="ar-SA"/>
    </w:rPr>
  </w:style>
  <w:style w:type="character" w:customStyle="1" w:styleId="pipe">
    <w:name w:val="pipe"/>
    <w:basedOn w:val="Fontepargpadro"/>
    <w:rsid w:val="003C12C9"/>
  </w:style>
  <w:style w:type="character" w:customStyle="1" w:styleId="edicao-dou">
    <w:name w:val="edicao-dou"/>
    <w:basedOn w:val="Fontepargpadro"/>
    <w:rsid w:val="003C12C9"/>
  </w:style>
  <w:style w:type="character" w:customStyle="1" w:styleId="edicao-dou-data">
    <w:name w:val="edicao-dou-data"/>
    <w:basedOn w:val="Fontepargpadro"/>
    <w:rsid w:val="003C12C9"/>
  </w:style>
  <w:style w:type="character" w:customStyle="1" w:styleId="secao-dou">
    <w:name w:val="secao-dou"/>
    <w:basedOn w:val="Fontepargpadro"/>
    <w:rsid w:val="003C12C9"/>
  </w:style>
  <w:style w:type="character" w:customStyle="1" w:styleId="secao-dou-data">
    <w:name w:val="secao-dou-data"/>
    <w:basedOn w:val="Fontepargpadro"/>
    <w:rsid w:val="003C12C9"/>
  </w:style>
  <w:style w:type="character" w:customStyle="1" w:styleId="TextodenotadefimChar1">
    <w:name w:val="Texto de nota de fim Char1"/>
    <w:basedOn w:val="Fontepargpadro"/>
    <w:uiPriority w:val="99"/>
    <w:semiHidden/>
    <w:rsid w:val="003C12C9"/>
    <w:rPr>
      <w:rFonts w:ascii="Times New Roman" w:eastAsia="Times New Roman" w:hAnsi="Times New Roman" w:cs="Times New Roman"/>
      <w:sz w:val="20"/>
      <w:szCs w:val="20"/>
      <w:lang w:val="pt-PT" w:eastAsia="pt-PT" w:bidi="pt-PT"/>
    </w:rPr>
  </w:style>
  <w:style w:type="paragraph" w:styleId="Sumrio2">
    <w:name w:val="toc 2"/>
    <w:basedOn w:val="Normal"/>
    <w:next w:val="Normal"/>
    <w:autoRedefine/>
    <w:uiPriority w:val="39"/>
    <w:unhideWhenUsed/>
    <w:rsid w:val="003C12C9"/>
    <w:pPr>
      <w:tabs>
        <w:tab w:val="left" w:pos="709"/>
        <w:tab w:val="right" w:leader="dot" w:pos="9061"/>
      </w:tabs>
      <w:spacing w:before="120" w:after="120"/>
      <w:jc w:val="both"/>
    </w:pPr>
  </w:style>
  <w:style w:type="paragraph" w:styleId="Sumrio3">
    <w:name w:val="toc 3"/>
    <w:basedOn w:val="Normal"/>
    <w:next w:val="Normal"/>
    <w:autoRedefine/>
    <w:uiPriority w:val="39"/>
    <w:unhideWhenUsed/>
    <w:rsid w:val="003C12C9"/>
    <w:pPr>
      <w:tabs>
        <w:tab w:val="left" w:pos="1320"/>
        <w:tab w:val="right" w:leader="dot" w:pos="9061"/>
      </w:tabs>
      <w:spacing w:line="360" w:lineRule="auto"/>
      <w:ind w:left="851" w:hanging="851"/>
      <w:jc w:val="both"/>
    </w:pPr>
    <w:rPr>
      <w:rFonts w:eastAsia="Calibri"/>
      <w:b/>
      <w:bCs/>
      <w:noProof/>
      <w:sz w:val="24"/>
      <w:szCs w:val="24"/>
    </w:rPr>
  </w:style>
  <w:style w:type="paragraph" w:styleId="Sumrio4">
    <w:name w:val="toc 4"/>
    <w:basedOn w:val="Normal"/>
    <w:next w:val="Normal"/>
    <w:autoRedefine/>
    <w:uiPriority w:val="39"/>
    <w:unhideWhenUsed/>
    <w:rsid w:val="003C12C9"/>
    <w:pPr>
      <w:widowControl/>
      <w:tabs>
        <w:tab w:val="left" w:pos="851"/>
        <w:tab w:val="right" w:leader="dot" w:pos="9061"/>
      </w:tabs>
      <w:autoSpaceDE/>
      <w:autoSpaceDN/>
      <w:spacing w:line="360" w:lineRule="auto"/>
      <w:ind w:left="709" w:hanging="709"/>
      <w:jc w:val="both"/>
    </w:pPr>
    <w:rPr>
      <w:rFonts w:asciiTheme="minorHAnsi" w:eastAsiaTheme="minorEastAsia" w:hAnsiTheme="minorHAnsi" w:cstheme="minorBidi"/>
      <w:lang w:val="pt-BR" w:eastAsia="pt-BR" w:bidi="ar-SA"/>
    </w:rPr>
  </w:style>
  <w:style w:type="paragraph" w:styleId="Sumrio5">
    <w:name w:val="toc 5"/>
    <w:basedOn w:val="Normal"/>
    <w:next w:val="Normal"/>
    <w:autoRedefine/>
    <w:uiPriority w:val="39"/>
    <w:unhideWhenUsed/>
    <w:rsid w:val="003C12C9"/>
    <w:pPr>
      <w:widowControl/>
      <w:autoSpaceDE/>
      <w:autoSpaceDN/>
      <w:spacing w:after="100" w:line="259" w:lineRule="auto"/>
      <w:ind w:left="880"/>
    </w:pPr>
    <w:rPr>
      <w:rFonts w:asciiTheme="minorHAnsi" w:eastAsiaTheme="minorEastAsia" w:hAnsiTheme="minorHAnsi" w:cstheme="minorBidi"/>
      <w:lang w:val="pt-BR" w:eastAsia="pt-BR" w:bidi="ar-SA"/>
    </w:rPr>
  </w:style>
  <w:style w:type="paragraph" w:styleId="Sumrio6">
    <w:name w:val="toc 6"/>
    <w:basedOn w:val="Normal"/>
    <w:next w:val="Normal"/>
    <w:autoRedefine/>
    <w:uiPriority w:val="39"/>
    <w:unhideWhenUsed/>
    <w:rsid w:val="003C12C9"/>
    <w:pPr>
      <w:widowControl/>
      <w:autoSpaceDE/>
      <w:autoSpaceDN/>
      <w:spacing w:after="100" w:line="259" w:lineRule="auto"/>
      <w:ind w:left="1100"/>
    </w:pPr>
    <w:rPr>
      <w:rFonts w:asciiTheme="minorHAnsi" w:eastAsiaTheme="minorEastAsia" w:hAnsiTheme="minorHAnsi" w:cstheme="minorBidi"/>
      <w:lang w:val="pt-BR" w:eastAsia="pt-BR" w:bidi="ar-SA"/>
    </w:rPr>
  </w:style>
  <w:style w:type="paragraph" w:styleId="Sumrio7">
    <w:name w:val="toc 7"/>
    <w:basedOn w:val="Normal"/>
    <w:next w:val="Normal"/>
    <w:autoRedefine/>
    <w:uiPriority w:val="39"/>
    <w:unhideWhenUsed/>
    <w:rsid w:val="003C12C9"/>
    <w:pPr>
      <w:widowControl/>
      <w:autoSpaceDE/>
      <w:autoSpaceDN/>
      <w:spacing w:after="100" w:line="259" w:lineRule="auto"/>
      <w:ind w:left="1320"/>
    </w:pPr>
    <w:rPr>
      <w:rFonts w:asciiTheme="minorHAnsi" w:eastAsiaTheme="minorEastAsia" w:hAnsiTheme="minorHAnsi" w:cstheme="minorBidi"/>
      <w:lang w:val="pt-BR" w:eastAsia="pt-BR" w:bidi="ar-SA"/>
    </w:rPr>
  </w:style>
  <w:style w:type="paragraph" w:styleId="Sumrio8">
    <w:name w:val="toc 8"/>
    <w:basedOn w:val="Normal"/>
    <w:next w:val="Normal"/>
    <w:autoRedefine/>
    <w:uiPriority w:val="39"/>
    <w:unhideWhenUsed/>
    <w:rsid w:val="003C12C9"/>
    <w:pPr>
      <w:widowControl/>
      <w:autoSpaceDE/>
      <w:autoSpaceDN/>
      <w:spacing w:after="100" w:line="259" w:lineRule="auto"/>
      <w:ind w:left="1540"/>
    </w:pPr>
    <w:rPr>
      <w:rFonts w:asciiTheme="minorHAnsi" w:eastAsiaTheme="minorEastAsia" w:hAnsiTheme="minorHAnsi" w:cstheme="minorBidi"/>
      <w:lang w:val="pt-BR" w:eastAsia="pt-BR" w:bidi="ar-SA"/>
    </w:rPr>
  </w:style>
  <w:style w:type="paragraph" w:styleId="Sumrio9">
    <w:name w:val="toc 9"/>
    <w:basedOn w:val="Normal"/>
    <w:next w:val="Normal"/>
    <w:autoRedefine/>
    <w:uiPriority w:val="39"/>
    <w:unhideWhenUsed/>
    <w:rsid w:val="003C12C9"/>
    <w:pPr>
      <w:widowControl/>
      <w:autoSpaceDE/>
      <w:autoSpaceDN/>
      <w:spacing w:after="100" w:line="259" w:lineRule="auto"/>
      <w:ind w:left="1760"/>
    </w:pPr>
    <w:rPr>
      <w:rFonts w:asciiTheme="minorHAnsi" w:eastAsiaTheme="minorEastAsia" w:hAnsiTheme="minorHAnsi" w:cstheme="minorBidi"/>
      <w:lang w:val="pt-BR" w:eastAsia="pt-BR" w:bidi="ar-SA"/>
    </w:rPr>
  </w:style>
  <w:style w:type="character" w:styleId="HiperlinkVisitado">
    <w:name w:val="FollowedHyperlink"/>
    <w:basedOn w:val="Fontepargpadro"/>
    <w:uiPriority w:val="99"/>
    <w:semiHidden/>
    <w:unhideWhenUsed/>
    <w:rsid w:val="003C1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0562">
      <w:bodyDiv w:val="1"/>
      <w:marLeft w:val="0"/>
      <w:marRight w:val="0"/>
      <w:marTop w:val="0"/>
      <w:marBottom w:val="0"/>
      <w:divBdr>
        <w:top w:val="none" w:sz="0" w:space="0" w:color="auto"/>
        <w:left w:val="none" w:sz="0" w:space="0" w:color="auto"/>
        <w:bottom w:val="none" w:sz="0" w:space="0" w:color="auto"/>
        <w:right w:val="none" w:sz="0" w:space="0" w:color="auto"/>
      </w:divBdr>
    </w:div>
    <w:div w:id="522019629">
      <w:bodyDiv w:val="1"/>
      <w:marLeft w:val="0"/>
      <w:marRight w:val="0"/>
      <w:marTop w:val="0"/>
      <w:marBottom w:val="0"/>
      <w:divBdr>
        <w:top w:val="none" w:sz="0" w:space="0" w:color="auto"/>
        <w:left w:val="none" w:sz="0" w:space="0" w:color="auto"/>
        <w:bottom w:val="none" w:sz="0" w:space="0" w:color="auto"/>
        <w:right w:val="none" w:sz="0" w:space="0" w:color="auto"/>
      </w:divBdr>
      <w:divsChild>
        <w:div w:id="753819215">
          <w:marLeft w:val="0"/>
          <w:marRight w:val="0"/>
          <w:marTop w:val="0"/>
          <w:marBottom w:val="150"/>
          <w:divBdr>
            <w:top w:val="none" w:sz="0" w:space="0" w:color="auto"/>
            <w:left w:val="none" w:sz="0" w:space="0" w:color="auto"/>
            <w:bottom w:val="none" w:sz="0" w:space="0" w:color="auto"/>
            <w:right w:val="none" w:sz="0" w:space="0" w:color="auto"/>
          </w:divBdr>
          <w:divsChild>
            <w:div w:id="6470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mp.mp.br/portal/images/Recomendacoes/RECOMENDAO-CONJUNTA-PRESI-CN-N-2-DE-19-DE-JUNHO-DE-2020-1.pdf" TargetMode="External"/><Relationship Id="rId13" Type="http://schemas.openxmlformats.org/officeDocument/2006/relationships/hyperlink" Target="https://www.mprj.mp.br/documents/20184/1275172/Eduardo_Jose_da_Fonseca_Cost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reme.justia.com/cases/federal/us/347/4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io.ufba.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jur.com.br/2010-abr-16/ministro-lewandowski-recebe-iso-9001-gestao-qualidade-tse" TargetMode="External"/><Relationship Id="rId5" Type="http://schemas.openxmlformats.org/officeDocument/2006/relationships/webSettings" Target="webSettings.xml"/><Relationship Id="rId15" Type="http://schemas.openxmlformats.org/officeDocument/2006/relationships/hyperlink" Target="https://tede2.pucsp.br/bitstream/handle/21347/2/Samuel%20Alvarenga%20Gon%C3%A7alves.pdf" TargetMode="External"/><Relationship Id="rId10" Type="http://schemas.openxmlformats.org/officeDocument/2006/relationships/hyperlink" Target="https://portal.stf.jus.br/j" TargetMode="External"/><Relationship Id="rId4" Type="http://schemas.openxmlformats.org/officeDocument/2006/relationships/settings" Target="settings.xml"/><Relationship Id="rId9" Type="http://schemas.openxmlformats.org/officeDocument/2006/relationships/hyperlink" Target="https://www.cnj.jus.br/" TargetMode="External"/><Relationship Id="rId14" Type="http://schemas.openxmlformats.org/officeDocument/2006/relationships/hyperlink" Target="https://bit.ly/3Xfaqgq"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ede2.pucsp.br/bitstream/handle/21347/2/Samuel%20Alvarenga%20Gon%C3%A7alves.pdf" TargetMode="External"/><Relationship Id="rId3" Type="http://schemas.openxmlformats.org/officeDocument/2006/relationships/hyperlink" Target="https://bit.ly/3Xfaqgq" TargetMode="External"/><Relationship Id="rId7" Type="http://schemas.openxmlformats.org/officeDocument/2006/relationships/hyperlink" Target="https://www.cnmp.mp.br/portal/images/Recomendacoes/RECOMENDAO-CONJUNTA-PRESI-CN-N-2-DE-19-DE-JUNHO-DE-2020-1.pdf" TargetMode="External"/><Relationship Id="rId2" Type="http://schemas.openxmlformats.org/officeDocument/2006/relationships/hyperlink" Target="https://www.mprj.mp.br/documents/20184/1275172/Eduardo_Jose_da_Fonseca_Costa.pdf" TargetMode="External"/><Relationship Id="rId1" Type="http://schemas.openxmlformats.org/officeDocument/2006/relationships/hyperlink" Target="https://supreme.justia.com/cases/federal/us/347/483/" TargetMode="External"/><Relationship Id="rId6" Type="http://schemas.openxmlformats.org/officeDocument/2006/relationships/hyperlink" Target="https://www.conjur.com.br/2010-abr-16/ministro-lewandowski-recebe-iso-9001-gestao-qualidade-tse" TargetMode="External"/><Relationship Id="rId5" Type="http://schemas.openxmlformats.org/officeDocument/2006/relationships/hyperlink" Target="https://portal.stf.jus.br/j" TargetMode="External"/><Relationship Id="rId4" Type="http://schemas.openxmlformats.org/officeDocument/2006/relationships/hyperlink" Target="https://repositorio.ufba.br/" TargetMode="External"/><Relationship Id="rId9" Type="http://schemas.openxmlformats.org/officeDocument/2006/relationships/hyperlink" Target="https://www.cnj.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C33E-0D45-4DD0-810A-F4FD3E06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17862</TotalTime>
  <Pages>25</Pages>
  <Words>8565</Words>
  <Characters>49250</Characters>
  <Application>Microsoft Office Word</Application>
  <DocSecurity>0</DocSecurity>
  <Lines>781</Lines>
  <Paragraphs>200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57615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17</cp:revision>
  <dcterms:created xsi:type="dcterms:W3CDTF">2023-07-10T17:56:00Z</dcterms:created>
  <dcterms:modified xsi:type="dcterms:W3CDTF">2023-09-15T16:02:00Z</dcterms:modified>
  <cp:category/>
</cp:coreProperties>
</file>