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ED32" w14:textId="1F766017" w:rsidR="0023016D" w:rsidRPr="00BD1084" w:rsidRDefault="00EF75EC" w:rsidP="00BD1084">
      <w:pPr>
        <w:tabs>
          <w:tab w:val="left" w:pos="6946"/>
        </w:tabs>
        <w:spacing w:after="0" w:line="360" w:lineRule="auto"/>
        <w:jc w:val="both"/>
        <w:rPr>
          <w:rFonts w:ascii="Times New Roman" w:hAnsi="Times New Roman" w:cs="Times New Roman"/>
          <w:b/>
          <w:bCs/>
          <w:color w:val="000000" w:themeColor="text1"/>
          <w:sz w:val="28"/>
          <w:szCs w:val="28"/>
        </w:rPr>
      </w:pPr>
      <w:r>
        <w:rPr>
          <w:rFonts w:ascii="Times New Roman" w:hAnsi="Times New Roman" w:cs="Times New Roman"/>
          <w:b/>
          <w:bCs/>
          <w:sz w:val="28"/>
          <w:szCs w:val="28"/>
        </w:rPr>
        <w:t xml:space="preserve">A utilização de medida cautelar para recompor o equilíbrio econômico-financeiro no âmbito dos contratos de concessão </w:t>
      </w:r>
    </w:p>
    <w:p w14:paraId="7DA1CA9D" w14:textId="26319CE0" w:rsidR="0023016D" w:rsidRPr="00A54B79" w:rsidRDefault="0023016D" w:rsidP="00BD1084">
      <w:pPr>
        <w:spacing w:after="0" w:line="360" w:lineRule="auto"/>
        <w:jc w:val="both"/>
        <w:rPr>
          <w:rFonts w:ascii="Times New Roman" w:hAnsi="Times New Roman" w:cs="Times New Roman"/>
          <w:b/>
          <w:bCs/>
          <w:color w:val="000000" w:themeColor="text1"/>
          <w:sz w:val="24"/>
          <w:szCs w:val="24"/>
        </w:rPr>
      </w:pPr>
    </w:p>
    <w:p w14:paraId="1EF19837" w14:textId="77777777" w:rsidR="003D3DFD" w:rsidRDefault="003D3DFD" w:rsidP="00BD1084">
      <w:pPr>
        <w:spacing w:after="0" w:line="360" w:lineRule="auto"/>
        <w:jc w:val="both"/>
        <w:rPr>
          <w:rFonts w:ascii="Times New Roman" w:hAnsi="Times New Roman" w:cs="Times New Roman"/>
          <w:i/>
          <w:iCs/>
          <w:color w:val="000000" w:themeColor="text1"/>
          <w:sz w:val="24"/>
          <w:szCs w:val="24"/>
        </w:rPr>
      </w:pPr>
    </w:p>
    <w:p w14:paraId="101CA5E5" w14:textId="77777777" w:rsidR="000264CE" w:rsidRDefault="000264CE" w:rsidP="00BD1084">
      <w:pPr>
        <w:spacing w:after="0" w:line="360" w:lineRule="auto"/>
        <w:jc w:val="both"/>
        <w:rPr>
          <w:rFonts w:ascii="Times New Roman" w:hAnsi="Times New Roman" w:cs="Times New Roman"/>
          <w:b/>
          <w:bCs/>
          <w:color w:val="000000" w:themeColor="text1"/>
          <w:sz w:val="24"/>
          <w:szCs w:val="24"/>
        </w:rPr>
      </w:pPr>
    </w:p>
    <w:p w14:paraId="395B4560" w14:textId="5F0E087C" w:rsidR="007A51E6" w:rsidRDefault="003D3DFD" w:rsidP="00BD1084">
      <w:pPr>
        <w:spacing w:after="0" w:line="360" w:lineRule="auto"/>
        <w:jc w:val="both"/>
        <w:rPr>
          <w:rFonts w:ascii="Times New Roman" w:hAnsi="Times New Roman" w:cs="Times New Roman"/>
          <w:color w:val="000000" w:themeColor="text1"/>
          <w:sz w:val="24"/>
          <w:szCs w:val="24"/>
        </w:rPr>
      </w:pPr>
      <w:r w:rsidRPr="007E61B6">
        <w:rPr>
          <w:rFonts w:ascii="Times New Roman" w:hAnsi="Times New Roman" w:cs="Times New Roman"/>
          <w:b/>
          <w:bCs/>
          <w:color w:val="000000" w:themeColor="text1"/>
          <w:sz w:val="24"/>
          <w:szCs w:val="24"/>
        </w:rPr>
        <w:t>Sumário</w:t>
      </w:r>
      <w:r>
        <w:rPr>
          <w:rFonts w:ascii="Times New Roman" w:hAnsi="Times New Roman" w:cs="Times New Roman"/>
          <w:color w:val="000000" w:themeColor="text1"/>
          <w:sz w:val="24"/>
          <w:szCs w:val="24"/>
        </w:rPr>
        <w:t xml:space="preserve">: 1. </w:t>
      </w:r>
      <w:r w:rsidR="00080B5F">
        <w:rPr>
          <w:rFonts w:ascii="Times New Roman" w:hAnsi="Times New Roman" w:cs="Times New Roman"/>
          <w:color w:val="000000" w:themeColor="text1"/>
          <w:sz w:val="24"/>
          <w:szCs w:val="24"/>
        </w:rPr>
        <w:t>Introdução; 2. As dificuldades para concretização do reequilíbrio econômico-financeiro</w:t>
      </w:r>
      <w:r>
        <w:rPr>
          <w:rFonts w:ascii="Times New Roman" w:hAnsi="Times New Roman" w:cs="Times New Roman"/>
          <w:color w:val="000000" w:themeColor="text1"/>
          <w:sz w:val="24"/>
          <w:szCs w:val="24"/>
        </w:rPr>
        <w:t xml:space="preserve">; </w:t>
      </w:r>
      <w:r w:rsidR="00080B5F">
        <w:rPr>
          <w:rFonts w:ascii="Times New Roman" w:hAnsi="Times New Roman" w:cs="Times New Roman"/>
          <w:color w:val="000000" w:themeColor="text1"/>
          <w:sz w:val="24"/>
          <w:szCs w:val="24"/>
        </w:rPr>
        <w:t>3. A aplicação de medidas cautelares para mitigação dos impactos dos desequilíbrios complexos e a Resolução SPI n° 19/2023</w:t>
      </w:r>
      <w:r>
        <w:rPr>
          <w:rFonts w:ascii="Times New Roman" w:hAnsi="Times New Roman" w:cs="Times New Roman"/>
          <w:color w:val="000000" w:themeColor="text1"/>
          <w:sz w:val="24"/>
          <w:szCs w:val="24"/>
        </w:rPr>
        <w:t xml:space="preserve">; </w:t>
      </w:r>
      <w:r w:rsidR="00080B5F">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Conclusões.</w:t>
      </w:r>
    </w:p>
    <w:p w14:paraId="5DEC6928" w14:textId="77777777" w:rsidR="00A86A4B" w:rsidRDefault="00A86A4B" w:rsidP="00BD1084">
      <w:pPr>
        <w:spacing w:after="0" w:line="360" w:lineRule="auto"/>
        <w:jc w:val="both"/>
        <w:rPr>
          <w:rFonts w:ascii="Times New Roman" w:hAnsi="Times New Roman" w:cs="Times New Roman"/>
          <w:b/>
          <w:bCs/>
          <w:sz w:val="24"/>
          <w:szCs w:val="24"/>
        </w:rPr>
      </w:pPr>
    </w:p>
    <w:p w14:paraId="7D0686D7" w14:textId="393936A1" w:rsidR="00080B5F" w:rsidRPr="00D52E86" w:rsidRDefault="00080B5F" w:rsidP="00BD1084">
      <w:pPr>
        <w:spacing w:after="0" w:line="360" w:lineRule="auto"/>
        <w:jc w:val="both"/>
        <w:rPr>
          <w:rFonts w:ascii="Times New Roman" w:hAnsi="Times New Roman" w:cs="Times New Roman"/>
          <w:b/>
          <w:bCs/>
          <w:sz w:val="28"/>
          <w:szCs w:val="28"/>
        </w:rPr>
      </w:pPr>
      <w:r w:rsidRPr="00D52E86">
        <w:rPr>
          <w:rFonts w:ascii="Times New Roman" w:hAnsi="Times New Roman" w:cs="Times New Roman"/>
          <w:b/>
          <w:bCs/>
          <w:sz w:val="28"/>
          <w:szCs w:val="28"/>
        </w:rPr>
        <w:t xml:space="preserve">1. </w:t>
      </w:r>
      <w:r w:rsidR="00D52E86" w:rsidRPr="00D52E86">
        <w:rPr>
          <w:rFonts w:ascii="Times New Roman" w:hAnsi="Times New Roman" w:cs="Times New Roman"/>
          <w:b/>
          <w:bCs/>
          <w:sz w:val="28"/>
          <w:szCs w:val="28"/>
        </w:rPr>
        <w:t>Introdução</w:t>
      </w:r>
    </w:p>
    <w:p w14:paraId="6FF34724" w14:textId="77777777" w:rsidR="00080B5F" w:rsidRDefault="00080B5F" w:rsidP="00BD1084">
      <w:pPr>
        <w:spacing w:after="0" w:line="360" w:lineRule="auto"/>
        <w:jc w:val="both"/>
        <w:rPr>
          <w:rFonts w:ascii="Times New Roman" w:hAnsi="Times New Roman" w:cs="Times New Roman"/>
          <w:color w:val="000000" w:themeColor="text1"/>
          <w:sz w:val="24"/>
          <w:szCs w:val="24"/>
        </w:rPr>
      </w:pPr>
    </w:p>
    <w:p w14:paraId="4F8DB12F" w14:textId="00DBB583"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Diante de um ambiente regulatório e institucional, no âmbito dos contratos de concessão e parcerias público privadas, em que a pormenorização da repartição de riscos entre as partes se faz cada vez mais presente, discutimos nesse artigo as dificuldades práticas para que a recomposição do equilíbrio econômico-financeiro ocorra no âmbito administrativo de forma célere, e até mesmo concomitante à ocorrência de um evento que represente desequilíbrio contratual.</w:t>
      </w:r>
    </w:p>
    <w:p w14:paraId="0770A133" w14:textId="149F0D48"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Com efeito, uma das marcas dos contratos de concess</w:t>
      </w:r>
      <w:r w:rsidR="003058E7">
        <w:rPr>
          <w:rFonts w:ascii="Times New Roman" w:hAnsi="Times New Roman" w:cs="Times New Roman"/>
          <w:color w:val="000000" w:themeColor="text1"/>
          <w:sz w:val="24"/>
          <w:szCs w:val="24"/>
        </w:rPr>
        <w:t>ão</w:t>
      </w:r>
      <w:r w:rsidRPr="00080B5F">
        <w:rPr>
          <w:rFonts w:ascii="Times New Roman" w:hAnsi="Times New Roman" w:cs="Times New Roman"/>
          <w:color w:val="000000" w:themeColor="text1"/>
          <w:sz w:val="24"/>
          <w:szCs w:val="24"/>
        </w:rPr>
        <w:t xml:space="preserve"> nacionais firmados no aprofundamento das desestatizações na segunda metade da década de 1990 foi a ausência de uma detalhada repartição de riscos.</w:t>
      </w:r>
    </w:p>
    <w:p w14:paraId="138D1BE2" w14:textId="2B698010"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Ocorre que tal entendimento conduzia a um encarecimento do projeto em razão da precificação de todos os seus riscos nas propostas apresentadas no processo licitatório, indo de encontro a princípios basilares das concessões de serviço público, como a eficiência e a modicidade tarifária.</w:t>
      </w:r>
    </w:p>
    <w:p w14:paraId="12524829" w14:textId="0962A757"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Tal linha interpretativa, ademais, ainda ignorava que o próprio art. 65, II, “d”, da Lei federal nº 8.666/1993, legitima a alocação contratual de riscos, mesmo os tradicionalmente arrolados como “álea econômica extraordinária”, já que a delimitação legal dos riscos à Administração contratante é aplicável exclusivamente nas hipóteses em que não existir disciplina em sentido contrário no próprio contrato, configurando, como consequência, uma “álea econômica extracontratual”.</w:t>
      </w:r>
    </w:p>
    <w:p w14:paraId="1A8622FE" w14:textId="032F06B4"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 xml:space="preserve">A resistência, talvez derivada de uma interpretação literal da conceituação, trazida pelo art. 2º, II, da Lei federal nº 8.987/1995, </w:t>
      </w:r>
      <w:r w:rsidR="003058E7">
        <w:rPr>
          <w:rFonts w:ascii="Times New Roman" w:hAnsi="Times New Roman" w:cs="Times New Roman"/>
          <w:color w:val="000000" w:themeColor="text1"/>
          <w:sz w:val="24"/>
          <w:szCs w:val="24"/>
        </w:rPr>
        <w:t xml:space="preserve">de que as concessões de serviço público são exploradas pelas concessionárias “por sua conta e risco”, </w:t>
      </w:r>
      <w:r w:rsidRPr="00080B5F">
        <w:rPr>
          <w:rFonts w:ascii="Times New Roman" w:hAnsi="Times New Roman" w:cs="Times New Roman"/>
          <w:color w:val="000000" w:themeColor="text1"/>
          <w:sz w:val="24"/>
          <w:szCs w:val="24"/>
        </w:rPr>
        <w:t xml:space="preserve">levava à compreensão de que não haveria </w:t>
      </w:r>
      <w:r w:rsidRPr="00080B5F">
        <w:rPr>
          <w:rFonts w:ascii="Times New Roman" w:hAnsi="Times New Roman" w:cs="Times New Roman"/>
          <w:color w:val="000000" w:themeColor="text1"/>
          <w:sz w:val="24"/>
          <w:szCs w:val="24"/>
        </w:rPr>
        <w:lastRenderedPageBreak/>
        <w:t>qualquer espaço legal para uma alocação contratual dos riscos envolvidos na prestação de um serviço sob concessão.</w:t>
      </w:r>
    </w:p>
    <w:p w14:paraId="3E98192E" w14:textId="168C61CF" w:rsidR="00080B5F" w:rsidRPr="00080B5F" w:rsidRDefault="003058E7"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Não obstante tal resistência inicial, a evolução da compreensão doutrinária a respeito do tema conduziu à disseminação do entendimento de que</w:t>
      </w:r>
      <w:r w:rsidR="00080B5F" w:rsidRPr="00080B5F">
        <w:rPr>
          <w:rFonts w:ascii="Times New Roman" w:hAnsi="Times New Roman" w:cs="Times New Roman"/>
          <w:color w:val="000000" w:themeColor="text1"/>
          <w:sz w:val="24"/>
          <w:szCs w:val="24"/>
        </w:rPr>
        <w:t xml:space="preserve"> inexiste, de fato, qualquer vedação legal a que se estabeleça, por força contratual, a alocação adequada dos riscos envolvidos em uma específica prestação de serviços públicos. Em outras palavras, a previsão do art. 2º, II da Lei federal nº 8.987/95, segundo o qual a concessionária deve explorar o serviço público por sua conta e risco, não significa que todos os riscos da concessão devam ficar a seu cargo.</w:t>
      </w:r>
    </w:p>
    <w:p w14:paraId="763A5BB4" w14:textId="37987CBE"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No atual cenário, esse entendimento parece consolidado, dado que os contratos de concessão mais recentes trazem extensa divisão de riscos, sem qu</w:t>
      </w:r>
      <w:r w:rsidR="003058E7">
        <w:rPr>
          <w:rFonts w:ascii="Times New Roman" w:hAnsi="Times New Roman" w:cs="Times New Roman"/>
          <w:color w:val="000000" w:themeColor="text1"/>
          <w:sz w:val="24"/>
          <w:szCs w:val="24"/>
        </w:rPr>
        <w:t>alquer questionamento, de que se tenha notícia, por parte de órgãos de controle, com relação a esta liberdade na alocação contratual de riscos de acordo com o que se tenha por mais eficiente para o atingimento do interesse público</w:t>
      </w:r>
      <w:r w:rsidRPr="00080B5F">
        <w:rPr>
          <w:rFonts w:ascii="Times New Roman" w:hAnsi="Times New Roman" w:cs="Times New Roman"/>
          <w:color w:val="000000" w:themeColor="text1"/>
          <w:sz w:val="24"/>
          <w:szCs w:val="24"/>
        </w:rPr>
        <w:t>.</w:t>
      </w:r>
    </w:p>
    <w:p w14:paraId="32B42297" w14:textId="45ED8735"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 xml:space="preserve">Pouca atenção se dá, contudo, aos desafios que emergem de uma detalhada repartição de riscos. Logicamente, com a maior assunção de riscos pela </w:t>
      </w:r>
      <w:r w:rsidR="00D52E86" w:rsidRPr="00080B5F">
        <w:rPr>
          <w:rFonts w:ascii="Times New Roman" w:hAnsi="Times New Roman" w:cs="Times New Roman"/>
          <w:color w:val="000000" w:themeColor="text1"/>
          <w:sz w:val="24"/>
          <w:szCs w:val="24"/>
        </w:rPr>
        <w:t>administração</w:t>
      </w:r>
      <w:r w:rsidR="00D52E86">
        <w:rPr>
          <w:rFonts w:ascii="Times New Roman" w:hAnsi="Times New Roman" w:cs="Times New Roman"/>
          <w:color w:val="000000" w:themeColor="text1"/>
          <w:sz w:val="24"/>
          <w:szCs w:val="24"/>
        </w:rPr>
        <w:t xml:space="preserve"> pública</w:t>
      </w:r>
      <w:r w:rsidRPr="00080B5F">
        <w:rPr>
          <w:rFonts w:ascii="Times New Roman" w:hAnsi="Times New Roman" w:cs="Times New Roman"/>
          <w:color w:val="000000" w:themeColor="text1"/>
          <w:sz w:val="24"/>
          <w:szCs w:val="24"/>
        </w:rPr>
        <w:t xml:space="preserve">, </w:t>
      </w:r>
      <w:r w:rsidR="003058E7">
        <w:rPr>
          <w:rFonts w:ascii="Times New Roman" w:hAnsi="Times New Roman" w:cs="Times New Roman"/>
          <w:color w:val="000000" w:themeColor="text1"/>
          <w:sz w:val="24"/>
          <w:szCs w:val="24"/>
        </w:rPr>
        <w:t xml:space="preserve">maior a chance de materialização de eventos gravosos cujos riscos não foram assumidos pelas concessionárias e, portanto, </w:t>
      </w:r>
      <w:r w:rsidRPr="00080B5F">
        <w:rPr>
          <w:rFonts w:ascii="Times New Roman" w:hAnsi="Times New Roman" w:cs="Times New Roman"/>
          <w:color w:val="000000" w:themeColor="text1"/>
          <w:sz w:val="24"/>
          <w:szCs w:val="24"/>
        </w:rPr>
        <w:t>a necessidade de reequilíbrio em prol das concessionárias se fará cada vez mais presente, medida que nunca se revela politicamente fácil.</w:t>
      </w:r>
    </w:p>
    <w:p w14:paraId="66421BBD" w14:textId="77683778"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 xml:space="preserve">Ademais, ainda que haja predisposição política, existem inúmeras dificuldades práticas intrínsecas à própria mensuração do desequilíbrio contratual que dificultam que a recomposição se faça rapidamente. </w:t>
      </w:r>
    </w:p>
    <w:p w14:paraId="55616D6B" w14:textId="6B463DEF"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 xml:space="preserve">Neste artigo, detalhamos </w:t>
      </w:r>
      <w:r w:rsidR="00242ED2">
        <w:rPr>
          <w:rFonts w:ascii="Times New Roman" w:hAnsi="Times New Roman" w:cs="Times New Roman"/>
          <w:color w:val="000000" w:themeColor="text1"/>
          <w:sz w:val="24"/>
          <w:szCs w:val="24"/>
        </w:rPr>
        <w:t xml:space="preserve">no </w:t>
      </w:r>
      <w:r w:rsidRPr="00080B5F">
        <w:rPr>
          <w:rFonts w:ascii="Times New Roman" w:hAnsi="Times New Roman" w:cs="Times New Roman"/>
          <w:color w:val="000000" w:themeColor="text1"/>
          <w:sz w:val="24"/>
          <w:szCs w:val="24"/>
        </w:rPr>
        <w:t xml:space="preserve">primeiro tópico tais dificuldades, para em seguida apresentar uma solução para a questão no segundo tópico.  </w:t>
      </w:r>
    </w:p>
    <w:p w14:paraId="11911647" w14:textId="0590746E"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Como proposta, sustentamos a possibilidade de que o poder concedente efetive uma recomposição cautelar do equilíbrio econômico-financeiro</w:t>
      </w:r>
      <w:r w:rsidR="003058E7">
        <w:rPr>
          <w:rFonts w:ascii="Times New Roman" w:hAnsi="Times New Roman" w:cs="Times New Roman"/>
          <w:color w:val="000000" w:themeColor="text1"/>
          <w:sz w:val="24"/>
          <w:szCs w:val="24"/>
        </w:rPr>
        <w:t>, a qual, ainda que não seja suficiente para um equacionamento definitivo do desequilíbrio contratual, se mostra bastante eficaz para a mitigação dos impactos econômico-financeiros do evento gravoso, com benefícios a ambas as partes do contrato</w:t>
      </w:r>
      <w:r w:rsidRPr="00080B5F">
        <w:rPr>
          <w:rFonts w:ascii="Times New Roman" w:hAnsi="Times New Roman" w:cs="Times New Roman"/>
          <w:color w:val="000000" w:themeColor="text1"/>
          <w:sz w:val="24"/>
          <w:szCs w:val="24"/>
        </w:rPr>
        <w:t>. Ademais, expomos as condições recomendadas para que a medida ocorra, especialmente à luz da normativa editada pelo Estado de São Paulo sobre a matéria.</w:t>
      </w:r>
    </w:p>
    <w:p w14:paraId="22BE5AA9" w14:textId="77777777" w:rsidR="00080B5F" w:rsidRDefault="00080B5F" w:rsidP="00BD1084">
      <w:pPr>
        <w:spacing w:after="0" w:line="360" w:lineRule="auto"/>
        <w:jc w:val="both"/>
        <w:rPr>
          <w:rFonts w:ascii="Times New Roman" w:hAnsi="Times New Roman" w:cs="Times New Roman"/>
          <w:b/>
          <w:bCs/>
          <w:sz w:val="24"/>
          <w:szCs w:val="24"/>
        </w:rPr>
      </w:pPr>
    </w:p>
    <w:p w14:paraId="65191633" w14:textId="5F0F4D4B" w:rsidR="003D3DFD" w:rsidRPr="00D52E86" w:rsidRDefault="00080B5F" w:rsidP="00BD1084">
      <w:pPr>
        <w:spacing w:after="0" w:line="360" w:lineRule="auto"/>
        <w:jc w:val="both"/>
        <w:rPr>
          <w:rFonts w:ascii="Times New Roman" w:hAnsi="Times New Roman" w:cs="Times New Roman"/>
          <w:b/>
          <w:bCs/>
          <w:sz w:val="28"/>
          <w:szCs w:val="28"/>
        </w:rPr>
      </w:pPr>
      <w:r w:rsidRPr="00D52E86">
        <w:rPr>
          <w:rFonts w:ascii="Times New Roman" w:hAnsi="Times New Roman" w:cs="Times New Roman"/>
          <w:b/>
          <w:bCs/>
          <w:sz w:val="28"/>
          <w:szCs w:val="28"/>
        </w:rPr>
        <w:t xml:space="preserve">2. </w:t>
      </w:r>
      <w:r w:rsidR="00D52E86" w:rsidRPr="00D52E86">
        <w:rPr>
          <w:rFonts w:ascii="Times New Roman" w:hAnsi="Times New Roman" w:cs="Times New Roman"/>
          <w:b/>
          <w:bCs/>
          <w:sz w:val="28"/>
          <w:szCs w:val="28"/>
        </w:rPr>
        <w:t>As dificuldades para concretização do reequilíbrio econômico-financeiro</w:t>
      </w:r>
    </w:p>
    <w:p w14:paraId="1545ADA5" w14:textId="00B75981"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O acompanhamento regulatório a contento de um contrato de concessão demanda que o ajuste permaneça continuamente equilibrado do ponto de vista econômico-financeiro.</w:t>
      </w:r>
    </w:p>
    <w:p w14:paraId="7DF8A1ED" w14:textId="7F0EDB6C" w:rsidR="007317A3"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lastRenderedPageBreak/>
        <w:t xml:space="preserve">Com efeito, o desbalanceamento prolongado do contrato pode trazer diversas consequências desvantajosas às partes contratantes, tanto internas ao projeto, quanto externas. Para o poder público especificamente, a </w:t>
      </w:r>
      <w:r w:rsidR="007317A3">
        <w:rPr>
          <w:rFonts w:ascii="Times New Roman" w:hAnsi="Times New Roman" w:cs="Times New Roman"/>
          <w:color w:val="000000" w:themeColor="text1"/>
          <w:sz w:val="24"/>
          <w:szCs w:val="24"/>
        </w:rPr>
        <w:t xml:space="preserve">persistência, ao longo do tempo, </w:t>
      </w:r>
      <w:r w:rsidRPr="00080B5F">
        <w:rPr>
          <w:rFonts w:ascii="Times New Roman" w:hAnsi="Times New Roman" w:cs="Times New Roman"/>
          <w:color w:val="000000" w:themeColor="text1"/>
          <w:sz w:val="24"/>
          <w:szCs w:val="24"/>
        </w:rPr>
        <w:t>de saldos expressivos a serem recompostos à concessionária</w:t>
      </w:r>
      <w:r w:rsidR="007317A3">
        <w:rPr>
          <w:rFonts w:ascii="Times New Roman" w:hAnsi="Times New Roman" w:cs="Times New Roman"/>
          <w:color w:val="000000" w:themeColor="text1"/>
          <w:sz w:val="24"/>
          <w:szCs w:val="24"/>
        </w:rPr>
        <w:t>, sem equacionamento contemporâneo ao impacto do evento,</w:t>
      </w:r>
      <w:r w:rsidRPr="00080B5F">
        <w:rPr>
          <w:rFonts w:ascii="Times New Roman" w:hAnsi="Times New Roman" w:cs="Times New Roman"/>
          <w:color w:val="000000" w:themeColor="text1"/>
          <w:sz w:val="24"/>
          <w:szCs w:val="24"/>
        </w:rPr>
        <w:t xml:space="preserve"> traz gastos adicionais ao erário público – especialmente nas situações em que, em tese, o Estado poderia se financiar para quitação do saldo regulatório em taxas menores do que aquelas utilizadas para capitalizar o valor do desequilíbrio contratual.</w:t>
      </w:r>
    </w:p>
    <w:p w14:paraId="3F8A6EF0" w14:textId="5F12777F"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 xml:space="preserve">Outrossim, </w:t>
      </w:r>
      <w:r w:rsidR="007317A3">
        <w:rPr>
          <w:rFonts w:ascii="Times New Roman" w:hAnsi="Times New Roman" w:cs="Times New Roman"/>
          <w:color w:val="000000" w:themeColor="text1"/>
          <w:sz w:val="24"/>
          <w:szCs w:val="24"/>
        </w:rPr>
        <w:t xml:space="preserve">ainda que um reequilíbrio contratual, mesmo extemporâneo, seja suficiente, por sua própria natureza, para recompor o equilíbrio de um contrato de concessão sob uma perspectiva puramente econômica, </w:t>
      </w:r>
      <w:r w:rsidRPr="00080B5F">
        <w:rPr>
          <w:rFonts w:ascii="Times New Roman" w:hAnsi="Times New Roman" w:cs="Times New Roman"/>
          <w:color w:val="000000" w:themeColor="text1"/>
          <w:sz w:val="24"/>
          <w:szCs w:val="24"/>
        </w:rPr>
        <w:t xml:space="preserve">do ponto de vista financeiro a </w:t>
      </w:r>
      <w:r w:rsidR="007317A3">
        <w:rPr>
          <w:rFonts w:ascii="Times New Roman" w:hAnsi="Times New Roman" w:cs="Times New Roman"/>
          <w:color w:val="000000" w:themeColor="text1"/>
          <w:sz w:val="24"/>
          <w:szCs w:val="24"/>
        </w:rPr>
        <w:t>persi</w:t>
      </w:r>
      <w:r w:rsidRPr="00080B5F">
        <w:rPr>
          <w:rFonts w:ascii="Times New Roman" w:hAnsi="Times New Roman" w:cs="Times New Roman"/>
          <w:color w:val="000000" w:themeColor="text1"/>
          <w:sz w:val="24"/>
          <w:szCs w:val="24"/>
        </w:rPr>
        <w:t>stência de débitos contratuais pode</w:t>
      </w:r>
      <w:r w:rsidR="007317A3">
        <w:rPr>
          <w:rFonts w:ascii="Times New Roman" w:hAnsi="Times New Roman" w:cs="Times New Roman"/>
          <w:color w:val="000000" w:themeColor="text1"/>
          <w:sz w:val="24"/>
          <w:szCs w:val="24"/>
        </w:rPr>
        <w:t xml:space="preserve"> onerar o caixa da concessionária e</w:t>
      </w:r>
      <w:r w:rsidRPr="00080B5F">
        <w:rPr>
          <w:rFonts w:ascii="Times New Roman" w:hAnsi="Times New Roman" w:cs="Times New Roman"/>
          <w:color w:val="000000" w:themeColor="text1"/>
          <w:sz w:val="24"/>
          <w:szCs w:val="24"/>
        </w:rPr>
        <w:t>, no limite, levar à própria insolvência do projeto, ainda que por ausência de culpa da concessionária.</w:t>
      </w:r>
    </w:p>
    <w:p w14:paraId="62183BD6" w14:textId="32DD528D"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Com isso não se quer dizer que a ausência de recomposição imediata e concomitante do desequilíbrio econômico-financeiro seja ato propriamente ilegal.</w:t>
      </w:r>
    </w:p>
    <w:p w14:paraId="158C798B" w14:textId="0E06F670"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Apesar da Lei</w:t>
      </w:r>
      <w:r w:rsidR="00BD1084">
        <w:rPr>
          <w:rFonts w:ascii="Times New Roman" w:hAnsi="Times New Roman" w:cs="Times New Roman"/>
          <w:color w:val="000000" w:themeColor="text1"/>
          <w:sz w:val="24"/>
          <w:szCs w:val="24"/>
        </w:rPr>
        <w:t xml:space="preserve"> federal</w:t>
      </w:r>
      <w:r w:rsidRPr="00080B5F">
        <w:rPr>
          <w:rFonts w:ascii="Times New Roman" w:hAnsi="Times New Roman" w:cs="Times New Roman"/>
          <w:color w:val="000000" w:themeColor="text1"/>
          <w:sz w:val="24"/>
          <w:szCs w:val="24"/>
        </w:rPr>
        <w:t xml:space="preserve"> nº 8.987/1995, no seu art. 9º, §4º, prever que, “em havendo alteração unilateral do contrato que afete o seu inicial equilíbrio econômico-financeiro, o poder concedente deverá restabelecê-lo, concomitantemente à alteração”, a leitura do dispositivo não deve</w:t>
      </w:r>
      <w:r w:rsidR="007317A3">
        <w:rPr>
          <w:rFonts w:ascii="Times New Roman" w:hAnsi="Times New Roman" w:cs="Times New Roman"/>
          <w:color w:val="000000" w:themeColor="text1"/>
          <w:sz w:val="24"/>
          <w:szCs w:val="24"/>
        </w:rPr>
        <w:t>,</w:t>
      </w:r>
      <w:r w:rsidRPr="00080B5F">
        <w:rPr>
          <w:rFonts w:ascii="Times New Roman" w:hAnsi="Times New Roman" w:cs="Times New Roman"/>
          <w:color w:val="000000" w:themeColor="text1"/>
          <w:sz w:val="24"/>
          <w:szCs w:val="24"/>
        </w:rPr>
        <w:t xml:space="preserve"> </w:t>
      </w:r>
      <w:r w:rsidR="007317A3" w:rsidRPr="00080B5F">
        <w:rPr>
          <w:rFonts w:ascii="Times New Roman" w:hAnsi="Times New Roman" w:cs="Times New Roman"/>
          <w:color w:val="000000" w:themeColor="text1"/>
          <w:sz w:val="24"/>
          <w:szCs w:val="24"/>
        </w:rPr>
        <w:t>como já sustentado por um dos autores</w:t>
      </w:r>
      <w:r w:rsidR="007317A3">
        <w:rPr>
          <w:rStyle w:val="Refdenotaderodap"/>
          <w:rFonts w:ascii="Times New Roman" w:hAnsi="Times New Roman" w:cs="Times New Roman"/>
          <w:color w:val="000000" w:themeColor="text1"/>
          <w:sz w:val="24"/>
          <w:szCs w:val="24"/>
        </w:rPr>
        <w:footnoteReference w:id="1"/>
      </w:r>
      <w:r w:rsidR="007317A3" w:rsidRPr="00080B5F">
        <w:rPr>
          <w:rFonts w:ascii="Times New Roman" w:hAnsi="Times New Roman" w:cs="Times New Roman"/>
          <w:color w:val="000000" w:themeColor="text1"/>
          <w:sz w:val="24"/>
          <w:szCs w:val="24"/>
        </w:rPr>
        <w:t xml:space="preserve">, </w:t>
      </w:r>
      <w:r w:rsidRPr="00080B5F">
        <w:rPr>
          <w:rFonts w:ascii="Times New Roman" w:hAnsi="Times New Roman" w:cs="Times New Roman"/>
          <w:color w:val="000000" w:themeColor="text1"/>
          <w:sz w:val="24"/>
          <w:szCs w:val="24"/>
        </w:rPr>
        <w:t xml:space="preserve">ensejar a interpretação de que todo reconhecimento de desequilíbrio contratual deva </w:t>
      </w:r>
      <w:r w:rsidR="007317A3">
        <w:rPr>
          <w:rFonts w:ascii="Times New Roman" w:hAnsi="Times New Roman" w:cs="Times New Roman"/>
          <w:color w:val="000000" w:themeColor="text1"/>
          <w:sz w:val="24"/>
          <w:szCs w:val="24"/>
        </w:rPr>
        <w:t>ter como pressuposto a aplicação de uma medida</w:t>
      </w:r>
      <w:r w:rsidRPr="00080B5F">
        <w:rPr>
          <w:rFonts w:ascii="Times New Roman" w:hAnsi="Times New Roman" w:cs="Times New Roman"/>
          <w:color w:val="000000" w:themeColor="text1"/>
          <w:sz w:val="24"/>
          <w:szCs w:val="24"/>
        </w:rPr>
        <w:t xml:space="preserve"> </w:t>
      </w:r>
      <w:r w:rsidR="007317A3">
        <w:rPr>
          <w:rFonts w:ascii="Times New Roman" w:hAnsi="Times New Roman" w:cs="Times New Roman"/>
          <w:color w:val="000000" w:themeColor="text1"/>
          <w:sz w:val="24"/>
          <w:szCs w:val="24"/>
        </w:rPr>
        <w:t>de</w:t>
      </w:r>
      <w:r w:rsidRPr="00080B5F">
        <w:rPr>
          <w:rFonts w:ascii="Times New Roman" w:hAnsi="Times New Roman" w:cs="Times New Roman"/>
          <w:color w:val="000000" w:themeColor="text1"/>
          <w:sz w:val="24"/>
          <w:szCs w:val="24"/>
        </w:rPr>
        <w:t xml:space="preserve"> reequilíbrio </w:t>
      </w:r>
      <w:r w:rsidR="007317A3">
        <w:rPr>
          <w:rFonts w:ascii="Times New Roman" w:hAnsi="Times New Roman" w:cs="Times New Roman"/>
          <w:color w:val="000000" w:themeColor="text1"/>
          <w:sz w:val="24"/>
          <w:szCs w:val="24"/>
        </w:rPr>
        <w:t xml:space="preserve">do </w:t>
      </w:r>
      <w:r w:rsidRPr="00080B5F">
        <w:rPr>
          <w:rFonts w:ascii="Times New Roman" w:hAnsi="Times New Roman" w:cs="Times New Roman"/>
          <w:color w:val="000000" w:themeColor="text1"/>
          <w:sz w:val="24"/>
          <w:szCs w:val="24"/>
        </w:rPr>
        <w:t>contrat</w:t>
      </w:r>
      <w:r w:rsidR="007317A3">
        <w:rPr>
          <w:rFonts w:ascii="Times New Roman" w:hAnsi="Times New Roman" w:cs="Times New Roman"/>
          <w:color w:val="000000" w:themeColor="text1"/>
          <w:sz w:val="24"/>
          <w:szCs w:val="24"/>
        </w:rPr>
        <w:t>o concomitante ao momento de materialização do evento de desequilíbrio</w:t>
      </w:r>
      <w:r w:rsidRPr="00080B5F">
        <w:rPr>
          <w:rFonts w:ascii="Times New Roman" w:hAnsi="Times New Roman" w:cs="Times New Roman"/>
          <w:color w:val="000000" w:themeColor="text1"/>
          <w:sz w:val="24"/>
          <w:szCs w:val="24"/>
        </w:rPr>
        <w:t>. E isso pelo simples fato de que, na grande maioria das vezes, o reconhecimento do desequilíbrio vai tratar de fatos pretéritos, ou seja, fatos jurídicos que, subsumidos à matriz de riscos contratual, são considerados como um evento de desequilíbrio do contrato.</w:t>
      </w:r>
    </w:p>
    <w:p w14:paraId="572FB7F5" w14:textId="0BF1249C"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Contudo, mesmo não representando</w:t>
      </w:r>
      <w:r w:rsidR="007317A3">
        <w:rPr>
          <w:rFonts w:ascii="Times New Roman" w:hAnsi="Times New Roman" w:cs="Times New Roman"/>
          <w:color w:val="000000" w:themeColor="text1"/>
          <w:sz w:val="24"/>
          <w:szCs w:val="24"/>
        </w:rPr>
        <w:t>, em si,</w:t>
      </w:r>
      <w:r w:rsidRPr="00080B5F">
        <w:rPr>
          <w:rFonts w:ascii="Times New Roman" w:hAnsi="Times New Roman" w:cs="Times New Roman"/>
          <w:color w:val="000000" w:themeColor="text1"/>
          <w:sz w:val="24"/>
          <w:szCs w:val="24"/>
        </w:rPr>
        <w:t xml:space="preserve"> uma violação ao ordenamento jurídico, a </w:t>
      </w:r>
      <w:r w:rsidR="007317A3">
        <w:rPr>
          <w:rFonts w:ascii="Times New Roman" w:hAnsi="Times New Roman" w:cs="Times New Roman"/>
          <w:color w:val="000000" w:themeColor="text1"/>
          <w:sz w:val="24"/>
          <w:szCs w:val="24"/>
        </w:rPr>
        <w:t>postergação</w:t>
      </w:r>
      <w:r w:rsidRPr="00080B5F">
        <w:rPr>
          <w:rFonts w:ascii="Times New Roman" w:hAnsi="Times New Roman" w:cs="Times New Roman"/>
          <w:color w:val="000000" w:themeColor="text1"/>
          <w:sz w:val="24"/>
          <w:szCs w:val="24"/>
        </w:rPr>
        <w:t xml:space="preserve"> do </w:t>
      </w:r>
      <w:r w:rsidR="007317A3">
        <w:rPr>
          <w:rFonts w:ascii="Times New Roman" w:hAnsi="Times New Roman" w:cs="Times New Roman"/>
          <w:color w:val="000000" w:themeColor="text1"/>
          <w:sz w:val="24"/>
          <w:szCs w:val="24"/>
        </w:rPr>
        <w:t>re</w:t>
      </w:r>
      <w:r w:rsidRPr="00080B5F">
        <w:rPr>
          <w:rFonts w:ascii="Times New Roman" w:hAnsi="Times New Roman" w:cs="Times New Roman"/>
          <w:color w:val="000000" w:themeColor="text1"/>
          <w:sz w:val="24"/>
          <w:szCs w:val="24"/>
        </w:rPr>
        <w:t xml:space="preserve">equilíbrio </w:t>
      </w:r>
      <w:r w:rsidR="007317A3">
        <w:rPr>
          <w:rFonts w:ascii="Times New Roman" w:hAnsi="Times New Roman" w:cs="Times New Roman"/>
          <w:color w:val="000000" w:themeColor="text1"/>
          <w:sz w:val="24"/>
          <w:szCs w:val="24"/>
        </w:rPr>
        <w:t xml:space="preserve">econômico-financeiro de </w:t>
      </w:r>
      <w:r w:rsidRPr="00080B5F">
        <w:rPr>
          <w:rFonts w:ascii="Times New Roman" w:hAnsi="Times New Roman" w:cs="Times New Roman"/>
          <w:color w:val="000000" w:themeColor="text1"/>
          <w:sz w:val="24"/>
          <w:szCs w:val="24"/>
        </w:rPr>
        <w:t>contrat</w:t>
      </w:r>
      <w:r w:rsidR="007317A3">
        <w:rPr>
          <w:rFonts w:ascii="Times New Roman" w:hAnsi="Times New Roman" w:cs="Times New Roman"/>
          <w:color w:val="000000" w:themeColor="text1"/>
          <w:sz w:val="24"/>
          <w:szCs w:val="24"/>
        </w:rPr>
        <w:t>os desequilibrados</w:t>
      </w:r>
      <w:r w:rsidRPr="00080B5F">
        <w:rPr>
          <w:rFonts w:ascii="Times New Roman" w:hAnsi="Times New Roman" w:cs="Times New Roman"/>
          <w:color w:val="000000" w:themeColor="text1"/>
          <w:sz w:val="24"/>
          <w:szCs w:val="24"/>
        </w:rPr>
        <w:t xml:space="preserve"> é sempre </w:t>
      </w:r>
      <w:r w:rsidR="007317A3">
        <w:rPr>
          <w:rFonts w:ascii="Times New Roman" w:hAnsi="Times New Roman" w:cs="Times New Roman"/>
          <w:color w:val="000000" w:themeColor="text1"/>
          <w:sz w:val="24"/>
          <w:szCs w:val="24"/>
        </w:rPr>
        <w:t>in</w:t>
      </w:r>
      <w:r w:rsidRPr="00080B5F">
        <w:rPr>
          <w:rFonts w:ascii="Times New Roman" w:hAnsi="Times New Roman" w:cs="Times New Roman"/>
          <w:color w:val="000000" w:themeColor="text1"/>
          <w:sz w:val="24"/>
          <w:szCs w:val="24"/>
        </w:rPr>
        <w:t>desejável</w:t>
      </w:r>
      <w:r w:rsidR="007317A3">
        <w:rPr>
          <w:rFonts w:ascii="Times New Roman" w:hAnsi="Times New Roman" w:cs="Times New Roman"/>
          <w:color w:val="000000" w:themeColor="text1"/>
          <w:sz w:val="24"/>
          <w:szCs w:val="24"/>
        </w:rPr>
        <w:t>, diante das implicações tanto para o interesse público quanto para as concessionárias</w:t>
      </w:r>
      <w:r w:rsidRPr="00080B5F">
        <w:rPr>
          <w:rFonts w:ascii="Times New Roman" w:hAnsi="Times New Roman" w:cs="Times New Roman"/>
          <w:color w:val="000000" w:themeColor="text1"/>
          <w:sz w:val="24"/>
          <w:szCs w:val="24"/>
        </w:rPr>
        <w:t xml:space="preserve">. </w:t>
      </w:r>
      <w:r w:rsidR="007A2C13">
        <w:rPr>
          <w:rFonts w:ascii="Times New Roman" w:hAnsi="Times New Roman" w:cs="Times New Roman"/>
          <w:color w:val="000000" w:themeColor="text1"/>
          <w:sz w:val="24"/>
          <w:szCs w:val="24"/>
        </w:rPr>
        <w:t>De todo modo, e</w:t>
      </w:r>
      <w:r w:rsidR="007317A3">
        <w:rPr>
          <w:rFonts w:ascii="Times New Roman" w:hAnsi="Times New Roman" w:cs="Times New Roman"/>
          <w:color w:val="000000" w:themeColor="text1"/>
          <w:sz w:val="24"/>
          <w:szCs w:val="24"/>
        </w:rPr>
        <w:t xml:space="preserve">sta morosidade no reconhecimento de um evento de desequilíbrio contratual, e na definição e implementação das medidas eleitas para seu equacionamento, </w:t>
      </w:r>
      <w:r w:rsidRPr="00080B5F">
        <w:rPr>
          <w:rFonts w:ascii="Times New Roman" w:hAnsi="Times New Roman" w:cs="Times New Roman"/>
          <w:color w:val="000000" w:themeColor="text1"/>
          <w:sz w:val="24"/>
          <w:szCs w:val="24"/>
        </w:rPr>
        <w:t>pode não decorrer</w:t>
      </w:r>
      <w:r w:rsidR="007A2C13">
        <w:rPr>
          <w:rFonts w:ascii="Times New Roman" w:hAnsi="Times New Roman" w:cs="Times New Roman"/>
          <w:color w:val="000000" w:themeColor="text1"/>
          <w:sz w:val="24"/>
          <w:szCs w:val="24"/>
        </w:rPr>
        <w:t>,</w:t>
      </w:r>
      <w:r w:rsidRPr="00080B5F">
        <w:rPr>
          <w:rFonts w:ascii="Times New Roman" w:hAnsi="Times New Roman" w:cs="Times New Roman"/>
          <w:color w:val="000000" w:themeColor="text1"/>
          <w:sz w:val="24"/>
          <w:szCs w:val="24"/>
        </w:rPr>
        <w:t xml:space="preserve"> necessariamente, de </w:t>
      </w:r>
      <w:r w:rsidR="007A2C13">
        <w:rPr>
          <w:rFonts w:ascii="Times New Roman" w:hAnsi="Times New Roman" w:cs="Times New Roman"/>
          <w:color w:val="000000" w:themeColor="text1"/>
          <w:sz w:val="24"/>
          <w:szCs w:val="24"/>
        </w:rPr>
        <w:t>um comportamento desidioso</w:t>
      </w:r>
      <w:r w:rsidRPr="00080B5F">
        <w:rPr>
          <w:rFonts w:ascii="Times New Roman" w:hAnsi="Times New Roman" w:cs="Times New Roman"/>
          <w:color w:val="000000" w:themeColor="text1"/>
          <w:sz w:val="24"/>
          <w:szCs w:val="24"/>
        </w:rPr>
        <w:t xml:space="preserve"> do agente público, mas de diversas dificuldades práticas</w:t>
      </w:r>
      <w:r w:rsidR="007A2C13">
        <w:rPr>
          <w:rFonts w:ascii="Times New Roman" w:hAnsi="Times New Roman" w:cs="Times New Roman"/>
          <w:color w:val="000000" w:themeColor="text1"/>
          <w:sz w:val="24"/>
          <w:szCs w:val="24"/>
        </w:rPr>
        <w:t xml:space="preserve"> inerentes à complexidade da matéria </w:t>
      </w:r>
      <w:r w:rsidR="007A2C13">
        <w:rPr>
          <w:rFonts w:ascii="Times New Roman" w:hAnsi="Times New Roman" w:cs="Times New Roman"/>
          <w:color w:val="000000" w:themeColor="text1"/>
          <w:sz w:val="24"/>
          <w:szCs w:val="24"/>
        </w:rPr>
        <w:lastRenderedPageBreak/>
        <w:t>envolvida</w:t>
      </w:r>
      <w:r w:rsidRPr="00080B5F">
        <w:rPr>
          <w:rFonts w:ascii="Times New Roman" w:hAnsi="Times New Roman" w:cs="Times New Roman"/>
          <w:color w:val="000000" w:themeColor="text1"/>
          <w:sz w:val="24"/>
          <w:szCs w:val="24"/>
        </w:rPr>
        <w:t xml:space="preserve">, as quais </w:t>
      </w:r>
      <w:r w:rsidR="007A2C13">
        <w:rPr>
          <w:rFonts w:ascii="Times New Roman" w:hAnsi="Times New Roman" w:cs="Times New Roman"/>
          <w:color w:val="000000" w:themeColor="text1"/>
          <w:sz w:val="24"/>
          <w:szCs w:val="24"/>
        </w:rPr>
        <w:t>inevitavelmente inviabilizam que um</w:t>
      </w:r>
      <w:r w:rsidRPr="00080B5F">
        <w:rPr>
          <w:rFonts w:ascii="Times New Roman" w:hAnsi="Times New Roman" w:cs="Times New Roman"/>
          <w:color w:val="000000" w:themeColor="text1"/>
          <w:sz w:val="24"/>
          <w:szCs w:val="24"/>
        </w:rPr>
        <w:t xml:space="preserve"> contrato de concessão esteja constantemente atualizado sob o prisma econômico-financeiro. </w:t>
      </w:r>
    </w:p>
    <w:p w14:paraId="1000650E" w14:textId="39F67957"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 xml:space="preserve">Primeiramente, nota-se que o procedimento de reequilíbrio pode ser separado em dois atos administrativos próprios, muitas vezes praticados por atores distintos, </w:t>
      </w:r>
      <w:r w:rsidR="007A2C13">
        <w:rPr>
          <w:rFonts w:ascii="Times New Roman" w:hAnsi="Times New Roman" w:cs="Times New Roman"/>
          <w:color w:val="000000" w:themeColor="text1"/>
          <w:sz w:val="24"/>
          <w:szCs w:val="24"/>
        </w:rPr>
        <w:t>cada qual com suas particularidades e rito de implementação</w:t>
      </w:r>
      <w:r w:rsidRPr="00080B5F">
        <w:rPr>
          <w:rFonts w:ascii="Times New Roman" w:hAnsi="Times New Roman" w:cs="Times New Roman"/>
          <w:color w:val="000000" w:themeColor="text1"/>
          <w:sz w:val="24"/>
          <w:szCs w:val="24"/>
        </w:rPr>
        <w:t>, sendo inviável que os dois atos sejam completados no mesmo momento.</w:t>
      </w:r>
    </w:p>
    <w:p w14:paraId="5B2BA6A2" w14:textId="634B10BB"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Referimo-nos à criação e ao aparelhamento de agências reguladoras próprias, medida que contribui para a regulação independe</w:t>
      </w:r>
      <w:r w:rsidR="0043130B">
        <w:rPr>
          <w:rFonts w:ascii="Times New Roman" w:hAnsi="Times New Roman" w:cs="Times New Roman"/>
          <w:color w:val="000000" w:themeColor="text1"/>
          <w:sz w:val="24"/>
          <w:szCs w:val="24"/>
        </w:rPr>
        <w:t>nte</w:t>
      </w:r>
      <w:r w:rsidRPr="00080B5F">
        <w:rPr>
          <w:rFonts w:ascii="Times New Roman" w:hAnsi="Times New Roman" w:cs="Times New Roman"/>
          <w:color w:val="000000" w:themeColor="text1"/>
          <w:sz w:val="24"/>
          <w:szCs w:val="24"/>
        </w:rPr>
        <w:t xml:space="preserve"> e técnica, mas que costuma segregar o procedimento de restabelecimento do equilíbrio contratual em duas etapas: o reconhecimento do desequilíbrio contratual e a promoção do reequilíbrio. Na primeira etapa é avaliado se efetivamente foi verificado um evento de desequilíbrio, isto é, se houve a materialização de um risco cujas consequências são arcadas pela parte à qual o risco não foi alocado</w:t>
      </w:r>
      <w:r w:rsidR="007A2C13">
        <w:rPr>
          <w:rFonts w:ascii="Times New Roman" w:hAnsi="Times New Roman" w:cs="Times New Roman"/>
          <w:color w:val="000000" w:themeColor="text1"/>
          <w:sz w:val="24"/>
          <w:szCs w:val="24"/>
        </w:rPr>
        <w:t>, matéria esta que, por sua natureza exclusivamente técnica e regulatória, relacionada à aferição das provas apresentadas e aplicação do contrato vigente, costuma ser de competência das agências reguladoras</w:t>
      </w:r>
      <w:r w:rsidRPr="00080B5F">
        <w:rPr>
          <w:rFonts w:ascii="Times New Roman" w:hAnsi="Times New Roman" w:cs="Times New Roman"/>
          <w:color w:val="000000" w:themeColor="text1"/>
          <w:sz w:val="24"/>
          <w:szCs w:val="24"/>
        </w:rPr>
        <w:t>.</w:t>
      </w:r>
    </w:p>
    <w:p w14:paraId="25F4AE6B" w14:textId="276FF14B"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De outro lado, na etapa subsequente é escolhido o mecanismo que será utilizado para o reequilíbrio contratual – etapa que, por estar inevitavelmente atrelada a opções políticas, em geral acaba tendo a participação da administração direta, através da secretaria responsável pela tutela da matéria.</w:t>
      </w:r>
    </w:p>
    <w:p w14:paraId="007D1E89" w14:textId="73769646"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Essa separação, por si só, pode prolongar o interstício entre os atos de reconhecimento do desequilíbrio e de implementação do reequilíbrio.</w:t>
      </w:r>
    </w:p>
    <w:p w14:paraId="09A6300B" w14:textId="578DBC1D"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Também se destaca que o reequilíbrio econômico-financeiro, especialmente quando implementado através de instrumentos com impacto direto na população, costuma levar em consideração a situação regulatória do contrato como um todo, ao invés de um evento isolado. Por consequência, e levando-se em conta que diferentes eventos de desequilíbrio são decididos em momentos distintos, a dificuldade em recompor o contrato a cada vez que um desequilíbrio for reconhecido é enorme.</w:t>
      </w:r>
    </w:p>
    <w:p w14:paraId="27BE7E61" w14:textId="42A75E99"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 xml:space="preserve">Ademais, é natural que surjam eventos de desequilíbrio favoráveis e contrários a cada uma das partes do contrato, de modo que – para conferir segurança e respeitar os direitos de cada uma das partes – é conveniente que os diferentes desequilíbrios sejam consolidados e compensados em um cálculo próprio antes da promoção do reequilíbrio contratual. Afinal, parece não fazer sentido, por exemplo, prorrogar um contrato de concessão por 6 </w:t>
      </w:r>
      <w:r w:rsidR="0043130B">
        <w:rPr>
          <w:rFonts w:ascii="Times New Roman" w:hAnsi="Times New Roman" w:cs="Times New Roman"/>
          <w:color w:val="000000" w:themeColor="text1"/>
          <w:sz w:val="24"/>
          <w:szCs w:val="24"/>
        </w:rPr>
        <w:t xml:space="preserve">(seis) </w:t>
      </w:r>
      <w:r w:rsidRPr="00080B5F">
        <w:rPr>
          <w:rFonts w:ascii="Times New Roman" w:hAnsi="Times New Roman" w:cs="Times New Roman"/>
          <w:color w:val="000000" w:themeColor="text1"/>
          <w:sz w:val="24"/>
          <w:szCs w:val="24"/>
        </w:rPr>
        <w:t xml:space="preserve">meses para que logo em seguida seja reduzido no mesmo patamar. </w:t>
      </w:r>
      <w:r w:rsidR="007A2C13">
        <w:rPr>
          <w:rFonts w:ascii="Times New Roman" w:hAnsi="Times New Roman" w:cs="Times New Roman"/>
          <w:color w:val="000000" w:themeColor="text1"/>
          <w:sz w:val="24"/>
          <w:szCs w:val="24"/>
        </w:rPr>
        <w:t xml:space="preserve">Ou mesmo submeter tarifas de pedágio a recorrentes elevações e reduções, a cada oportunidade em que se reconheça a </w:t>
      </w:r>
      <w:r w:rsidR="007A2C13">
        <w:rPr>
          <w:rFonts w:ascii="Times New Roman" w:hAnsi="Times New Roman" w:cs="Times New Roman"/>
          <w:color w:val="000000" w:themeColor="text1"/>
          <w:sz w:val="24"/>
          <w:szCs w:val="24"/>
        </w:rPr>
        <w:lastRenderedPageBreak/>
        <w:t xml:space="preserve">materialização de um evento de desequilíbrio em favor de uma das partes. </w:t>
      </w:r>
      <w:r w:rsidRPr="00080B5F">
        <w:rPr>
          <w:rFonts w:ascii="Times New Roman" w:hAnsi="Times New Roman" w:cs="Times New Roman"/>
          <w:color w:val="000000" w:themeColor="text1"/>
          <w:sz w:val="24"/>
          <w:szCs w:val="24"/>
        </w:rPr>
        <w:t>Ao invés, convém que as alterações contratuais resultem em modificações dos termos pactuados que tragam consigo razoável previsibilidade. Isto é, além da evidente necessidade de se conferir eficiência ao processo, dada a complexidade destes procedimentos e a escassez de recursos, é necessário conferir segurança à relação contratual, inclusive para agentes externos (como financiadores) evitando-se constantes alterações contratuais que não representem, no momento em que celebradas, a consolidação do estado vigente do contrato.</w:t>
      </w:r>
    </w:p>
    <w:p w14:paraId="520309AE" w14:textId="77777777"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Há outras características atreladas à mensuração do desequilíbrio econômico-financeiro que também dificultam que o reequilíbrio se faça de forma sempre próxima à ocorrência do evento materializador de desequilíbrio.</w:t>
      </w:r>
    </w:p>
    <w:p w14:paraId="1C504164" w14:textId="67997CC0"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A principal diz respeito a uma premissa fundamental do reequilíbrio econômico-financeiro: a recomposição deve ser feita na exata medida do desequilíbrio verificado – é dizer, no jargão da matéria, após sua implementação, a parte em prol do qual o reequilíbrio é efetuado deve estar em posição nem melhor nem pior da que estaria caso o evento jamais tivesse ocorrido.</w:t>
      </w:r>
    </w:p>
    <w:p w14:paraId="0DAF646C" w14:textId="21F47E43"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 xml:space="preserve">Consequentemente, a concretização de tal premissa, em definitivo, demanda que primeiro se tenha completado o cálculo do desequilíbrio para que posteriormente se implemente o reequilíbrio, a fim de assegurar que este não fique em patamar </w:t>
      </w:r>
      <w:r w:rsidR="004F3268">
        <w:rPr>
          <w:rFonts w:ascii="Times New Roman" w:hAnsi="Times New Roman" w:cs="Times New Roman"/>
          <w:color w:val="000000" w:themeColor="text1"/>
          <w:sz w:val="24"/>
          <w:szCs w:val="24"/>
        </w:rPr>
        <w:t>inferior</w:t>
      </w:r>
      <w:r w:rsidRPr="00080B5F">
        <w:rPr>
          <w:rFonts w:ascii="Times New Roman" w:hAnsi="Times New Roman" w:cs="Times New Roman"/>
          <w:color w:val="000000" w:themeColor="text1"/>
          <w:sz w:val="24"/>
          <w:szCs w:val="24"/>
        </w:rPr>
        <w:t xml:space="preserve"> </w:t>
      </w:r>
      <w:r w:rsidR="004F3268">
        <w:rPr>
          <w:rFonts w:ascii="Times New Roman" w:hAnsi="Times New Roman" w:cs="Times New Roman"/>
          <w:color w:val="000000" w:themeColor="text1"/>
          <w:sz w:val="24"/>
          <w:szCs w:val="24"/>
        </w:rPr>
        <w:t>ou</w:t>
      </w:r>
      <w:r w:rsidRPr="00080B5F">
        <w:rPr>
          <w:rFonts w:ascii="Times New Roman" w:hAnsi="Times New Roman" w:cs="Times New Roman"/>
          <w:color w:val="000000" w:themeColor="text1"/>
          <w:sz w:val="24"/>
          <w:szCs w:val="24"/>
        </w:rPr>
        <w:t xml:space="preserve"> superior ao efetivamente devido.</w:t>
      </w:r>
    </w:p>
    <w:p w14:paraId="13EFCA7C" w14:textId="37FBDB65"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Nesse ponto, ainda que decorrente de fato que inegavelmente tenha desbalanceado o equilíbrio contratual e representado uma materialização de risco contratual</w:t>
      </w:r>
      <w:r w:rsidR="007A2C13">
        <w:rPr>
          <w:rFonts w:ascii="Times New Roman" w:hAnsi="Times New Roman" w:cs="Times New Roman"/>
          <w:color w:val="000000" w:themeColor="text1"/>
          <w:sz w:val="24"/>
          <w:szCs w:val="24"/>
        </w:rPr>
        <w:t xml:space="preserve"> alocado à outra parte</w:t>
      </w:r>
      <w:r w:rsidRPr="00080B5F">
        <w:rPr>
          <w:rFonts w:ascii="Times New Roman" w:hAnsi="Times New Roman" w:cs="Times New Roman"/>
          <w:color w:val="000000" w:themeColor="text1"/>
          <w:sz w:val="24"/>
          <w:szCs w:val="24"/>
        </w:rPr>
        <w:t>, o desequilíbrio pode demandar uma apuração complexa para sua quantificação.</w:t>
      </w:r>
    </w:p>
    <w:p w14:paraId="00985CB7" w14:textId="7E543DCC" w:rsidR="00080B5F" w:rsidRPr="00080B5F" w:rsidRDefault="007A2C13"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Pode</w:t>
      </w:r>
      <w:r w:rsidR="00080B5F" w:rsidRPr="00080B5F">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 xml:space="preserve"> mencionar</w:t>
      </w:r>
      <w:r w:rsidR="00080B5F" w:rsidRPr="00080B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como</w:t>
      </w:r>
      <w:r w:rsidR="00080B5F" w:rsidRPr="00080B5F">
        <w:rPr>
          <w:rFonts w:ascii="Times New Roman" w:hAnsi="Times New Roman" w:cs="Times New Roman"/>
          <w:color w:val="000000" w:themeColor="text1"/>
          <w:sz w:val="24"/>
          <w:szCs w:val="24"/>
        </w:rPr>
        <w:t xml:space="preserve"> exemplo, o recente impacto da pandemia de COVID-19 nos contratos de concessão. Ainda que haja </w:t>
      </w:r>
      <w:r w:rsidR="004F3268">
        <w:rPr>
          <w:rFonts w:ascii="Times New Roman" w:hAnsi="Times New Roman" w:cs="Times New Roman"/>
          <w:color w:val="000000" w:themeColor="text1"/>
          <w:sz w:val="24"/>
          <w:szCs w:val="24"/>
        </w:rPr>
        <w:t>reconhecimento d</w:t>
      </w:r>
      <w:r w:rsidR="00080B5F" w:rsidRPr="00080B5F">
        <w:rPr>
          <w:rFonts w:ascii="Times New Roman" w:hAnsi="Times New Roman" w:cs="Times New Roman"/>
          <w:color w:val="000000" w:themeColor="text1"/>
          <w:sz w:val="24"/>
          <w:szCs w:val="24"/>
        </w:rPr>
        <w:t xml:space="preserve">o evento de desequilíbrio ocorrido, </w:t>
      </w:r>
      <w:r w:rsidR="004F3268">
        <w:rPr>
          <w:rFonts w:ascii="Times New Roman" w:hAnsi="Times New Roman" w:cs="Times New Roman"/>
          <w:color w:val="000000" w:themeColor="text1"/>
          <w:sz w:val="24"/>
          <w:szCs w:val="24"/>
        </w:rPr>
        <w:t>su</w:t>
      </w:r>
      <w:r w:rsidR="00080B5F" w:rsidRPr="00080B5F">
        <w:rPr>
          <w:rFonts w:ascii="Times New Roman" w:hAnsi="Times New Roman" w:cs="Times New Roman"/>
          <w:color w:val="000000" w:themeColor="text1"/>
          <w:sz w:val="24"/>
          <w:szCs w:val="24"/>
        </w:rPr>
        <w:t>a mensuração passa pel</w:t>
      </w:r>
      <w:r>
        <w:rPr>
          <w:rFonts w:ascii="Times New Roman" w:hAnsi="Times New Roman" w:cs="Times New Roman"/>
          <w:color w:val="000000" w:themeColor="text1"/>
          <w:sz w:val="24"/>
          <w:szCs w:val="24"/>
        </w:rPr>
        <w:t>o equacionamento de questões de difícil solução</w:t>
      </w:r>
      <w:r w:rsidR="00080B5F" w:rsidRPr="00080B5F">
        <w:rPr>
          <w:rFonts w:ascii="Times New Roman" w:hAnsi="Times New Roman" w:cs="Times New Roman"/>
          <w:color w:val="000000" w:themeColor="text1"/>
          <w:sz w:val="24"/>
          <w:szCs w:val="24"/>
        </w:rPr>
        <w:t>: qual teria sido a demanda verificada na concessão caso a pandemia não tivesse ocorrido? É possível dizer que toda</w:t>
      </w:r>
      <w:r>
        <w:rPr>
          <w:rFonts w:ascii="Times New Roman" w:hAnsi="Times New Roman" w:cs="Times New Roman"/>
          <w:color w:val="000000" w:themeColor="text1"/>
          <w:sz w:val="24"/>
          <w:szCs w:val="24"/>
        </w:rPr>
        <w:t xml:space="preserve"> a</w:t>
      </w:r>
      <w:r w:rsidR="00080B5F" w:rsidRPr="00080B5F">
        <w:rPr>
          <w:rFonts w:ascii="Times New Roman" w:hAnsi="Times New Roman" w:cs="Times New Roman"/>
          <w:color w:val="000000" w:themeColor="text1"/>
          <w:sz w:val="24"/>
          <w:szCs w:val="24"/>
        </w:rPr>
        <w:t xml:space="preserve"> queda de demanda no período derivou da pandemia? Qual o momento em que os efeitos da pandemia e/ou do desequilíbrio iniciam-se e encerram-se? </w:t>
      </w:r>
      <w:r w:rsidR="00D52E86">
        <w:rPr>
          <w:rFonts w:ascii="Times New Roman" w:hAnsi="Times New Roman" w:cs="Times New Roman"/>
          <w:color w:val="000000" w:themeColor="text1"/>
          <w:sz w:val="24"/>
          <w:szCs w:val="24"/>
        </w:rPr>
        <w:t xml:space="preserve">O contrato traz mecanismo próprio de compartilhamento do risco de demanda </w:t>
      </w:r>
      <w:proofErr w:type="gramStart"/>
      <w:r w:rsidR="00D52E86">
        <w:rPr>
          <w:rFonts w:ascii="Times New Roman" w:hAnsi="Times New Roman" w:cs="Times New Roman"/>
          <w:color w:val="000000" w:themeColor="text1"/>
          <w:sz w:val="24"/>
          <w:szCs w:val="24"/>
        </w:rPr>
        <w:t>pra</w:t>
      </w:r>
      <w:proofErr w:type="gramEnd"/>
      <w:r w:rsidR="00D52E86">
        <w:rPr>
          <w:rFonts w:ascii="Times New Roman" w:hAnsi="Times New Roman" w:cs="Times New Roman"/>
          <w:color w:val="000000" w:themeColor="text1"/>
          <w:sz w:val="24"/>
          <w:szCs w:val="24"/>
        </w:rPr>
        <w:t xml:space="preserve"> lidar com a matéria, prevalecendo sobre um reequilíbrio fundament</w:t>
      </w:r>
      <w:r w:rsidR="00520B07">
        <w:rPr>
          <w:rFonts w:ascii="Times New Roman" w:hAnsi="Times New Roman" w:cs="Times New Roman"/>
          <w:color w:val="000000" w:themeColor="text1"/>
          <w:sz w:val="24"/>
          <w:szCs w:val="24"/>
        </w:rPr>
        <w:t>ad</w:t>
      </w:r>
      <w:r w:rsidR="00D52E86">
        <w:rPr>
          <w:rFonts w:ascii="Times New Roman" w:hAnsi="Times New Roman" w:cs="Times New Roman"/>
          <w:color w:val="000000" w:themeColor="text1"/>
          <w:sz w:val="24"/>
          <w:szCs w:val="24"/>
        </w:rPr>
        <w:t xml:space="preserve">o em situação de caso fortuito ou força maior? </w:t>
      </w:r>
      <w:r w:rsidR="00080B5F" w:rsidRPr="00080B5F">
        <w:rPr>
          <w:rFonts w:ascii="Times New Roman" w:hAnsi="Times New Roman" w:cs="Times New Roman"/>
          <w:color w:val="000000" w:themeColor="text1"/>
          <w:sz w:val="24"/>
          <w:szCs w:val="24"/>
        </w:rPr>
        <w:t>A pandemia também trouxe economia de custos à concessionária, que deve ser considerada na apuração?</w:t>
      </w:r>
    </w:p>
    <w:p w14:paraId="06C27279" w14:textId="052F933D"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 xml:space="preserve">As respostas para tais questões não são </w:t>
      </w:r>
      <w:r w:rsidR="00520B07">
        <w:rPr>
          <w:rFonts w:ascii="Times New Roman" w:hAnsi="Times New Roman" w:cs="Times New Roman"/>
          <w:color w:val="000000" w:themeColor="text1"/>
          <w:sz w:val="24"/>
          <w:szCs w:val="24"/>
        </w:rPr>
        <w:t>autoevidentes</w:t>
      </w:r>
      <w:r w:rsidRPr="00080B5F">
        <w:rPr>
          <w:rFonts w:ascii="Times New Roman" w:hAnsi="Times New Roman" w:cs="Times New Roman"/>
          <w:color w:val="000000" w:themeColor="text1"/>
          <w:sz w:val="24"/>
          <w:szCs w:val="24"/>
        </w:rPr>
        <w:t xml:space="preserve">, necessitando, assim, de apuração detida através de processo administrativo próprio. Note-se também que parte da </w:t>
      </w:r>
      <w:r w:rsidRPr="00080B5F">
        <w:rPr>
          <w:rFonts w:ascii="Times New Roman" w:hAnsi="Times New Roman" w:cs="Times New Roman"/>
          <w:color w:val="000000" w:themeColor="text1"/>
          <w:sz w:val="24"/>
          <w:szCs w:val="24"/>
        </w:rPr>
        <w:lastRenderedPageBreak/>
        <w:t>resposta demanda uma análise contrafactual, sendo resultado de análises estatísticas, ante a inexistência do dado para aferição na realidade</w:t>
      </w:r>
      <w:r w:rsidR="00D52E86">
        <w:rPr>
          <w:rFonts w:ascii="Times New Roman" w:hAnsi="Times New Roman" w:cs="Times New Roman"/>
          <w:color w:val="000000" w:themeColor="text1"/>
          <w:sz w:val="24"/>
          <w:szCs w:val="24"/>
        </w:rPr>
        <w:t xml:space="preserve"> – o que </w:t>
      </w:r>
      <w:r w:rsidRPr="00080B5F">
        <w:rPr>
          <w:rFonts w:ascii="Times New Roman" w:hAnsi="Times New Roman" w:cs="Times New Roman"/>
          <w:color w:val="000000" w:themeColor="text1"/>
          <w:sz w:val="24"/>
          <w:szCs w:val="24"/>
        </w:rPr>
        <w:t xml:space="preserve">torna a análise ainda mais complexa. </w:t>
      </w:r>
    </w:p>
    <w:p w14:paraId="71E16CB8" w14:textId="714FE2C2" w:rsidR="00080B5F" w:rsidRPr="00080B5F" w:rsidRDefault="00080B5F" w:rsidP="00D52E86">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Cabe observar</w:t>
      </w:r>
      <w:r w:rsidR="00D52E86">
        <w:rPr>
          <w:rFonts w:ascii="Times New Roman" w:hAnsi="Times New Roman" w:cs="Times New Roman"/>
          <w:color w:val="000000" w:themeColor="text1"/>
          <w:sz w:val="24"/>
          <w:szCs w:val="24"/>
        </w:rPr>
        <w:t>, ademais,</w:t>
      </w:r>
      <w:r w:rsidRPr="00080B5F">
        <w:rPr>
          <w:rFonts w:ascii="Times New Roman" w:hAnsi="Times New Roman" w:cs="Times New Roman"/>
          <w:color w:val="000000" w:themeColor="text1"/>
          <w:sz w:val="24"/>
          <w:szCs w:val="24"/>
        </w:rPr>
        <w:t xml:space="preserve"> que é raro que o reequilíbrio possa fazer com que a parte fique em uma posição fática completamente idêntica àquela em que estaria caso o evento não tivesse ocorrido. Tal conclusão deriva do simples fato de que não se pode retornar ao passado</w:t>
      </w:r>
      <w:r w:rsidR="00D52E86">
        <w:rPr>
          <w:rFonts w:ascii="Times New Roman" w:hAnsi="Times New Roman" w:cs="Times New Roman"/>
          <w:color w:val="000000" w:themeColor="text1"/>
          <w:sz w:val="24"/>
          <w:szCs w:val="24"/>
        </w:rPr>
        <w:t>,</w:t>
      </w:r>
      <w:r w:rsidRPr="00080B5F">
        <w:rPr>
          <w:rFonts w:ascii="Times New Roman" w:hAnsi="Times New Roman" w:cs="Times New Roman"/>
          <w:color w:val="000000" w:themeColor="text1"/>
          <w:sz w:val="24"/>
          <w:szCs w:val="24"/>
        </w:rPr>
        <w:t xml:space="preserve"> desfazendo um evento de desequilíbrio, mas sim compensá-lo econômica e financeiramente. Não se pode fazer com que a</w:t>
      </w:r>
      <w:r w:rsidR="00D52E86">
        <w:rPr>
          <w:rFonts w:ascii="Times New Roman" w:hAnsi="Times New Roman" w:cs="Times New Roman"/>
          <w:color w:val="000000" w:themeColor="text1"/>
          <w:sz w:val="24"/>
          <w:szCs w:val="24"/>
        </w:rPr>
        <w:t xml:space="preserve"> pandemia de</w:t>
      </w:r>
      <w:r w:rsidRPr="00080B5F">
        <w:rPr>
          <w:rFonts w:ascii="Times New Roman" w:hAnsi="Times New Roman" w:cs="Times New Roman"/>
          <w:color w:val="000000" w:themeColor="text1"/>
          <w:sz w:val="24"/>
          <w:szCs w:val="24"/>
        </w:rPr>
        <w:t xml:space="preserve"> COVID-19 jamais t</w:t>
      </w:r>
      <w:r w:rsidR="00D52E86">
        <w:rPr>
          <w:rFonts w:ascii="Times New Roman" w:hAnsi="Times New Roman" w:cs="Times New Roman"/>
          <w:color w:val="000000" w:themeColor="text1"/>
          <w:sz w:val="24"/>
          <w:szCs w:val="24"/>
        </w:rPr>
        <w:t xml:space="preserve">enha </w:t>
      </w:r>
      <w:r w:rsidRPr="00080B5F">
        <w:rPr>
          <w:rFonts w:ascii="Times New Roman" w:hAnsi="Times New Roman" w:cs="Times New Roman"/>
          <w:color w:val="000000" w:themeColor="text1"/>
          <w:sz w:val="24"/>
          <w:szCs w:val="24"/>
        </w:rPr>
        <w:t>ocorrido, mas apenas compensar (com indenização, aumento tarifário, prorrogação de prazo etc.) os seus efeitos.</w:t>
      </w:r>
    </w:p>
    <w:p w14:paraId="69914E84" w14:textId="1B6DA861"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Ainda se acrescente que existem eventos de desequilíbrio que possuem efeitos limitados no tempo; contudo, outros contam com efeitos prolongados e que acabam se estendendo por anos ou até mesmo por toda a vigência contratual. Consequentemente, somente será possível verificar o real impacto da totalidade do evento no momento em que</w:t>
      </w:r>
      <w:r w:rsidR="00D52E86">
        <w:rPr>
          <w:rFonts w:ascii="Times New Roman" w:hAnsi="Times New Roman" w:cs="Times New Roman"/>
          <w:color w:val="000000" w:themeColor="text1"/>
          <w:sz w:val="24"/>
          <w:szCs w:val="24"/>
        </w:rPr>
        <w:t xml:space="preserve"> este</w:t>
      </w:r>
      <w:r w:rsidRPr="00080B5F">
        <w:rPr>
          <w:rFonts w:ascii="Times New Roman" w:hAnsi="Times New Roman" w:cs="Times New Roman"/>
          <w:color w:val="000000" w:themeColor="text1"/>
          <w:sz w:val="24"/>
          <w:szCs w:val="24"/>
        </w:rPr>
        <w:t xml:space="preserve"> cessar.</w:t>
      </w:r>
    </w:p>
    <w:p w14:paraId="2F7A34A7" w14:textId="6D9E2650"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 xml:space="preserve">Isso leva à seguinte problemática: de um lado, é preferível que o restabelecimento do evento se faça sempre </w:t>
      </w:r>
      <w:r w:rsidR="00520B07">
        <w:rPr>
          <w:rFonts w:ascii="Times New Roman" w:hAnsi="Times New Roman" w:cs="Times New Roman"/>
          <w:color w:val="000000" w:themeColor="text1"/>
          <w:sz w:val="24"/>
          <w:szCs w:val="24"/>
        </w:rPr>
        <w:t>em momento o mais próximo possível do de</w:t>
      </w:r>
      <w:r w:rsidRPr="00080B5F">
        <w:rPr>
          <w:rFonts w:ascii="Times New Roman" w:hAnsi="Times New Roman" w:cs="Times New Roman"/>
          <w:color w:val="000000" w:themeColor="text1"/>
          <w:sz w:val="24"/>
          <w:szCs w:val="24"/>
        </w:rPr>
        <w:t xml:space="preserve"> sua materialização. De outro, dado que o reequilíbrio não deve ser nem inferior nem superior ao montante efetivamente devido, deve-se esperar que o evento cesse para que a apuração seja precisa.</w:t>
      </w:r>
    </w:p>
    <w:p w14:paraId="60BED4D0" w14:textId="4B233BF5" w:rsidR="00080B5F" w:rsidRP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Por fim, ainda se menciona que outros fatores comumente vivenciados na administração pública</w:t>
      </w:r>
      <w:r w:rsidR="00D52E86">
        <w:rPr>
          <w:rFonts w:ascii="Times New Roman" w:hAnsi="Times New Roman" w:cs="Times New Roman"/>
          <w:color w:val="000000" w:themeColor="text1"/>
          <w:sz w:val="24"/>
          <w:szCs w:val="24"/>
        </w:rPr>
        <w:t xml:space="preserve"> – </w:t>
      </w:r>
      <w:r w:rsidRPr="00080B5F">
        <w:rPr>
          <w:rFonts w:ascii="Times New Roman" w:hAnsi="Times New Roman" w:cs="Times New Roman"/>
          <w:color w:val="000000" w:themeColor="text1"/>
          <w:sz w:val="24"/>
          <w:szCs w:val="24"/>
        </w:rPr>
        <w:t>como restrições orçamentárias das agências e órgãos responsáveis pelo acompanhamento contratual, ou déficit do quadro de pessoal</w:t>
      </w:r>
      <w:r w:rsidR="00D52E86">
        <w:rPr>
          <w:rFonts w:ascii="Times New Roman" w:hAnsi="Times New Roman" w:cs="Times New Roman"/>
          <w:color w:val="000000" w:themeColor="text1"/>
          <w:sz w:val="24"/>
          <w:szCs w:val="24"/>
        </w:rPr>
        <w:t xml:space="preserve"> – </w:t>
      </w:r>
      <w:r w:rsidRPr="00080B5F">
        <w:rPr>
          <w:rFonts w:ascii="Times New Roman" w:hAnsi="Times New Roman" w:cs="Times New Roman"/>
          <w:color w:val="000000" w:themeColor="text1"/>
          <w:sz w:val="24"/>
          <w:szCs w:val="24"/>
        </w:rPr>
        <w:t>também podem ocasionar o atraso da mensuração do desequilíbrio e do acompanhamento contratual.</w:t>
      </w:r>
    </w:p>
    <w:p w14:paraId="4291F459" w14:textId="10BEB966" w:rsidR="00080B5F" w:rsidRDefault="00080B5F"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Diante de tal desafio, não é incomum que a efetivação do reequilíbrio econômico-financeiro demore para ser implementad</w:t>
      </w:r>
      <w:r w:rsidR="00520B07">
        <w:rPr>
          <w:rFonts w:ascii="Times New Roman" w:hAnsi="Times New Roman" w:cs="Times New Roman"/>
          <w:color w:val="000000" w:themeColor="text1"/>
          <w:sz w:val="24"/>
          <w:szCs w:val="24"/>
        </w:rPr>
        <w:t>a</w:t>
      </w:r>
      <w:r w:rsidRPr="00080B5F">
        <w:rPr>
          <w:rFonts w:ascii="Times New Roman" w:hAnsi="Times New Roman" w:cs="Times New Roman"/>
          <w:color w:val="000000" w:themeColor="text1"/>
          <w:sz w:val="24"/>
          <w:szCs w:val="24"/>
        </w:rPr>
        <w:t xml:space="preserve">. Nesse panorama, </w:t>
      </w:r>
      <w:r w:rsidR="00520B07">
        <w:rPr>
          <w:rFonts w:ascii="Times New Roman" w:hAnsi="Times New Roman" w:cs="Times New Roman"/>
          <w:color w:val="000000" w:themeColor="text1"/>
          <w:sz w:val="24"/>
          <w:szCs w:val="24"/>
        </w:rPr>
        <w:t xml:space="preserve">como uma forma de endereçar este problema sem sacrificar nem a busca da contemporaneidade do reequilíbrio contratual, nem a premissa de busca da maior precisão possível na mensuração tanto do desequilíbrio quanto do mecanismo de reequilíbrio contratual, </w:t>
      </w:r>
      <w:r w:rsidRPr="00080B5F">
        <w:rPr>
          <w:rFonts w:ascii="Times New Roman" w:hAnsi="Times New Roman" w:cs="Times New Roman"/>
          <w:color w:val="000000" w:themeColor="text1"/>
          <w:sz w:val="24"/>
          <w:szCs w:val="24"/>
        </w:rPr>
        <w:t xml:space="preserve">defendemos que </w:t>
      </w:r>
      <w:r w:rsidR="00520B07">
        <w:rPr>
          <w:rFonts w:ascii="Times New Roman" w:hAnsi="Times New Roman" w:cs="Times New Roman"/>
          <w:color w:val="000000" w:themeColor="text1"/>
          <w:sz w:val="24"/>
          <w:szCs w:val="24"/>
        </w:rPr>
        <w:t>este</w:t>
      </w:r>
      <w:r w:rsidRPr="00080B5F">
        <w:rPr>
          <w:rFonts w:ascii="Times New Roman" w:hAnsi="Times New Roman" w:cs="Times New Roman"/>
          <w:color w:val="000000" w:themeColor="text1"/>
          <w:sz w:val="24"/>
          <w:szCs w:val="24"/>
        </w:rPr>
        <w:t xml:space="preserve"> possa ser feito pela administração pública de modo cautelar (ou provisório), delineando abaixo as condições ideais para que isso ocorra.</w:t>
      </w:r>
    </w:p>
    <w:p w14:paraId="0059AD13" w14:textId="77777777" w:rsidR="0018468F" w:rsidRDefault="0018468F" w:rsidP="00BD1084">
      <w:pPr>
        <w:tabs>
          <w:tab w:val="left" w:pos="2268"/>
          <w:tab w:val="left" w:pos="7338"/>
        </w:tabs>
        <w:spacing w:after="0" w:line="360" w:lineRule="auto"/>
        <w:jc w:val="both"/>
        <w:rPr>
          <w:rFonts w:ascii="Times New Roman" w:hAnsi="Times New Roman" w:cs="Times New Roman"/>
          <w:sz w:val="24"/>
          <w:szCs w:val="24"/>
        </w:rPr>
      </w:pPr>
    </w:p>
    <w:p w14:paraId="0E75837D" w14:textId="5D0F06B2" w:rsidR="003D3DFD" w:rsidRPr="00D52E86" w:rsidRDefault="00080B5F" w:rsidP="00BD1084">
      <w:pPr>
        <w:spacing w:after="0" w:line="360" w:lineRule="auto"/>
        <w:jc w:val="both"/>
        <w:rPr>
          <w:rFonts w:ascii="Times New Roman" w:hAnsi="Times New Roman" w:cs="Times New Roman"/>
          <w:b/>
          <w:bCs/>
          <w:sz w:val="28"/>
          <w:szCs w:val="28"/>
        </w:rPr>
      </w:pPr>
      <w:r w:rsidRPr="00D52E86">
        <w:rPr>
          <w:rFonts w:ascii="Times New Roman" w:hAnsi="Times New Roman" w:cs="Times New Roman"/>
          <w:b/>
          <w:bCs/>
          <w:sz w:val="28"/>
          <w:szCs w:val="28"/>
        </w:rPr>
        <w:t>3</w:t>
      </w:r>
      <w:r w:rsidR="003D3DFD" w:rsidRPr="00D52E86">
        <w:rPr>
          <w:rFonts w:ascii="Times New Roman" w:hAnsi="Times New Roman" w:cs="Times New Roman"/>
          <w:b/>
          <w:bCs/>
          <w:sz w:val="28"/>
          <w:szCs w:val="28"/>
        </w:rPr>
        <w:t xml:space="preserve">. </w:t>
      </w:r>
      <w:r w:rsidR="00D52E86">
        <w:rPr>
          <w:rFonts w:ascii="Times New Roman" w:hAnsi="Times New Roman" w:cs="Times New Roman"/>
          <w:b/>
          <w:bCs/>
          <w:sz w:val="28"/>
          <w:szCs w:val="28"/>
        </w:rPr>
        <w:t>A</w:t>
      </w:r>
      <w:r w:rsidR="00D52E86" w:rsidRPr="00D52E86">
        <w:rPr>
          <w:rFonts w:ascii="Times New Roman" w:hAnsi="Times New Roman" w:cs="Times New Roman"/>
          <w:b/>
          <w:bCs/>
          <w:sz w:val="28"/>
          <w:szCs w:val="28"/>
        </w:rPr>
        <w:t xml:space="preserve"> aplicação de medidas cautelares para a mitigação dos impactos dos desequilíbrios complexos e a </w:t>
      </w:r>
      <w:r w:rsidR="00D52E86">
        <w:rPr>
          <w:rFonts w:ascii="Times New Roman" w:hAnsi="Times New Roman" w:cs="Times New Roman"/>
          <w:b/>
          <w:bCs/>
          <w:sz w:val="28"/>
          <w:szCs w:val="28"/>
        </w:rPr>
        <w:t>R</w:t>
      </w:r>
      <w:r w:rsidR="00D52E86" w:rsidRPr="00D52E86">
        <w:rPr>
          <w:rFonts w:ascii="Times New Roman" w:hAnsi="Times New Roman" w:cs="Times New Roman"/>
          <w:b/>
          <w:bCs/>
          <w:sz w:val="28"/>
          <w:szCs w:val="28"/>
        </w:rPr>
        <w:t xml:space="preserve">esolução </w:t>
      </w:r>
      <w:r w:rsidR="00D52E86">
        <w:rPr>
          <w:rFonts w:ascii="Times New Roman" w:hAnsi="Times New Roman" w:cs="Times New Roman"/>
          <w:b/>
          <w:bCs/>
          <w:sz w:val="28"/>
          <w:szCs w:val="28"/>
        </w:rPr>
        <w:t>SPI nº</w:t>
      </w:r>
      <w:r w:rsidR="00D52E86" w:rsidRPr="00D52E86">
        <w:rPr>
          <w:rFonts w:ascii="Times New Roman" w:hAnsi="Times New Roman" w:cs="Times New Roman"/>
          <w:b/>
          <w:bCs/>
          <w:sz w:val="28"/>
          <w:szCs w:val="28"/>
        </w:rPr>
        <w:t xml:space="preserve"> 19/2023</w:t>
      </w:r>
      <w:r w:rsidR="00520B07">
        <w:rPr>
          <w:rFonts w:ascii="Times New Roman" w:hAnsi="Times New Roman" w:cs="Times New Roman"/>
          <w:b/>
          <w:bCs/>
          <w:sz w:val="28"/>
          <w:szCs w:val="28"/>
        </w:rPr>
        <w:t>, do Estado de São Paulo</w:t>
      </w:r>
      <w:r w:rsidR="00D52E86" w:rsidRPr="00D52E86">
        <w:rPr>
          <w:rFonts w:ascii="Times New Roman" w:hAnsi="Times New Roman" w:cs="Times New Roman"/>
          <w:b/>
          <w:bCs/>
          <w:sz w:val="28"/>
          <w:szCs w:val="28"/>
        </w:rPr>
        <w:t xml:space="preserve"> </w:t>
      </w:r>
    </w:p>
    <w:p w14:paraId="2F994F1E" w14:textId="77777777" w:rsidR="003D3DFD" w:rsidRPr="001641CB" w:rsidRDefault="003D3DFD" w:rsidP="00BD1084">
      <w:pPr>
        <w:spacing w:after="0" w:line="360" w:lineRule="auto"/>
        <w:jc w:val="both"/>
        <w:rPr>
          <w:rFonts w:ascii="Times New Roman" w:hAnsi="Times New Roman" w:cs="Times New Roman"/>
          <w:color w:val="000000" w:themeColor="text1"/>
          <w:sz w:val="24"/>
          <w:szCs w:val="24"/>
        </w:rPr>
      </w:pPr>
    </w:p>
    <w:p w14:paraId="6D2B869F" w14:textId="6F607839" w:rsidR="00921E42" w:rsidRDefault="00F43359"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À luz do exposto acima</w:t>
      </w:r>
      <w:r w:rsidR="004F6F95">
        <w:rPr>
          <w:rFonts w:ascii="Times New Roman" w:hAnsi="Times New Roman" w:cs="Times New Roman"/>
          <w:color w:val="000000" w:themeColor="text1"/>
          <w:sz w:val="24"/>
          <w:szCs w:val="24"/>
        </w:rPr>
        <w:t xml:space="preserve">, </w:t>
      </w:r>
      <w:r w:rsidR="004F6F95" w:rsidRPr="004F6F95">
        <w:rPr>
          <w:rFonts w:ascii="Times New Roman" w:hAnsi="Times New Roman" w:cs="Times New Roman"/>
          <w:color w:val="000000" w:themeColor="text1"/>
          <w:sz w:val="24"/>
          <w:szCs w:val="24"/>
        </w:rPr>
        <w:t>o</w:t>
      </w:r>
      <w:r w:rsidR="00993C53">
        <w:rPr>
          <w:rFonts w:ascii="Times New Roman" w:hAnsi="Times New Roman" w:cs="Times New Roman"/>
          <w:color w:val="000000" w:themeColor="text1"/>
          <w:sz w:val="24"/>
          <w:szCs w:val="24"/>
        </w:rPr>
        <w:t>bserva-se que, especialmente nos casos de desequilíbrios econômico-financeiros complexos, a sua apuração pode se protrair no tempo</w:t>
      </w:r>
      <w:r w:rsidR="00921E42">
        <w:rPr>
          <w:rFonts w:ascii="Times New Roman" w:hAnsi="Times New Roman" w:cs="Times New Roman"/>
          <w:color w:val="000000" w:themeColor="text1"/>
          <w:sz w:val="24"/>
          <w:szCs w:val="24"/>
        </w:rPr>
        <w:t>, gerando ineficiências e diversas consequências negativas para todos os interessados.</w:t>
      </w:r>
    </w:p>
    <w:p w14:paraId="71523F51" w14:textId="2F26A80C" w:rsidR="00993C53" w:rsidRDefault="000E3D32"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Independentemente das razões que conduzem a este atraso no equacionamento do desequilíbrio contratual, muitas das quais, conforme mencionado, inevitáveis e perfeitamente legítimas</w:t>
      </w:r>
      <w:r w:rsidR="00993C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esta demora tem como consequência a</w:t>
      </w:r>
      <w:r w:rsidR="00993C53">
        <w:rPr>
          <w:rFonts w:ascii="Times New Roman" w:hAnsi="Times New Roman" w:cs="Times New Roman"/>
          <w:color w:val="000000" w:themeColor="text1"/>
          <w:sz w:val="24"/>
          <w:szCs w:val="24"/>
        </w:rPr>
        <w:t xml:space="preserve"> majora</w:t>
      </w:r>
      <w:r>
        <w:rPr>
          <w:rFonts w:ascii="Times New Roman" w:hAnsi="Times New Roman" w:cs="Times New Roman"/>
          <w:color w:val="000000" w:themeColor="text1"/>
          <w:sz w:val="24"/>
          <w:szCs w:val="24"/>
        </w:rPr>
        <w:t>ção</w:t>
      </w:r>
      <w:r w:rsidR="00993C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00993C53">
        <w:rPr>
          <w:rFonts w:ascii="Times New Roman" w:hAnsi="Times New Roman" w:cs="Times New Roman"/>
          <w:color w:val="000000" w:themeColor="text1"/>
          <w:sz w:val="24"/>
          <w:szCs w:val="24"/>
        </w:rPr>
        <w:t>o ônus a ser suportado pelo erário</w:t>
      </w:r>
      <w:r w:rsidR="007A7972">
        <w:rPr>
          <w:rFonts w:ascii="Times New Roman" w:hAnsi="Times New Roman" w:cs="Times New Roman"/>
          <w:color w:val="000000" w:themeColor="text1"/>
          <w:sz w:val="24"/>
          <w:szCs w:val="24"/>
        </w:rPr>
        <w:t>,</w:t>
      </w:r>
      <w:r w:rsidR="00993C53">
        <w:rPr>
          <w:rFonts w:ascii="Times New Roman" w:hAnsi="Times New Roman" w:cs="Times New Roman"/>
          <w:color w:val="000000" w:themeColor="text1"/>
          <w:sz w:val="24"/>
          <w:szCs w:val="24"/>
        </w:rPr>
        <w:t xml:space="preserve"> ou pelos usuários</w:t>
      </w:r>
      <w:r w:rsidR="007A7972">
        <w:rPr>
          <w:rFonts w:ascii="Times New Roman" w:hAnsi="Times New Roman" w:cs="Times New Roman"/>
          <w:color w:val="000000" w:themeColor="text1"/>
          <w:sz w:val="24"/>
          <w:szCs w:val="24"/>
        </w:rPr>
        <w:t>,</w:t>
      </w:r>
      <w:r w:rsidR="00993C53">
        <w:rPr>
          <w:rFonts w:ascii="Times New Roman" w:hAnsi="Times New Roman" w:cs="Times New Roman"/>
          <w:color w:val="000000" w:themeColor="text1"/>
          <w:sz w:val="24"/>
          <w:szCs w:val="24"/>
        </w:rPr>
        <w:t xml:space="preserve"> com a</w:t>
      </w:r>
      <w:r w:rsidR="005913A9">
        <w:rPr>
          <w:rFonts w:ascii="Times New Roman" w:hAnsi="Times New Roman" w:cs="Times New Roman"/>
          <w:color w:val="000000" w:themeColor="text1"/>
          <w:sz w:val="24"/>
          <w:szCs w:val="24"/>
        </w:rPr>
        <w:t>s</w:t>
      </w:r>
      <w:r w:rsidR="00993C53">
        <w:rPr>
          <w:rFonts w:ascii="Times New Roman" w:hAnsi="Times New Roman" w:cs="Times New Roman"/>
          <w:color w:val="000000" w:themeColor="text1"/>
          <w:sz w:val="24"/>
          <w:szCs w:val="24"/>
        </w:rPr>
        <w:t xml:space="preserve"> futura</w:t>
      </w:r>
      <w:r w:rsidR="005913A9">
        <w:rPr>
          <w:rFonts w:ascii="Times New Roman" w:hAnsi="Times New Roman" w:cs="Times New Roman"/>
          <w:color w:val="000000" w:themeColor="text1"/>
          <w:sz w:val="24"/>
          <w:szCs w:val="24"/>
        </w:rPr>
        <w:t>s medidas voltadas à</w:t>
      </w:r>
      <w:r w:rsidR="00993C53">
        <w:rPr>
          <w:rFonts w:ascii="Times New Roman" w:hAnsi="Times New Roman" w:cs="Times New Roman"/>
          <w:color w:val="000000" w:themeColor="text1"/>
          <w:sz w:val="24"/>
          <w:szCs w:val="24"/>
        </w:rPr>
        <w:t xml:space="preserve"> compensação</w:t>
      </w:r>
      <w:r w:rsidR="00A02B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diante d</w:t>
      </w:r>
      <w:r w:rsidR="00A02BDD">
        <w:rPr>
          <w:rFonts w:ascii="Times New Roman" w:hAnsi="Times New Roman" w:cs="Times New Roman"/>
          <w:color w:val="000000" w:themeColor="text1"/>
          <w:sz w:val="24"/>
          <w:szCs w:val="24"/>
        </w:rPr>
        <w:t>a necessidade de rentabiliz</w:t>
      </w:r>
      <w:r>
        <w:rPr>
          <w:rFonts w:ascii="Times New Roman" w:hAnsi="Times New Roman" w:cs="Times New Roman"/>
          <w:color w:val="000000" w:themeColor="text1"/>
          <w:sz w:val="24"/>
          <w:szCs w:val="24"/>
        </w:rPr>
        <w:t>ar</w:t>
      </w:r>
      <w:r w:rsidR="00A02BDD">
        <w:rPr>
          <w:rFonts w:ascii="Times New Roman" w:hAnsi="Times New Roman" w:cs="Times New Roman"/>
          <w:color w:val="000000" w:themeColor="text1"/>
          <w:sz w:val="24"/>
          <w:szCs w:val="24"/>
        </w:rPr>
        <w:t xml:space="preserve"> no tempo</w:t>
      </w:r>
      <w:r>
        <w:rPr>
          <w:rFonts w:ascii="Times New Roman" w:hAnsi="Times New Roman" w:cs="Times New Roman"/>
          <w:color w:val="000000" w:themeColor="text1"/>
          <w:sz w:val="24"/>
          <w:szCs w:val="24"/>
        </w:rPr>
        <w:t>,</w:t>
      </w:r>
      <w:r w:rsidR="00A02BDD">
        <w:rPr>
          <w:rFonts w:ascii="Times New Roman" w:hAnsi="Times New Roman" w:cs="Times New Roman"/>
          <w:color w:val="000000" w:themeColor="text1"/>
          <w:sz w:val="24"/>
          <w:szCs w:val="24"/>
        </w:rPr>
        <w:t xml:space="preserve"> pela taxa de </w:t>
      </w:r>
      <w:r w:rsidR="007A7972">
        <w:rPr>
          <w:rFonts w:ascii="Times New Roman" w:hAnsi="Times New Roman" w:cs="Times New Roman"/>
          <w:color w:val="000000" w:themeColor="text1"/>
          <w:sz w:val="24"/>
          <w:szCs w:val="24"/>
        </w:rPr>
        <w:t>retorno</w:t>
      </w:r>
      <w:r w:rsidR="00A02BDD">
        <w:rPr>
          <w:rFonts w:ascii="Times New Roman" w:hAnsi="Times New Roman" w:cs="Times New Roman"/>
          <w:color w:val="000000" w:themeColor="text1"/>
          <w:sz w:val="24"/>
          <w:szCs w:val="24"/>
        </w:rPr>
        <w:t xml:space="preserve"> aplicável</w:t>
      </w:r>
      <w:r>
        <w:rPr>
          <w:rFonts w:ascii="Times New Roman" w:hAnsi="Times New Roman" w:cs="Times New Roman"/>
          <w:color w:val="000000" w:themeColor="text1"/>
          <w:sz w:val="24"/>
          <w:szCs w:val="24"/>
        </w:rPr>
        <w:t xml:space="preserve">, </w:t>
      </w:r>
      <w:r w:rsidRPr="000E3D32">
        <w:rPr>
          <w:rFonts w:ascii="Times New Roman" w:hAnsi="Times New Roman" w:cs="Times New Roman"/>
          <w:color w:val="000000" w:themeColor="text1"/>
          <w:sz w:val="24"/>
          <w:szCs w:val="24"/>
        </w:rPr>
        <w:t>o montante do desequilíbrio contratual</w:t>
      </w:r>
      <w:r>
        <w:rPr>
          <w:rFonts w:ascii="Times New Roman" w:hAnsi="Times New Roman" w:cs="Times New Roman"/>
          <w:color w:val="000000" w:themeColor="text1"/>
          <w:sz w:val="24"/>
          <w:szCs w:val="24"/>
        </w:rPr>
        <w:t>,</w:t>
      </w:r>
      <w:r w:rsidR="00A02BDD">
        <w:rPr>
          <w:rFonts w:ascii="Times New Roman" w:hAnsi="Times New Roman" w:cs="Times New Roman"/>
          <w:color w:val="000000" w:themeColor="text1"/>
          <w:sz w:val="24"/>
          <w:szCs w:val="24"/>
        </w:rPr>
        <w:t xml:space="preserve"> assim como, a depender da magnitude dos desequilíbrios acumulados, comprometer a própria saúde financeira da concessão.</w:t>
      </w:r>
    </w:p>
    <w:p w14:paraId="7D075B85" w14:textId="0E346DB0" w:rsidR="00A02BDD" w:rsidRDefault="00A02BDD"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Uma possível solução para endereçar </w:t>
      </w:r>
      <w:r w:rsidR="00921E42">
        <w:rPr>
          <w:rFonts w:ascii="Times New Roman" w:hAnsi="Times New Roman" w:cs="Times New Roman"/>
          <w:color w:val="000000" w:themeColor="text1"/>
          <w:sz w:val="24"/>
          <w:szCs w:val="24"/>
        </w:rPr>
        <w:t>essas dificuldades e reduzir o custo temporal dos processos de reequilíbrio</w:t>
      </w:r>
      <w:r>
        <w:rPr>
          <w:rFonts w:ascii="Times New Roman" w:hAnsi="Times New Roman" w:cs="Times New Roman"/>
          <w:color w:val="000000" w:themeColor="text1"/>
          <w:sz w:val="24"/>
          <w:szCs w:val="24"/>
        </w:rPr>
        <w:t xml:space="preserve"> se dá por meio da aplicação de medidas cautelares ou provisórias para mitigar o impacto dos desequilíbrios contratuais, </w:t>
      </w:r>
      <w:r w:rsidR="00134310">
        <w:rPr>
          <w:rFonts w:ascii="Times New Roman" w:hAnsi="Times New Roman" w:cs="Times New Roman"/>
          <w:color w:val="000000" w:themeColor="text1"/>
          <w:sz w:val="24"/>
          <w:szCs w:val="24"/>
        </w:rPr>
        <w:t>que são capazes</w:t>
      </w:r>
      <w:r>
        <w:rPr>
          <w:rFonts w:ascii="Times New Roman" w:hAnsi="Times New Roman" w:cs="Times New Roman"/>
          <w:color w:val="000000" w:themeColor="text1"/>
          <w:sz w:val="24"/>
          <w:szCs w:val="24"/>
        </w:rPr>
        <w:t xml:space="preserve"> de atenuar os efeitos econômico-financeiros </w:t>
      </w:r>
      <w:r w:rsidR="000E3D32">
        <w:rPr>
          <w:rFonts w:ascii="Times New Roman" w:hAnsi="Times New Roman" w:cs="Times New Roman"/>
          <w:color w:val="000000" w:themeColor="text1"/>
          <w:sz w:val="24"/>
          <w:szCs w:val="24"/>
        </w:rPr>
        <w:t xml:space="preserve">do evento de desequilíbrio ao longo do período </w:t>
      </w:r>
      <w:r>
        <w:rPr>
          <w:rFonts w:ascii="Times New Roman" w:hAnsi="Times New Roman" w:cs="Times New Roman"/>
          <w:color w:val="000000" w:themeColor="text1"/>
          <w:sz w:val="24"/>
          <w:szCs w:val="24"/>
        </w:rPr>
        <w:t>da dilação temporal necessária para que o órgão regulador apure o impacto definitivo</w:t>
      </w:r>
      <w:r w:rsidR="003E01DB">
        <w:rPr>
          <w:rFonts w:ascii="Times New Roman" w:hAnsi="Times New Roman" w:cs="Times New Roman"/>
          <w:color w:val="000000" w:themeColor="text1"/>
          <w:sz w:val="24"/>
          <w:szCs w:val="24"/>
        </w:rPr>
        <w:t xml:space="preserve"> a ser reequilibrado.</w:t>
      </w:r>
    </w:p>
    <w:p w14:paraId="51BAC4DC" w14:textId="5B5FB3C0" w:rsidR="00A02BDD" w:rsidRDefault="00942E80"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adoção de soluções </w:t>
      </w:r>
      <w:r w:rsidR="005913A9">
        <w:rPr>
          <w:rFonts w:ascii="Times New Roman" w:hAnsi="Times New Roman" w:cs="Times New Roman"/>
          <w:color w:val="000000" w:themeColor="text1"/>
          <w:sz w:val="24"/>
          <w:szCs w:val="24"/>
        </w:rPr>
        <w:t>dessa natureza</w:t>
      </w:r>
      <w:r>
        <w:rPr>
          <w:rFonts w:ascii="Times New Roman" w:hAnsi="Times New Roman" w:cs="Times New Roman"/>
          <w:color w:val="000000" w:themeColor="text1"/>
          <w:sz w:val="24"/>
          <w:szCs w:val="24"/>
        </w:rPr>
        <w:t xml:space="preserve"> se justifica à luz dos princípios da: (i)</w:t>
      </w:r>
      <w:r w:rsidRPr="00942E80">
        <w:rPr>
          <w:rFonts w:ascii="Times New Roman" w:hAnsi="Times New Roman" w:cs="Times New Roman"/>
          <w:color w:val="000000" w:themeColor="text1"/>
          <w:sz w:val="24"/>
          <w:szCs w:val="24"/>
        </w:rPr>
        <w:t xml:space="preserve"> eficiência e economicidade, sob a perspectiva da preservação do erário; e (</w:t>
      </w:r>
      <w:proofErr w:type="spellStart"/>
      <w:r w:rsidRPr="00942E80">
        <w:rPr>
          <w:rFonts w:ascii="Times New Roman" w:hAnsi="Times New Roman" w:cs="Times New Roman"/>
          <w:color w:val="000000" w:themeColor="text1"/>
          <w:sz w:val="24"/>
          <w:szCs w:val="24"/>
        </w:rPr>
        <w:t>ii</w:t>
      </w:r>
      <w:proofErr w:type="spellEnd"/>
      <w:r w:rsidRPr="00942E80">
        <w:rPr>
          <w:rFonts w:ascii="Times New Roman" w:hAnsi="Times New Roman" w:cs="Times New Roman"/>
          <w:color w:val="000000" w:themeColor="text1"/>
          <w:sz w:val="24"/>
          <w:szCs w:val="24"/>
        </w:rPr>
        <w:t>) continuidade do serviço público, sob a perspectiva da preservação da capacidade econômico-financeira das concessionárias</w:t>
      </w:r>
      <w:r>
        <w:rPr>
          <w:rFonts w:ascii="Times New Roman" w:hAnsi="Times New Roman" w:cs="Times New Roman"/>
          <w:color w:val="000000" w:themeColor="text1"/>
          <w:sz w:val="24"/>
          <w:szCs w:val="24"/>
        </w:rPr>
        <w:t>.</w:t>
      </w:r>
    </w:p>
    <w:p w14:paraId="624B5C44" w14:textId="0F7C69A5" w:rsidR="00921E42" w:rsidRDefault="000E3D32"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Adicionalmente</w:t>
      </w:r>
      <w:r w:rsidR="00921E42">
        <w:rPr>
          <w:rFonts w:ascii="Times New Roman" w:hAnsi="Times New Roman" w:cs="Times New Roman"/>
          <w:color w:val="000000" w:themeColor="text1"/>
          <w:sz w:val="24"/>
          <w:szCs w:val="24"/>
        </w:rPr>
        <w:t>, tais medidas dão concretude ao dever estatal de recompor o equilíbrio contratual “concomitantemente à alteração”</w:t>
      </w:r>
      <w:r w:rsidR="00DF73E8">
        <w:rPr>
          <w:rFonts w:ascii="Times New Roman" w:hAnsi="Times New Roman" w:cs="Times New Roman"/>
          <w:color w:val="000000" w:themeColor="text1"/>
          <w:sz w:val="24"/>
          <w:szCs w:val="24"/>
        </w:rPr>
        <w:t xml:space="preserve"> que o tenha impactado, previsto no artigo 9°, §4°, da Lei federal n° 8.987/1995</w:t>
      </w:r>
      <w:r w:rsidR="00DF73E8">
        <w:rPr>
          <w:rStyle w:val="Refdenotaderodap"/>
          <w:rFonts w:ascii="Times New Roman" w:hAnsi="Times New Roman" w:cs="Times New Roman"/>
          <w:color w:val="000000" w:themeColor="text1"/>
          <w:sz w:val="24"/>
          <w:szCs w:val="24"/>
        </w:rPr>
        <w:footnoteReference w:id="2"/>
      </w:r>
      <w:r w:rsidR="00DF73E8">
        <w:rPr>
          <w:rFonts w:ascii="Times New Roman" w:hAnsi="Times New Roman" w:cs="Times New Roman"/>
          <w:color w:val="000000" w:themeColor="text1"/>
          <w:sz w:val="24"/>
          <w:szCs w:val="24"/>
        </w:rPr>
        <w:t xml:space="preserve">, </w:t>
      </w:r>
      <w:r w:rsidR="00142D90">
        <w:rPr>
          <w:rFonts w:ascii="Times New Roman" w:hAnsi="Times New Roman" w:cs="Times New Roman"/>
          <w:color w:val="000000" w:themeColor="text1"/>
          <w:sz w:val="24"/>
          <w:szCs w:val="24"/>
        </w:rPr>
        <w:t xml:space="preserve">dever esse que, ainda que </w:t>
      </w:r>
      <w:r>
        <w:rPr>
          <w:rFonts w:ascii="Times New Roman" w:hAnsi="Times New Roman" w:cs="Times New Roman"/>
          <w:color w:val="000000" w:themeColor="text1"/>
          <w:sz w:val="24"/>
          <w:szCs w:val="24"/>
        </w:rPr>
        <w:t xml:space="preserve">direcionado especificamente às hipóteses de alteração unilateral de contratos, e que </w:t>
      </w:r>
      <w:r w:rsidR="00142D90">
        <w:rPr>
          <w:rFonts w:ascii="Times New Roman" w:hAnsi="Times New Roman" w:cs="Times New Roman"/>
          <w:color w:val="000000" w:themeColor="text1"/>
          <w:sz w:val="24"/>
          <w:szCs w:val="24"/>
        </w:rPr>
        <w:t xml:space="preserve">encontre dificuldades práticas que impeçam a sua plena satisfação </w:t>
      </w:r>
      <w:r w:rsidR="00DF73E8">
        <w:rPr>
          <w:rFonts w:ascii="Times New Roman" w:hAnsi="Times New Roman" w:cs="Times New Roman"/>
          <w:color w:val="000000" w:themeColor="text1"/>
          <w:sz w:val="24"/>
          <w:szCs w:val="24"/>
        </w:rPr>
        <w:t xml:space="preserve">nos casos </w:t>
      </w:r>
      <w:r w:rsidR="00142D90">
        <w:rPr>
          <w:rFonts w:ascii="Times New Roman" w:hAnsi="Times New Roman" w:cs="Times New Roman"/>
          <w:color w:val="000000" w:themeColor="text1"/>
          <w:sz w:val="24"/>
          <w:szCs w:val="24"/>
        </w:rPr>
        <w:t>de desequilíbrios complexos que se protra</w:t>
      </w:r>
      <w:r>
        <w:rPr>
          <w:rFonts w:ascii="Times New Roman" w:hAnsi="Times New Roman" w:cs="Times New Roman"/>
          <w:color w:val="000000" w:themeColor="text1"/>
          <w:sz w:val="24"/>
          <w:szCs w:val="24"/>
        </w:rPr>
        <w:t>ia</w:t>
      </w:r>
      <w:r w:rsidR="00142D90">
        <w:rPr>
          <w:rFonts w:ascii="Times New Roman" w:hAnsi="Times New Roman" w:cs="Times New Roman"/>
          <w:color w:val="000000" w:themeColor="text1"/>
          <w:sz w:val="24"/>
          <w:szCs w:val="24"/>
        </w:rPr>
        <w:t xml:space="preserve">m no tempo ou em relação aos quais se dependa de dados não existentes no momento da apuração, deve </w:t>
      </w:r>
      <w:r>
        <w:rPr>
          <w:rFonts w:ascii="Times New Roman" w:hAnsi="Times New Roman" w:cs="Times New Roman"/>
          <w:color w:val="000000" w:themeColor="text1"/>
          <w:sz w:val="24"/>
          <w:szCs w:val="24"/>
        </w:rPr>
        <w:t>representar um objetivo a ser</w:t>
      </w:r>
      <w:r w:rsidR="00142D90">
        <w:rPr>
          <w:rFonts w:ascii="Times New Roman" w:hAnsi="Times New Roman" w:cs="Times New Roman"/>
          <w:color w:val="000000" w:themeColor="text1"/>
          <w:sz w:val="24"/>
          <w:szCs w:val="24"/>
        </w:rPr>
        <w:t xml:space="preserve"> buscad</w:t>
      </w:r>
      <w:r>
        <w:rPr>
          <w:rFonts w:ascii="Times New Roman" w:hAnsi="Times New Roman" w:cs="Times New Roman"/>
          <w:color w:val="000000" w:themeColor="text1"/>
          <w:sz w:val="24"/>
          <w:szCs w:val="24"/>
        </w:rPr>
        <w:t>o</w:t>
      </w:r>
      <w:r w:rsidR="00142D90">
        <w:rPr>
          <w:rFonts w:ascii="Times New Roman" w:hAnsi="Times New Roman" w:cs="Times New Roman"/>
          <w:color w:val="000000" w:themeColor="text1"/>
          <w:sz w:val="24"/>
          <w:szCs w:val="24"/>
        </w:rPr>
        <w:t xml:space="preserve"> na maior medida possível, como se colocou anteriormente.</w:t>
      </w:r>
    </w:p>
    <w:p w14:paraId="4326D748" w14:textId="063C2BFD" w:rsidR="00942E80" w:rsidRDefault="00DF73E8"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Assim</w:t>
      </w:r>
      <w:r w:rsidR="005913A9">
        <w:rPr>
          <w:rFonts w:ascii="Times New Roman" w:hAnsi="Times New Roman" w:cs="Times New Roman"/>
          <w:color w:val="000000" w:themeColor="text1"/>
          <w:sz w:val="24"/>
          <w:szCs w:val="24"/>
        </w:rPr>
        <w:t xml:space="preserve">, </w:t>
      </w:r>
      <w:r w:rsidR="005913A9" w:rsidRPr="005913A9">
        <w:rPr>
          <w:rFonts w:ascii="Times New Roman" w:hAnsi="Times New Roman" w:cs="Times New Roman"/>
          <w:color w:val="000000" w:themeColor="text1"/>
          <w:sz w:val="24"/>
          <w:szCs w:val="24"/>
        </w:rPr>
        <w:t xml:space="preserve">se for verificada a presença incontroversa do evento de desequilíbrio, mas não se mostrar possível, em curto prazo, o dimensionamento da integralidade dos prejuízos suportados pela </w:t>
      </w:r>
      <w:r w:rsidR="005913A9">
        <w:rPr>
          <w:rFonts w:ascii="Times New Roman" w:hAnsi="Times New Roman" w:cs="Times New Roman"/>
          <w:color w:val="000000" w:themeColor="text1"/>
          <w:sz w:val="24"/>
          <w:szCs w:val="24"/>
        </w:rPr>
        <w:t>c</w:t>
      </w:r>
      <w:r w:rsidR="005913A9" w:rsidRPr="005913A9">
        <w:rPr>
          <w:rFonts w:ascii="Times New Roman" w:hAnsi="Times New Roman" w:cs="Times New Roman"/>
          <w:color w:val="000000" w:themeColor="text1"/>
          <w:sz w:val="24"/>
          <w:szCs w:val="24"/>
        </w:rPr>
        <w:t xml:space="preserve">oncessionária, inclusive considerando a dinâmica evolutiva dos efeitos causados pelo evento de desequilíbrio, </w:t>
      </w:r>
      <w:r w:rsidR="005913A9">
        <w:rPr>
          <w:rFonts w:ascii="Times New Roman" w:hAnsi="Times New Roman" w:cs="Times New Roman"/>
          <w:color w:val="000000" w:themeColor="text1"/>
          <w:sz w:val="24"/>
          <w:szCs w:val="24"/>
        </w:rPr>
        <w:t>mostra-se</w:t>
      </w:r>
      <w:r w:rsidR="005913A9" w:rsidRPr="005913A9">
        <w:rPr>
          <w:rFonts w:ascii="Times New Roman" w:hAnsi="Times New Roman" w:cs="Times New Roman"/>
          <w:color w:val="000000" w:themeColor="text1"/>
          <w:sz w:val="24"/>
          <w:szCs w:val="24"/>
        </w:rPr>
        <w:t xml:space="preserve"> juridicamente viável</w:t>
      </w:r>
      <w:r w:rsidR="000E3D32">
        <w:rPr>
          <w:rFonts w:ascii="Times New Roman" w:hAnsi="Times New Roman" w:cs="Times New Roman"/>
          <w:color w:val="000000" w:themeColor="text1"/>
          <w:sz w:val="24"/>
          <w:szCs w:val="24"/>
        </w:rPr>
        <w:t>, e mesmo recomendável,</w:t>
      </w:r>
      <w:r w:rsidR="005913A9" w:rsidRPr="005913A9">
        <w:rPr>
          <w:rFonts w:ascii="Times New Roman" w:hAnsi="Times New Roman" w:cs="Times New Roman"/>
          <w:color w:val="000000" w:themeColor="text1"/>
          <w:sz w:val="24"/>
          <w:szCs w:val="24"/>
        </w:rPr>
        <w:t xml:space="preserve"> </w:t>
      </w:r>
      <w:r w:rsidR="005913A9" w:rsidRPr="005913A9">
        <w:rPr>
          <w:rFonts w:ascii="Times New Roman" w:hAnsi="Times New Roman" w:cs="Times New Roman"/>
          <w:color w:val="000000" w:themeColor="text1"/>
          <w:sz w:val="24"/>
          <w:szCs w:val="24"/>
        </w:rPr>
        <w:lastRenderedPageBreak/>
        <w:t xml:space="preserve">que o </w:t>
      </w:r>
      <w:r w:rsidR="005913A9">
        <w:rPr>
          <w:rFonts w:ascii="Times New Roman" w:hAnsi="Times New Roman" w:cs="Times New Roman"/>
          <w:color w:val="000000" w:themeColor="text1"/>
          <w:sz w:val="24"/>
          <w:szCs w:val="24"/>
        </w:rPr>
        <w:t>p</w:t>
      </w:r>
      <w:r w:rsidR="005913A9" w:rsidRPr="005913A9">
        <w:rPr>
          <w:rFonts w:ascii="Times New Roman" w:hAnsi="Times New Roman" w:cs="Times New Roman"/>
          <w:color w:val="000000" w:themeColor="text1"/>
          <w:sz w:val="24"/>
          <w:szCs w:val="24"/>
        </w:rPr>
        <w:t xml:space="preserve">oder </w:t>
      </w:r>
      <w:r w:rsidR="005913A9">
        <w:rPr>
          <w:rFonts w:ascii="Times New Roman" w:hAnsi="Times New Roman" w:cs="Times New Roman"/>
          <w:color w:val="000000" w:themeColor="text1"/>
          <w:sz w:val="24"/>
          <w:szCs w:val="24"/>
        </w:rPr>
        <w:t>c</w:t>
      </w:r>
      <w:r w:rsidR="005913A9" w:rsidRPr="005913A9">
        <w:rPr>
          <w:rFonts w:ascii="Times New Roman" w:hAnsi="Times New Roman" w:cs="Times New Roman"/>
          <w:color w:val="000000" w:themeColor="text1"/>
          <w:sz w:val="24"/>
          <w:szCs w:val="24"/>
        </w:rPr>
        <w:t>oncedente empregue medidas cautelares de reequilíbrio, através dos mecanismos legal e contratualmente disponíveis, com o intuito de minorar os desajustes econômico-financeiros notados</w:t>
      </w:r>
      <w:r w:rsidR="005913A9">
        <w:rPr>
          <w:rFonts w:ascii="Times New Roman" w:hAnsi="Times New Roman" w:cs="Times New Roman"/>
          <w:color w:val="000000" w:themeColor="text1"/>
          <w:sz w:val="24"/>
          <w:szCs w:val="24"/>
        </w:rPr>
        <w:t>.</w:t>
      </w:r>
    </w:p>
    <w:p w14:paraId="52F3CB6D" w14:textId="77777777" w:rsidR="003022E4" w:rsidRDefault="00102400" w:rsidP="003022E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Apesar de o tema ainda ter sido pouco trabalhado na doutrina, </w:t>
      </w:r>
      <w:r w:rsidR="00557B0F">
        <w:rPr>
          <w:rFonts w:ascii="Times New Roman" w:hAnsi="Times New Roman" w:cs="Times New Roman"/>
          <w:color w:val="000000" w:themeColor="text1"/>
          <w:sz w:val="24"/>
          <w:szCs w:val="24"/>
        </w:rPr>
        <w:t xml:space="preserve">o instrumento em tela já contou </w:t>
      </w:r>
      <w:r>
        <w:rPr>
          <w:rFonts w:ascii="Times New Roman" w:hAnsi="Times New Roman" w:cs="Times New Roman"/>
          <w:color w:val="000000" w:themeColor="text1"/>
          <w:sz w:val="24"/>
          <w:szCs w:val="24"/>
        </w:rPr>
        <w:t xml:space="preserve">com algumas aplicações relevantes no âmbito do Programa de Parcerias </w:t>
      </w:r>
      <w:r w:rsidR="00772A3D" w:rsidRPr="00772A3D">
        <w:rPr>
          <w:rFonts w:ascii="Times New Roman" w:hAnsi="Times New Roman" w:cs="Times New Roman"/>
          <w:color w:val="000000" w:themeColor="text1"/>
          <w:sz w:val="24"/>
          <w:szCs w:val="24"/>
        </w:rPr>
        <w:t>do Estado de São Paulo</w:t>
      </w:r>
      <w:r w:rsidR="00772A3D">
        <w:rPr>
          <w:rFonts w:ascii="Times New Roman" w:hAnsi="Times New Roman" w:cs="Times New Roman"/>
          <w:color w:val="000000" w:themeColor="text1"/>
          <w:sz w:val="24"/>
          <w:szCs w:val="24"/>
        </w:rPr>
        <w:t xml:space="preserve">, </w:t>
      </w:r>
      <w:r w:rsidR="004D5DC8">
        <w:rPr>
          <w:rFonts w:ascii="Times New Roman" w:hAnsi="Times New Roman" w:cs="Times New Roman"/>
          <w:color w:val="000000" w:themeColor="text1"/>
          <w:sz w:val="24"/>
          <w:szCs w:val="24"/>
        </w:rPr>
        <w:t>sendo objeto de</w:t>
      </w:r>
      <w:r w:rsidR="00772A3D">
        <w:rPr>
          <w:rFonts w:ascii="Times New Roman" w:hAnsi="Times New Roman" w:cs="Times New Roman"/>
          <w:color w:val="000000" w:themeColor="text1"/>
          <w:sz w:val="24"/>
          <w:szCs w:val="24"/>
        </w:rPr>
        <w:t xml:space="preserve"> relevantes pronunciamentos por parte da Procuradoria Geral do Estado de São Paulo</w:t>
      </w:r>
      <w:r w:rsidR="003D4627">
        <w:rPr>
          <w:rStyle w:val="Refdenotaderodap"/>
          <w:rFonts w:ascii="Times New Roman" w:hAnsi="Times New Roman" w:cs="Times New Roman"/>
          <w:color w:val="000000" w:themeColor="text1"/>
          <w:sz w:val="24"/>
          <w:szCs w:val="24"/>
        </w:rPr>
        <w:footnoteReference w:id="3"/>
      </w:r>
      <w:r w:rsidR="00772A3D">
        <w:rPr>
          <w:rFonts w:ascii="Times New Roman" w:hAnsi="Times New Roman" w:cs="Times New Roman"/>
          <w:color w:val="000000" w:themeColor="text1"/>
          <w:sz w:val="24"/>
          <w:szCs w:val="24"/>
        </w:rPr>
        <w:t>.</w:t>
      </w:r>
    </w:p>
    <w:p w14:paraId="53830B46" w14:textId="42187DD5" w:rsidR="003022E4" w:rsidRPr="00DD4222" w:rsidRDefault="003022E4" w:rsidP="008000B4">
      <w:pPr>
        <w:spacing w:after="0" w:line="360" w:lineRule="auto"/>
        <w:ind w:firstLine="851"/>
        <w:jc w:val="both"/>
        <w:rPr>
          <w:rFonts w:ascii="Times New Roman" w:hAnsi="Times New Roman" w:cs="Times New Roman"/>
          <w:b/>
          <w:sz w:val="24"/>
          <w:szCs w:val="24"/>
        </w:rPr>
      </w:pPr>
      <w:r w:rsidRPr="003022E4">
        <w:rPr>
          <w:rFonts w:ascii="Times New Roman" w:hAnsi="Times New Roman" w:cs="Times New Roman"/>
          <w:color w:val="000000" w:themeColor="text1"/>
          <w:sz w:val="24"/>
          <w:szCs w:val="24"/>
        </w:rPr>
        <w:t xml:space="preserve">Em nosso ver, </w:t>
      </w:r>
      <w:r>
        <w:rPr>
          <w:rFonts w:ascii="Times New Roman" w:hAnsi="Times New Roman" w:cs="Times New Roman"/>
          <w:color w:val="000000" w:themeColor="text1"/>
          <w:sz w:val="24"/>
          <w:szCs w:val="24"/>
        </w:rPr>
        <w:t xml:space="preserve">são </w:t>
      </w:r>
      <w:r w:rsidR="008000B4">
        <w:rPr>
          <w:rFonts w:ascii="Times New Roman" w:hAnsi="Times New Roman" w:cs="Times New Roman"/>
          <w:color w:val="000000" w:themeColor="text1"/>
          <w:sz w:val="24"/>
          <w:szCs w:val="24"/>
        </w:rPr>
        <w:t>cinco</w:t>
      </w:r>
      <w:r>
        <w:rPr>
          <w:rFonts w:ascii="Times New Roman" w:hAnsi="Times New Roman" w:cs="Times New Roman"/>
          <w:color w:val="000000" w:themeColor="text1"/>
          <w:sz w:val="24"/>
          <w:szCs w:val="24"/>
        </w:rPr>
        <w:t xml:space="preserve"> as principais condicionantes que devem ser observadas caso se opte por conceder um reequilíbrio provisório no âmbito dos contratos administrativos: (i) </w:t>
      </w:r>
      <w:r w:rsidR="000E3D32">
        <w:rPr>
          <w:rFonts w:ascii="Times New Roman" w:hAnsi="Times New Roman" w:cs="Times New Roman"/>
          <w:color w:val="000000" w:themeColor="text1"/>
          <w:sz w:val="24"/>
          <w:szCs w:val="24"/>
        </w:rPr>
        <w:t xml:space="preserve">deve ser reconhecido, por ambas as partes, que </w:t>
      </w:r>
      <w:r>
        <w:rPr>
          <w:rFonts w:ascii="Times New Roman" w:hAnsi="Times New Roman" w:cs="Times New Roman"/>
          <w:color w:val="000000" w:themeColor="text1"/>
          <w:sz w:val="24"/>
          <w:szCs w:val="24"/>
        </w:rPr>
        <w:t xml:space="preserve">o </w:t>
      </w:r>
      <w:r w:rsidR="000E3D32">
        <w:rPr>
          <w:rFonts w:ascii="Times New Roman" w:hAnsi="Times New Roman" w:cs="Times New Roman"/>
          <w:color w:val="000000" w:themeColor="text1"/>
          <w:sz w:val="24"/>
          <w:szCs w:val="24"/>
        </w:rPr>
        <w:t>dimensionamento</w:t>
      </w:r>
      <w:r w:rsidR="00FE3B8B">
        <w:rPr>
          <w:rFonts w:ascii="Times New Roman" w:hAnsi="Times New Roman" w:cs="Times New Roman"/>
          <w:color w:val="000000" w:themeColor="text1"/>
          <w:sz w:val="24"/>
          <w:szCs w:val="24"/>
        </w:rPr>
        <w:t xml:space="preserve"> do </w:t>
      </w:r>
      <w:r>
        <w:rPr>
          <w:rFonts w:ascii="Times New Roman" w:hAnsi="Times New Roman" w:cs="Times New Roman"/>
          <w:color w:val="000000" w:themeColor="text1"/>
          <w:sz w:val="24"/>
          <w:szCs w:val="24"/>
        </w:rPr>
        <w:t>reequilíbrio reflet</w:t>
      </w:r>
      <w:r w:rsidR="000E3D32">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apenas uma estimativa do desequilíbrio econômico-financeiro</w:t>
      </w:r>
      <w:r w:rsidR="009139FD">
        <w:rPr>
          <w:rFonts w:ascii="Times New Roman" w:hAnsi="Times New Roman" w:cs="Times New Roman"/>
          <w:color w:val="000000" w:themeColor="text1"/>
          <w:sz w:val="24"/>
          <w:szCs w:val="24"/>
        </w:rPr>
        <w:t>, obtida a partir dos melhores dados disponíveis no momento</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ii</w:t>
      </w:r>
      <w:proofErr w:type="spellEnd"/>
      <w:r>
        <w:rPr>
          <w:rFonts w:ascii="Times New Roman" w:hAnsi="Times New Roman" w:cs="Times New Roman"/>
          <w:color w:val="000000" w:themeColor="text1"/>
          <w:sz w:val="24"/>
          <w:szCs w:val="24"/>
        </w:rPr>
        <w:t xml:space="preserve">) </w:t>
      </w:r>
      <w:r w:rsidR="008000B4">
        <w:rPr>
          <w:rFonts w:ascii="Times New Roman" w:hAnsi="Times New Roman" w:cs="Times New Roman"/>
          <w:color w:val="000000" w:themeColor="text1"/>
          <w:sz w:val="24"/>
          <w:szCs w:val="24"/>
        </w:rPr>
        <w:t>o</w:t>
      </w:r>
      <w:r w:rsidR="008000B4">
        <w:rPr>
          <w:rFonts w:ascii="Times New Roman" w:hAnsi="Times New Roman" w:cs="Times New Roman"/>
          <w:sz w:val="24"/>
          <w:szCs w:val="24"/>
        </w:rPr>
        <w:t xml:space="preserve"> </w:t>
      </w:r>
      <w:r w:rsidR="00052DF2">
        <w:rPr>
          <w:rFonts w:ascii="Times New Roman" w:hAnsi="Times New Roman" w:cs="Times New Roman"/>
          <w:sz w:val="24"/>
          <w:szCs w:val="24"/>
        </w:rPr>
        <w:t>montante</w:t>
      </w:r>
      <w:r w:rsidR="008000B4">
        <w:rPr>
          <w:rFonts w:ascii="Times New Roman" w:hAnsi="Times New Roman" w:cs="Times New Roman"/>
          <w:sz w:val="24"/>
          <w:szCs w:val="24"/>
        </w:rPr>
        <w:t xml:space="preserve"> e </w:t>
      </w:r>
      <w:r w:rsidR="00052DF2">
        <w:rPr>
          <w:rFonts w:ascii="Times New Roman" w:hAnsi="Times New Roman" w:cs="Times New Roman"/>
          <w:sz w:val="24"/>
          <w:szCs w:val="24"/>
        </w:rPr>
        <w:t xml:space="preserve">a </w:t>
      </w:r>
      <w:r w:rsidR="008000B4">
        <w:rPr>
          <w:rFonts w:ascii="Times New Roman" w:hAnsi="Times New Roman" w:cs="Times New Roman"/>
          <w:sz w:val="24"/>
          <w:szCs w:val="24"/>
        </w:rPr>
        <w:t>extensão do reequilíbrio d</w:t>
      </w:r>
      <w:r w:rsidR="008000B4" w:rsidRPr="00DD4222">
        <w:rPr>
          <w:rFonts w:ascii="Times New Roman" w:hAnsi="Times New Roman" w:cs="Times New Roman"/>
          <w:sz w:val="24"/>
          <w:szCs w:val="24"/>
        </w:rPr>
        <w:t>eve</w:t>
      </w:r>
      <w:r w:rsidR="00052DF2">
        <w:rPr>
          <w:rFonts w:ascii="Times New Roman" w:hAnsi="Times New Roman" w:cs="Times New Roman"/>
          <w:sz w:val="24"/>
          <w:szCs w:val="24"/>
        </w:rPr>
        <w:t>m</w:t>
      </w:r>
      <w:r w:rsidR="008000B4" w:rsidRPr="00DD4222">
        <w:rPr>
          <w:rFonts w:ascii="Times New Roman" w:hAnsi="Times New Roman" w:cs="Times New Roman"/>
          <w:sz w:val="24"/>
          <w:szCs w:val="24"/>
        </w:rPr>
        <w:t xml:space="preserve"> </w:t>
      </w:r>
      <w:r w:rsidR="008000B4">
        <w:rPr>
          <w:rFonts w:ascii="Times New Roman" w:hAnsi="Times New Roman" w:cs="Times New Roman"/>
          <w:sz w:val="24"/>
          <w:szCs w:val="24"/>
        </w:rPr>
        <w:t>s</w:t>
      </w:r>
      <w:r w:rsidR="008000B4" w:rsidRPr="00DD4222">
        <w:rPr>
          <w:rFonts w:ascii="Times New Roman" w:hAnsi="Times New Roman" w:cs="Times New Roman"/>
          <w:sz w:val="24"/>
          <w:szCs w:val="24"/>
        </w:rPr>
        <w:t>er revisto</w:t>
      </w:r>
      <w:r w:rsidR="00052DF2">
        <w:rPr>
          <w:rFonts w:ascii="Times New Roman" w:hAnsi="Times New Roman" w:cs="Times New Roman"/>
          <w:sz w:val="24"/>
          <w:szCs w:val="24"/>
        </w:rPr>
        <w:t>s</w:t>
      </w:r>
      <w:r w:rsidR="008000B4" w:rsidRPr="00DD4222">
        <w:rPr>
          <w:rFonts w:ascii="Times New Roman" w:hAnsi="Times New Roman" w:cs="Times New Roman"/>
          <w:sz w:val="24"/>
          <w:szCs w:val="24"/>
        </w:rPr>
        <w:t xml:space="preserve"> posteriormente</w:t>
      </w:r>
      <w:r w:rsidR="008000B4">
        <w:rPr>
          <w:rFonts w:ascii="Times New Roman" w:hAnsi="Times New Roman" w:cs="Times New Roman"/>
          <w:sz w:val="24"/>
          <w:szCs w:val="24"/>
        </w:rPr>
        <w:t>, quando mensurado em definitivo o desequilíbrio econômico-financeiro; (</w:t>
      </w:r>
      <w:proofErr w:type="spellStart"/>
      <w:r w:rsidR="008000B4">
        <w:rPr>
          <w:rFonts w:ascii="Times New Roman" w:hAnsi="Times New Roman" w:cs="Times New Roman"/>
          <w:sz w:val="24"/>
          <w:szCs w:val="24"/>
        </w:rPr>
        <w:t>iii</w:t>
      </w:r>
      <w:proofErr w:type="spellEnd"/>
      <w:r w:rsidR="008000B4">
        <w:rPr>
          <w:rFonts w:ascii="Times New Roman" w:hAnsi="Times New Roman" w:cs="Times New Roman"/>
          <w:sz w:val="24"/>
          <w:szCs w:val="24"/>
        </w:rPr>
        <w:t xml:space="preserve">) </w:t>
      </w:r>
      <w:r>
        <w:rPr>
          <w:rFonts w:ascii="Times New Roman" w:hAnsi="Times New Roman" w:cs="Times New Roman"/>
          <w:color w:val="000000" w:themeColor="text1"/>
          <w:sz w:val="24"/>
          <w:szCs w:val="24"/>
        </w:rPr>
        <w:t>há necessidade de reconhecimento formal quanto à caracterização do evento, ou ao menos alto grau de probabilidade de que tenha efetivamente ocorrido; (</w:t>
      </w:r>
      <w:proofErr w:type="spellStart"/>
      <w:r>
        <w:rPr>
          <w:rFonts w:ascii="Times New Roman" w:hAnsi="Times New Roman" w:cs="Times New Roman"/>
          <w:color w:val="000000" w:themeColor="text1"/>
          <w:sz w:val="24"/>
          <w:szCs w:val="24"/>
        </w:rPr>
        <w:t>i</w:t>
      </w:r>
      <w:r w:rsidR="00052DF2">
        <w:rPr>
          <w:rFonts w:ascii="Times New Roman" w:hAnsi="Times New Roman" w:cs="Times New Roman"/>
          <w:color w:val="000000" w:themeColor="text1"/>
          <w:sz w:val="24"/>
          <w:szCs w:val="24"/>
        </w:rPr>
        <w:t>v</w:t>
      </w:r>
      <w:proofErr w:type="spellEnd"/>
      <w:r>
        <w:rPr>
          <w:rFonts w:ascii="Times New Roman" w:hAnsi="Times New Roman" w:cs="Times New Roman"/>
          <w:color w:val="000000" w:themeColor="text1"/>
          <w:sz w:val="24"/>
          <w:szCs w:val="24"/>
        </w:rPr>
        <w:t xml:space="preserve">) </w:t>
      </w:r>
      <w:r w:rsidRPr="00DD4222">
        <w:rPr>
          <w:rFonts w:ascii="Times New Roman" w:hAnsi="Times New Roman" w:cs="Times New Roman"/>
          <w:sz w:val="24"/>
          <w:szCs w:val="24"/>
        </w:rPr>
        <w:t>pode</w:t>
      </w:r>
      <w:r w:rsidR="008000B4">
        <w:rPr>
          <w:rFonts w:ascii="Times New Roman" w:hAnsi="Times New Roman" w:cs="Times New Roman"/>
          <w:sz w:val="24"/>
          <w:szCs w:val="24"/>
        </w:rPr>
        <w:t>-</w:t>
      </w:r>
      <w:r w:rsidRPr="00DD4222">
        <w:rPr>
          <w:rFonts w:ascii="Times New Roman" w:hAnsi="Times New Roman" w:cs="Times New Roman"/>
          <w:sz w:val="24"/>
          <w:szCs w:val="24"/>
        </w:rPr>
        <w:t>se</w:t>
      </w:r>
      <w:r w:rsidR="008000B4">
        <w:rPr>
          <w:rFonts w:ascii="Times New Roman" w:hAnsi="Times New Roman" w:cs="Times New Roman"/>
          <w:sz w:val="24"/>
          <w:szCs w:val="24"/>
        </w:rPr>
        <w:t xml:space="preserve"> fazer uso de </w:t>
      </w:r>
      <w:r w:rsidRPr="00DD4222">
        <w:rPr>
          <w:rFonts w:ascii="Times New Roman" w:hAnsi="Times New Roman" w:cs="Times New Roman"/>
          <w:sz w:val="24"/>
          <w:szCs w:val="24"/>
        </w:rPr>
        <w:t>quaisquer modalidades de reequilíbrio contratuais</w:t>
      </w:r>
      <w:r w:rsidR="008000B4">
        <w:rPr>
          <w:rFonts w:ascii="Times New Roman" w:hAnsi="Times New Roman" w:cs="Times New Roman"/>
          <w:sz w:val="24"/>
          <w:szCs w:val="24"/>
        </w:rPr>
        <w:t xml:space="preserve"> cabíveis, que estariam à disposição em um reequilíbrio ordinário; (v) sua concessão deve ser considerada, como regra, uma faculdade do poder concedente, sendo obrigatória apenas em </w:t>
      </w:r>
      <w:r w:rsidRPr="00DD4222">
        <w:rPr>
          <w:rFonts w:ascii="Times New Roman" w:hAnsi="Times New Roman" w:cs="Times New Roman"/>
          <w:sz w:val="24"/>
          <w:szCs w:val="24"/>
        </w:rPr>
        <w:t xml:space="preserve">casos </w:t>
      </w:r>
      <w:r w:rsidR="008000B4">
        <w:rPr>
          <w:rFonts w:ascii="Times New Roman" w:hAnsi="Times New Roman" w:cs="Times New Roman"/>
          <w:sz w:val="24"/>
          <w:szCs w:val="24"/>
        </w:rPr>
        <w:t>previamente especificados em contrato ou normativa própria.</w:t>
      </w:r>
    </w:p>
    <w:p w14:paraId="5381687C" w14:textId="6E70DF1E" w:rsidR="003022E4" w:rsidRDefault="008000B4"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primeira característica é intrínseca ao momento em que o reequilíbrio é concedido: na ausência </w:t>
      </w:r>
      <w:r w:rsidR="00052DF2">
        <w:rPr>
          <w:rFonts w:ascii="Times New Roman" w:hAnsi="Times New Roman" w:cs="Times New Roman"/>
          <w:color w:val="000000" w:themeColor="text1"/>
          <w:sz w:val="24"/>
          <w:szCs w:val="24"/>
        </w:rPr>
        <w:t>de uma mensuração precisa e definitiva do desequilíbrio, faz-se necessária a utilização das melhores estimativas possíveis quanto ao seu montante, informação que pode ser fornecida por uma das partes contratuais ou pela agência reguladora responsável pelo acompanhamento contratual.</w:t>
      </w:r>
    </w:p>
    <w:p w14:paraId="7B2C628D" w14:textId="78179571" w:rsidR="00052DF2" w:rsidRDefault="00052DF2"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segunda característica é uma consequência natural da primeira. Dado que o reequilíbrio provisório é baseado apenas em estimativas, dificilmente </w:t>
      </w:r>
      <w:r w:rsidR="00A539C0">
        <w:rPr>
          <w:rFonts w:ascii="Times New Roman" w:hAnsi="Times New Roman" w:cs="Times New Roman"/>
          <w:color w:val="000000" w:themeColor="text1"/>
          <w:sz w:val="24"/>
          <w:szCs w:val="24"/>
        </w:rPr>
        <w:t>haverá precisão absoluta na sua extensão, o que demanda a revisão da medida, a fim de que a parte em prol da qual o reequilíbrio é efetivado não fique em situação mais benéfica ou maléfica do que estaria caso o risco jamais tivesse se materializado. Assim, uma vez apurado o valor exato de desequilíbrio contratual, há necessidade de revisitar a medida de recomposição utilizada, complementando-a ou até mesmo utilizando-se de medida contraposta caso verificado que o reequilíbrio foi concedido em patamar além do necessário.</w:t>
      </w:r>
    </w:p>
    <w:p w14:paraId="3BCD0F0E" w14:textId="7C94CE39" w:rsidR="00A539C0" w:rsidRDefault="00A539C0"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No mais, recomendamos que somente haja utilização de medidas provisórias de reequilíbrio, como regra, quando previamente já exista o reconhecimento do evento de desequilíbrio pelo agente com competência para tanto. Isso porque o </w:t>
      </w:r>
      <w:r w:rsidR="00255D74">
        <w:rPr>
          <w:rFonts w:ascii="Times New Roman" w:hAnsi="Times New Roman" w:cs="Times New Roman"/>
          <w:color w:val="000000" w:themeColor="text1"/>
          <w:sz w:val="24"/>
          <w:szCs w:val="24"/>
        </w:rPr>
        <w:t xml:space="preserve">reequilíbrio provisório visa, eminentemente, </w:t>
      </w:r>
      <w:r w:rsidR="00142AD8">
        <w:rPr>
          <w:rFonts w:ascii="Times New Roman" w:hAnsi="Times New Roman" w:cs="Times New Roman"/>
          <w:color w:val="000000" w:themeColor="text1"/>
          <w:sz w:val="24"/>
          <w:szCs w:val="24"/>
        </w:rPr>
        <w:t xml:space="preserve">a </w:t>
      </w:r>
      <w:r w:rsidR="00255D74">
        <w:rPr>
          <w:rFonts w:ascii="Times New Roman" w:hAnsi="Times New Roman" w:cs="Times New Roman"/>
          <w:color w:val="000000" w:themeColor="text1"/>
          <w:sz w:val="24"/>
          <w:szCs w:val="24"/>
        </w:rPr>
        <w:t>lidar com as dificuldades que acarretam o descolamento do momento em que reconhecido o desequilíbrio daquele em que efetivado o reequilíbrio</w:t>
      </w:r>
      <w:r w:rsidR="00142AD8">
        <w:rPr>
          <w:rFonts w:ascii="Times New Roman" w:hAnsi="Times New Roman" w:cs="Times New Roman"/>
          <w:color w:val="000000" w:themeColor="text1"/>
          <w:sz w:val="24"/>
          <w:szCs w:val="24"/>
        </w:rPr>
        <w:t>, tendo, portanto, como pressuposto inafastável que um desequilíbrio contratual tenha ocorrido, restando pendente apenas o seu dimensionamento</w:t>
      </w:r>
      <w:r w:rsidR="00255D74">
        <w:rPr>
          <w:rFonts w:ascii="Times New Roman" w:hAnsi="Times New Roman" w:cs="Times New Roman"/>
          <w:color w:val="000000" w:themeColor="text1"/>
          <w:sz w:val="24"/>
          <w:szCs w:val="24"/>
        </w:rPr>
        <w:t>.</w:t>
      </w:r>
    </w:p>
    <w:p w14:paraId="6599695E" w14:textId="77777777" w:rsidR="00255D74" w:rsidRDefault="00255D74"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Claro que, em tese, é possível cogitar da utilização da medida mesmo nos casos em que a existência do desequilíbrio é apenas provável – algo semelhante ao </w:t>
      </w:r>
      <w:r>
        <w:rPr>
          <w:rFonts w:ascii="Times New Roman" w:hAnsi="Times New Roman" w:cs="Times New Roman"/>
          <w:i/>
          <w:color w:val="000000" w:themeColor="text1"/>
          <w:sz w:val="24"/>
          <w:szCs w:val="24"/>
        </w:rPr>
        <w:t>fumus boni juris</w:t>
      </w:r>
      <w:r>
        <w:rPr>
          <w:rFonts w:ascii="Times New Roman" w:hAnsi="Times New Roman" w:cs="Times New Roman"/>
          <w:color w:val="000000" w:themeColor="text1"/>
          <w:sz w:val="24"/>
          <w:szCs w:val="24"/>
        </w:rPr>
        <w:t xml:space="preserve"> que fundamente a aplicação de medidas cautelar no processo civil. Contudo, considerando as dificuldades em se reverter ou desfazer um reequilíbrio econômico-financeiro, entendemos que há necessidade da devida cautela na utilização do mecanismo, restringindo-se seu uso, nos casos em que não haja desequilíbrio formalmente reconhecido, apenas às hipóteses em que é altamente plausível que o evento realmente tenha se materializado.</w:t>
      </w:r>
    </w:p>
    <w:p w14:paraId="630CBB82" w14:textId="16756F62" w:rsidR="00255D74" w:rsidRDefault="00255D74" w:rsidP="00255D7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Ademais, entendemos que todas as opções de medidas de reequilíbrio que poderiam ser utilizadas em uma situação ordinária de recomposição também poderiam ser utilizadas no âmbito de um reequilíbrio provisório, não havendo razão para eliminar, em tese, qualquer destas opções.</w:t>
      </w:r>
    </w:p>
    <w:p w14:paraId="323ECBA8" w14:textId="751A48D5" w:rsidR="00255D74" w:rsidRDefault="00255D74" w:rsidP="00255D7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Por fim, </w:t>
      </w:r>
      <w:r w:rsidR="001A4CB3">
        <w:rPr>
          <w:rFonts w:ascii="Times New Roman" w:hAnsi="Times New Roman" w:cs="Times New Roman"/>
          <w:color w:val="000000" w:themeColor="text1"/>
          <w:sz w:val="24"/>
          <w:szCs w:val="24"/>
        </w:rPr>
        <w:t>não vemos o reequilíbrio provisório como um direito subjetivo propriamente dito dos contratados, devendo seu uso ser considerado</w:t>
      </w:r>
      <w:r w:rsidRPr="00255D74">
        <w:rPr>
          <w:rFonts w:ascii="Times New Roman" w:hAnsi="Times New Roman" w:cs="Times New Roman"/>
          <w:color w:val="000000" w:themeColor="text1"/>
          <w:sz w:val="24"/>
          <w:szCs w:val="24"/>
        </w:rPr>
        <w:t xml:space="preserve">, </w:t>
      </w:r>
      <w:r w:rsidR="001A4CB3">
        <w:rPr>
          <w:rFonts w:ascii="Times New Roman" w:hAnsi="Times New Roman" w:cs="Times New Roman"/>
          <w:color w:val="000000" w:themeColor="text1"/>
          <w:sz w:val="24"/>
          <w:szCs w:val="24"/>
        </w:rPr>
        <w:t>em</w:t>
      </w:r>
      <w:r w:rsidRPr="00255D74">
        <w:rPr>
          <w:rFonts w:ascii="Times New Roman" w:hAnsi="Times New Roman" w:cs="Times New Roman"/>
          <w:color w:val="000000" w:themeColor="text1"/>
          <w:sz w:val="24"/>
          <w:szCs w:val="24"/>
        </w:rPr>
        <w:t xml:space="preserve"> regra, </w:t>
      </w:r>
      <w:r w:rsidR="001A4CB3">
        <w:rPr>
          <w:rFonts w:ascii="Times New Roman" w:hAnsi="Times New Roman" w:cs="Times New Roman"/>
          <w:color w:val="000000" w:themeColor="text1"/>
          <w:sz w:val="24"/>
          <w:szCs w:val="24"/>
        </w:rPr>
        <w:t xml:space="preserve">como </w:t>
      </w:r>
      <w:r w:rsidRPr="00255D74">
        <w:rPr>
          <w:rFonts w:ascii="Times New Roman" w:hAnsi="Times New Roman" w:cs="Times New Roman"/>
          <w:color w:val="000000" w:themeColor="text1"/>
          <w:sz w:val="24"/>
          <w:szCs w:val="24"/>
        </w:rPr>
        <w:t>uma faculdade do poder concedente</w:t>
      </w:r>
      <w:r w:rsidR="001A4CB3">
        <w:rPr>
          <w:rFonts w:ascii="Times New Roman" w:hAnsi="Times New Roman" w:cs="Times New Roman"/>
          <w:color w:val="000000" w:themeColor="text1"/>
          <w:sz w:val="24"/>
          <w:szCs w:val="24"/>
        </w:rPr>
        <w:t>. Assim, entendemos que a obrigatoriedade de utilização do instrumento, para situações mais gravosas, deve ter expressa previsão normativa ou contratual.</w:t>
      </w:r>
    </w:p>
    <w:p w14:paraId="430008F4" w14:textId="29041036" w:rsidR="00DD352C" w:rsidRDefault="008000B4"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DD352C" w:rsidRPr="004D5DC8">
        <w:rPr>
          <w:rFonts w:ascii="Times New Roman" w:hAnsi="Times New Roman" w:cs="Times New Roman"/>
          <w:color w:val="000000" w:themeColor="text1"/>
          <w:sz w:val="24"/>
          <w:szCs w:val="24"/>
        </w:rPr>
        <w:t xml:space="preserve">ecentemente, </w:t>
      </w:r>
      <w:r>
        <w:rPr>
          <w:rFonts w:ascii="Times New Roman" w:hAnsi="Times New Roman" w:cs="Times New Roman"/>
          <w:color w:val="000000" w:themeColor="text1"/>
          <w:sz w:val="24"/>
          <w:szCs w:val="24"/>
        </w:rPr>
        <w:t>uma</w:t>
      </w:r>
      <w:r w:rsidR="003D4627" w:rsidRPr="004D5DC8">
        <w:rPr>
          <w:rFonts w:ascii="Times New Roman" w:hAnsi="Times New Roman" w:cs="Times New Roman"/>
          <w:color w:val="000000" w:themeColor="text1"/>
          <w:sz w:val="24"/>
          <w:szCs w:val="24"/>
        </w:rPr>
        <w:t xml:space="preserve"> </w:t>
      </w:r>
      <w:r w:rsidR="001A4CB3">
        <w:rPr>
          <w:rFonts w:ascii="Times New Roman" w:hAnsi="Times New Roman" w:cs="Times New Roman"/>
          <w:color w:val="000000" w:themeColor="text1"/>
          <w:sz w:val="24"/>
          <w:szCs w:val="24"/>
        </w:rPr>
        <w:t>padronização</w:t>
      </w:r>
      <w:r>
        <w:rPr>
          <w:rFonts w:ascii="Times New Roman" w:hAnsi="Times New Roman" w:cs="Times New Roman"/>
          <w:color w:val="000000" w:themeColor="text1"/>
          <w:sz w:val="24"/>
          <w:szCs w:val="24"/>
        </w:rPr>
        <w:t xml:space="preserve"> de reequilíbrio provisório com tais características</w:t>
      </w:r>
      <w:r w:rsidR="003D4627" w:rsidRPr="004D5DC8">
        <w:rPr>
          <w:rFonts w:ascii="Times New Roman" w:hAnsi="Times New Roman" w:cs="Times New Roman"/>
          <w:color w:val="000000" w:themeColor="text1"/>
          <w:sz w:val="24"/>
          <w:szCs w:val="24"/>
        </w:rPr>
        <w:t xml:space="preserve"> veio a ser reconhecida expressamente em nível normativo por meio da Resolução n° 19/2023 da Secretaria de Parcerias em Investimentos do Estado de São Paulo</w:t>
      </w:r>
      <w:r w:rsidR="004D5DC8">
        <w:rPr>
          <w:rFonts w:ascii="Times New Roman" w:hAnsi="Times New Roman" w:cs="Times New Roman"/>
          <w:color w:val="000000" w:themeColor="text1"/>
          <w:sz w:val="24"/>
          <w:szCs w:val="24"/>
        </w:rPr>
        <w:t xml:space="preserve"> (“SPI”)</w:t>
      </w:r>
      <w:r w:rsidR="00C15A0F">
        <w:rPr>
          <w:rStyle w:val="Refdenotaderodap"/>
          <w:rFonts w:ascii="Times New Roman" w:hAnsi="Times New Roman" w:cs="Times New Roman"/>
          <w:color w:val="000000" w:themeColor="text1"/>
          <w:sz w:val="24"/>
          <w:szCs w:val="24"/>
        </w:rPr>
        <w:footnoteReference w:id="4"/>
      </w:r>
      <w:r w:rsidR="00623ACD" w:rsidRPr="004D5DC8">
        <w:rPr>
          <w:rFonts w:ascii="Times New Roman" w:hAnsi="Times New Roman" w:cs="Times New Roman"/>
          <w:color w:val="000000" w:themeColor="text1"/>
          <w:sz w:val="24"/>
          <w:szCs w:val="24"/>
        </w:rPr>
        <w:t>, a qual consolidou o instituto do reequilíbrio cautelar no âmbito do Programa de Parcerias de Investimentos do Estado de São Paulo (“PPI-SP”), contribuindo para lhe dar contornos mais objetivos e oferecer segurança à sua aplicação</w:t>
      </w:r>
      <w:r w:rsidR="004D5DC8">
        <w:rPr>
          <w:rFonts w:ascii="Times New Roman" w:hAnsi="Times New Roman" w:cs="Times New Roman"/>
          <w:color w:val="000000" w:themeColor="text1"/>
          <w:sz w:val="24"/>
          <w:szCs w:val="24"/>
        </w:rPr>
        <w:t>.</w:t>
      </w:r>
    </w:p>
    <w:p w14:paraId="25B99201" w14:textId="30317803" w:rsidR="00C15A0F" w:rsidRDefault="00310E62"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partir da leitura dos </w:t>
      </w:r>
      <w:proofErr w:type="spellStart"/>
      <w:r w:rsidRPr="00310E62">
        <w:rPr>
          <w:rFonts w:ascii="Times New Roman" w:hAnsi="Times New Roman" w:cs="Times New Roman"/>
          <w:i/>
          <w:iCs/>
          <w:color w:val="000000" w:themeColor="text1"/>
          <w:sz w:val="24"/>
          <w:szCs w:val="24"/>
        </w:rPr>
        <w:t>consideranda</w:t>
      </w:r>
      <w:proofErr w:type="spellEnd"/>
      <w:r>
        <w:rPr>
          <w:rFonts w:ascii="Times New Roman" w:hAnsi="Times New Roman" w:cs="Times New Roman"/>
          <w:color w:val="000000" w:themeColor="text1"/>
          <w:sz w:val="24"/>
          <w:szCs w:val="24"/>
        </w:rPr>
        <w:t xml:space="preserve"> da resolução, enxerga-se claramente a </w:t>
      </w:r>
      <w:r w:rsidRPr="00FC5172">
        <w:rPr>
          <w:rFonts w:ascii="Times New Roman" w:hAnsi="Times New Roman" w:cs="Times New Roman"/>
          <w:color w:val="000000" w:themeColor="text1"/>
          <w:sz w:val="24"/>
          <w:szCs w:val="24"/>
        </w:rPr>
        <w:t xml:space="preserve">preocupação em endereçar as dificuldades relatadas acima, </w:t>
      </w:r>
      <w:r w:rsidR="0007171F">
        <w:rPr>
          <w:rFonts w:ascii="Times New Roman" w:hAnsi="Times New Roman" w:cs="Times New Roman"/>
          <w:color w:val="000000" w:themeColor="text1"/>
          <w:sz w:val="24"/>
          <w:szCs w:val="24"/>
        </w:rPr>
        <w:t>tendo-se justificado</w:t>
      </w:r>
      <w:r w:rsidR="00FC5172" w:rsidRPr="00FC5172">
        <w:rPr>
          <w:rFonts w:ascii="Times New Roman" w:hAnsi="Times New Roman" w:cs="Times New Roman"/>
          <w:color w:val="000000" w:themeColor="text1"/>
          <w:sz w:val="24"/>
          <w:szCs w:val="24"/>
        </w:rPr>
        <w:t xml:space="preserve"> a sua edição</w:t>
      </w:r>
      <w:r w:rsidR="00FC5172">
        <w:rPr>
          <w:rFonts w:ascii="Times New Roman" w:hAnsi="Times New Roman" w:cs="Times New Roman"/>
          <w:color w:val="000000" w:themeColor="text1"/>
          <w:sz w:val="24"/>
          <w:szCs w:val="24"/>
        </w:rPr>
        <w:t xml:space="preserve">, </w:t>
      </w:r>
      <w:r w:rsidR="00FC5172">
        <w:rPr>
          <w:rFonts w:ascii="Times New Roman" w:hAnsi="Times New Roman" w:cs="Times New Roman"/>
          <w:color w:val="000000" w:themeColor="text1"/>
          <w:sz w:val="24"/>
          <w:szCs w:val="24"/>
        </w:rPr>
        <w:lastRenderedPageBreak/>
        <w:t>principalmente,</w:t>
      </w:r>
      <w:r w:rsidR="00FC5172" w:rsidRPr="00FC5172">
        <w:rPr>
          <w:rFonts w:ascii="Times New Roman" w:hAnsi="Times New Roman" w:cs="Times New Roman"/>
          <w:color w:val="000000" w:themeColor="text1"/>
          <w:sz w:val="24"/>
          <w:szCs w:val="24"/>
        </w:rPr>
        <w:t xml:space="preserve"> com base:</w:t>
      </w:r>
      <w:r w:rsidR="00FC5172" w:rsidRPr="00FC5172">
        <w:rPr>
          <w:rFonts w:ascii="Times New Roman" w:hAnsi="Times New Roman" w:cs="Times New Roman"/>
          <w:sz w:val="24"/>
          <w:szCs w:val="24"/>
        </w:rPr>
        <w:t xml:space="preserve"> (i) na existência de d</w:t>
      </w:r>
      <w:r w:rsidR="00FC5172" w:rsidRPr="00FC5172">
        <w:rPr>
          <w:rFonts w:ascii="Times New Roman" w:hAnsi="Times New Roman" w:cs="Times New Roman"/>
          <w:color w:val="000000" w:themeColor="text1"/>
          <w:sz w:val="24"/>
          <w:szCs w:val="24"/>
        </w:rPr>
        <w:t xml:space="preserve">iversos pleitos de reequilíbrio econômico-financeiro, nos contratos sob competência </w:t>
      </w:r>
      <w:r w:rsidR="00FC5172">
        <w:rPr>
          <w:rFonts w:ascii="Times New Roman" w:hAnsi="Times New Roman" w:cs="Times New Roman"/>
          <w:color w:val="000000" w:themeColor="text1"/>
          <w:sz w:val="24"/>
          <w:szCs w:val="24"/>
        </w:rPr>
        <w:t>da</w:t>
      </w:r>
      <w:r w:rsidR="00FC5172" w:rsidRPr="00FC5172">
        <w:rPr>
          <w:rFonts w:ascii="Times New Roman" w:hAnsi="Times New Roman" w:cs="Times New Roman"/>
          <w:color w:val="000000" w:themeColor="text1"/>
          <w:sz w:val="24"/>
          <w:szCs w:val="24"/>
        </w:rPr>
        <w:t xml:space="preserve"> Secretaria, </w:t>
      </w:r>
      <w:r w:rsidR="00FC5172">
        <w:rPr>
          <w:rFonts w:ascii="Times New Roman" w:hAnsi="Times New Roman" w:cs="Times New Roman"/>
          <w:color w:val="000000" w:themeColor="text1"/>
          <w:sz w:val="24"/>
          <w:szCs w:val="24"/>
        </w:rPr>
        <w:t xml:space="preserve">que </w:t>
      </w:r>
      <w:r w:rsidR="00FC5172" w:rsidRPr="00FC5172">
        <w:rPr>
          <w:rFonts w:ascii="Times New Roman" w:hAnsi="Times New Roman" w:cs="Times New Roman"/>
          <w:color w:val="000000" w:themeColor="text1"/>
          <w:sz w:val="24"/>
          <w:szCs w:val="24"/>
        </w:rPr>
        <w:t xml:space="preserve">envolvem assuntos de elevada complexidade, cuja análise pode prolongar a conclusão dos processos administrativos voltados à mensuração definitiva do montante do desequilíbrio econômico-financeiro e das correspondentes medidas para a recomposição contratual; </w:t>
      </w:r>
      <w:r w:rsidR="00FC5172">
        <w:rPr>
          <w:rFonts w:ascii="Times New Roman" w:hAnsi="Times New Roman" w:cs="Times New Roman"/>
          <w:color w:val="000000" w:themeColor="text1"/>
          <w:sz w:val="24"/>
          <w:szCs w:val="24"/>
        </w:rPr>
        <w:t xml:space="preserve">e </w:t>
      </w:r>
      <w:r w:rsidR="00FC5172" w:rsidRPr="00FC5172">
        <w:rPr>
          <w:rFonts w:ascii="Times New Roman" w:hAnsi="Times New Roman" w:cs="Times New Roman"/>
          <w:color w:val="000000" w:themeColor="text1"/>
          <w:sz w:val="24"/>
          <w:szCs w:val="24"/>
        </w:rPr>
        <w:t>(</w:t>
      </w:r>
      <w:proofErr w:type="spellStart"/>
      <w:r w:rsidR="00FC5172" w:rsidRPr="00FC5172">
        <w:rPr>
          <w:rFonts w:ascii="Times New Roman" w:hAnsi="Times New Roman" w:cs="Times New Roman"/>
          <w:color w:val="000000" w:themeColor="text1"/>
          <w:sz w:val="24"/>
          <w:szCs w:val="24"/>
        </w:rPr>
        <w:t>ii</w:t>
      </w:r>
      <w:proofErr w:type="spellEnd"/>
      <w:r w:rsidR="00FC5172" w:rsidRPr="00FC5172">
        <w:rPr>
          <w:rFonts w:ascii="Times New Roman" w:hAnsi="Times New Roman" w:cs="Times New Roman"/>
          <w:color w:val="000000" w:themeColor="text1"/>
          <w:sz w:val="24"/>
          <w:szCs w:val="24"/>
        </w:rPr>
        <w:t xml:space="preserve">) </w:t>
      </w:r>
      <w:r w:rsidR="00FC5172">
        <w:rPr>
          <w:rFonts w:ascii="Times New Roman" w:hAnsi="Times New Roman" w:cs="Times New Roman"/>
          <w:color w:val="000000" w:themeColor="text1"/>
          <w:sz w:val="24"/>
          <w:szCs w:val="24"/>
        </w:rPr>
        <w:t xml:space="preserve">no fato de que </w:t>
      </w:r>
      <w:r w:rsidR="00FC5172" w:rsidRPr="00FC5172">
        <w:rPr>
          <w:rFonts w:ascii="Times New Roman" w:hAnsi="Times New Roman" w:cs="Times New Roman"/>
          <w:color w:val="000000" w:themeColor="text1"/>
          <w:sz w:val="24"/>
          <w:szCs w:val="24"/>
        </w:rPr>
        <w:t>o decurso do tempo com a persistência de contratos em situação de desequilíbrio econômico-financeiro pode gerar impactos prejudiciais ao interesse público, com a elevação do valor do desequilíbrio contratual, além de potencial comprometimento de indicadores financeiros das concessionárias de serviços públicos</w:t>
      </w:r>
      <w:r w:rsidR="00FC5172">
        <w:rPr>
          <w:rFonts w:ascii="Times New Roman" w:hAnsi="Times New Roman" w:cs="Times New Roman"/>
          <w:color w:val="000000" w:themeColor="text1"/>
          <w:sz w:val="24"/>
          <w:szCs w:val="24"/>
        </w:rPr>
        <w:t>.</w:t>
      </w:r>
    </w:p>
    <w:p w14:paraId="6B38546E" w14:textId="0172D91B" w:rsidR="00296583" w:rsidRDefault="00FC5172"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Especificamente quanto à disciplina encartada na resolução, um primeiro ponto que merece destaque é a previsão de que a implementação das medidas mitigadoras </w:t>
      </w:r>
      <w:r w:rsidR="001D63D1">
        <w:rPr>
          <w:rFonts w:ascii="Times New Roman" w:hAnsi="Times New Roman" w:cs="Times New Roman"/>
          <w:color w:val="000000" w:themeColor="text1"/>
          <w:sz w:val="24"/>
          <w:szCs w:val="24"/>
        </w:rPr>
        <w:t xml:space="preserve">dos desequilíbrios contratuais </w:t>
      </w:r>
      <w:r>
        <w:rPr>
          <w:rFonts w:ascii="Times New Roman" w:hAnsi="Times New Roman" w:cs="Times New Roman"/>
          <w:color w:val="000000" w:themeColor="text1"/>
          <w:sz w:val="24"/>
          <w:szCs w:val="24"/>
        </w:rPr>
        <w:t>é, em regra, fruto de uma decisão discricionária do Poder Concedente</w:t>
      </w:r>
      <w:r w:rsidR="00044405">
        <w:rPr>
          <w:rFonts w:ascii="Times New Roman" w:hAnsi="Times New Roman" w:cs="Times New Roman"/>
          <w:color w:val="000000" w:themeColor="text1"/>
          <w:sz w:val="24"/>
          <w:szCs w:val="24"/>
        </w:rPr>
        <w:t xml:space="preserve"> e não representa um direito subjetivo do contratado</w:t>
      </w:r>
      <w:r w:rsidR="00707331">
        <w:rPr>
          <w:rFonts w:ascii="Times New Roman" w:hAnsi="Times New Roman" w:cs="Times New Roman"/>
          <w:color w:val="000000" w:themeColor="text1"/>
          <w:sz w:val="24"/>
          <w:szCs w:val="24"/>
        </w:rPr>
        <w:t xml:space="preserve"> (art. 2°, I)</w:t>
      </w:r>
      <w:r w:rsidR="00F33578">
        <w:rPr>
          <w:rFonts w:ascii="Times New Roman" w:hAnsi="Times New Roman" w:cs="Times New Roman"/>
          <w:color w:val="000000" w:themeColor="text1"/>
          <w:sz w:val="24"/>
          <w:szCs w:val="24"/>
        </w:rPr>
        <w:t xml:space="preserve">, ainda que também possa ser </w:t>
      </w:r>
      <w:r w:rsidR="00866AF8">
        <w:rPr>
          <w:rFonts w:ascii="Times New Roman" w:hAnsi="Times New Roman" w:cs="Times New Roman"/>
          <w:color w:val="000000" w:themeColor="text1"/>
          <w:sz w:val="24"/>
          <w:szCs w:val="24"/>
        </w:rPr>
        <w:t xml:space="preserve">deflagrada </w:t>
      </w:r>
      <w:r w:rsidR="005E5F83">
        <w:rPr>
          <w:rFonts w:ascii="Times New Roman" w:hAnsi="Times New Roman" w:cs="Times New Roman"/>
          <w:color w:val="000000" w:themeColor="text1"/>
          <w:sz w:val="24"/>
          <w:szCs w:val="24"/>
        </w:rPr>
        <w:t xml:space="preserve">por sua provocação, além das hipóteses de </w:t>
      </w:r>
      <w:r w:rsidR="00142AD8">
        <w:rPr>
          <w:rFonts w:ascii="Times New Roman" w:hAnsi="Times New Roman" w:cs="Times New Roman"/>
          <w:color w:val="000000" w:themeColor="text1"/>
          <w:sz w:val="24"/>
          <w:szCs w:val="24"/>
        </w:rPr>
        <w:t xml:space="preserve">instauração </w:t>
      </w:r>
      <w:r w:rsidR="005E5F83">
        <w:rPr>
          <w:rFonts w:ascii="Times New Roman" w:hAnsi="Times New Roman" w:cs="Times New Roman"/>
          <w:color w:val="000000" w:themeColor="text1"/>
          <w:sz w:val="24"/>
          <w:szCs w:val="24"/>
        </w:rPr>
        <w:t>de ofício ou por recomendação do órgão regulador</w:t>
      </w:r>
      <w:r w:rsidR="00866AF8">
        <w:rPr>
          <w:rFonts w:ascii="Times New Roman" w:hAnsi="Times New Roman" w:cs="Times New Roman"/>
          <w:color w:val="000000" w:themeColor="text1"/>
          <w:sz w:val="24"/>
          <w:szCs w:val="24"/>
        </w:rPr>
        <w:t xml:space="preserve"> (art. 2º</w:t>
      </w:r>
      <w:r w:rsidR="004D7FAA">
        <w:rPr>
          <w:rFonts w:ascii="Times New Roman" w:hAnsi="Times New Roman" w:cs="Times New Roman"/>
          <w:color w:val="000000" w:themeColor="text1"/>
          <w:sz w:val="24"/>
          <w:szCs w:val="24"/>
        </w:rPr>
        <w:t>, IV).</w:t>
      </w:r>
    </w:p>
    <w:p w14:paraId="7C225531" w14:textId="02850DD8" w:rsidR="00296583" w:rsidRDefault="00296583"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Não obstante, prevê-se hipóteses excepcionais que justificam a avaliação obrigatória do cabimento </w:t>
      </w:r>
      <w:r w:rsidRPr="00296583">
        <w:rPr>
          <w:rFonts w:ascii="Times New Roman" w:hAnsi="Times New Roman" w:cs="Times New Roman"/>
          <w:color w:val="000000" w:themeColor="text1"/>
          <w:sz w:val="24"/>
          <w:szCs w:val="24"/>
        </w:rPr>
        <w:t>da aplicação de medidas cautelares de mitigação de desequilíbrios econômico-financeiros (art. 3º),</w:t>
      </w:r>
      <w:r>
        <w:rPr>
          <w:rFonts w:ascii="Times New Roman" w:hAnsi="Times New Roman" w:cs="Times New Roman"/>
          <w:color w:val="000000" w:themeColor="text1"/>
          <w:sz w:val="24"/>
          <w:szCs w:val="24"/>
        </w:rPr>
        <w:t xml:space="preserve"> quais sejam:</w:t>
      </w:r>
      <w:r w:rsidRPr="0029658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Pr="00296583">
        <w:rPr>
          <w:rFonts w:ascii="Times New Roman" w:hAnsi="Times New Roman" w:cs="Times New Roman"/>
          <w:color w:val="000000" w:themeColor="text1"/>
          <w:sz w:val="24"/>
          <w:szCs w:val="24"/>
        </w:rPr>
        <w:t>) risco à continuidade da prestação dos serviços ou à solvência da concessionária (inciso I), com explicitação dos indicadores a serem utilizados para a verificação da materialização de cada cenário previsto na resolução (§§1º e 2º); (</w:t>
      </w:r>
      <w:proofErr w:type="spellStart"/>
      <w:r>
        <w:rPr>
          <w:rFonts w:ascii="Times New Roman" w:hAnsi="Times New Roman" w:cs="Times New Roman"/>
          <w:color w:val="000000" w:themeColor="text1"/>
          <w:sz w:val="24"/>
          <w:szCs w:val="24"/>
        </w:rPr>
        <w:t>ii</w:t>
      </w:r>
      <w:proofErr w:type="spellEnd"/>
      <w:r w:rsidRPr="00296583">
        <w:rPr>
          <w:rFonts w:ascii="Times New Roman" w:hAnsi="Times New Roman" w:cs="Times New Roman"/>
          <w:color w:val="000000" w:themeColor="text1"/>
          <w:sz w:val="24"/>
          <w:szCs w:val="24"/>
        </w:rPr>
        <w:t>) chance de subsistência de saldo regulatório ao final do contrato de delegação em vista da proximidade do termo final da vigência da concessão (inciso II); e (</w:t>
      </w:r>
      <w:proofErr w:type="spellStart"/>
      <w:r>
        <w:rPr>
          <w:rFonts w:ascii="Times New Roman" w:hAnsi="Times New Roman" w:cs="Times New Roman"/>
          <w:color w:val="000000" w:themeColor="text1"/>
          <w:sz w:val="24"/>
          <w:szCs w:val="24"/>
        </w:rPr>
        <w:t>iii</w:t>
      </w:r>
      <w:proofErr w:type="spellEnd"/>
      <w:r w:rsidRPr="00296583">
        <w:rPr>
          <w:rFonts w:ascii="Times New Roman" w:hAnsi="Times New Roman" w:cs="Times New Roman"/>
          <w:color w:val="000000" w:themeColor="text1"/>
          <w:sz w:val="24"/>
          <w:szCs w:val="24"/>
        </w:rPr>
        <w:t>) elevada magnitude do impacto do evento de desequilíbrio em comparação à arrecadação bruta da concessionária (inciso III)</w:t>
      </w:r>
      <w:r>
        <w:rPr>
          <w:rFonts w:ascii="Times New Roman" w:hAnsi="Times New Roman" w:cs="Times New Roman"/>
          <w:color w:val="000000" w:themeColor="text1"/>
          <w:sz w:val="24"/>
          <w:szCs w:val="24"/>
        </w:rPr>
        <w:t>.</w:t>
      </w:r>
    </w:p>
    <w:p w14:paraId="6B747BC4" w14:textId="7E85EAB5" w:rsidR="00296583" w:rsidRDefault="00296583"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Como se vê, o ato regulamentar visa </w:t>
      </w:r>
      <w:r w:rsidR="00142AD8">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limitar a discricionariedade do administrador nos casos em que exist</w:t>
      </w:r>
      <w:r w:rsidR="00142AD8">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um risco relevante na demora em promover medidas de reequilíbrio contratual, seja sob o aspecto do comprometimento financeiro da concessão</w:t>
      </w:r>
      <w:r w:rsidR="00F10DBD">
        <w:rPr>
          <w:rFonts w:ascii="Times New Roman" w:hAnsi="Times New Roman" w:cs="Times New Roman"/>
          <w:color w:val="000000" w:themeColor="text1"/>
          <w:sz w:val="24"/>
          <w:szCs w:val="24"/>
        </w:rPr>
        <w:t xml:space="preserve"> (incisos I e III)</w:t>
      </w:r>
      <w:r>
        <w:rPr>
          <w:rFonts w:ascii="Times New Roman" w:hAnsi="Times New Roman" w:cs="Times New Roman"/>
          <w:color w:val="000000" w:themeColor="text1"/>
          <w:sz w:val="24"/>
          <w:szCs w:val="24"/>
        </w:rPr>
        <w:t xml:space="preserve">, seja pelo risco de que o prazo </w:t>
      </w:r>
      <w:proofErr w:type="spellStart"/>
      <w:r>
        <w:rPr>
          <w:rFonts w:ascii="Times New Roman" w:hAnsi="Times New Roman" w:cs="Times New Roman"/>
          <w:color w:val="000000" w:themeColor="text1"/>
          <w:sz w:val="24"/>
          <w:szCs w:val="24"/>
        </w:rPr>
        <w:t>concessional</w:t>
      </w:r>
      <w:proofErr w:type="spellEnd"/>
      <w:r>
        <w:rPr>
          <w:rFonts w:ascii="Times New Roman" w:hAnsi="Times New Roman" w:cs="Times New Roman"/>
          <w:color w:val="000000" w:themeColor="text1"/>
          <w:sz w:val="24"/>
          <w:szCs w:val="24"/>
        </w:rPr>
        <w:t xml:space="preserve"> se encerre com passivos </w:t>
      </w:r>
      <w:r w:rsidR="00F10DBD">
        <w:rPr>
          <w:rFonts w:ascii="Times New Roman" w:hAnsi="Times New Roman" w:cs="Times New Roman"/>
          <w:color w:val="000000" w:themeColor="text1"/>
          <w:sz w:val="24"/>
          <w:szCs w:val="24"/>
        </w:rPr>
        <w:t>regulatórios não resolvidos, situação na qual o seu equacionamento posterior pode enfrentar relevantes dificuldades práticas (in</w:t>
      </w:r>
      <w:r w:rsidR="004365C8">
        <w:rPr>
          <w:rFonts w:ascii="Times New Roman" w:hAnsi="Times New Roman" w:cs="Times New Roman"/>
          <w:color w:val="000000" w:themeColor="text1"/>
          <w:sz w:val="24"/>
          <w:szCs w:val="24"/>
        </w:rPr>
        <w:t>cis</w:t>
      </w:r>
      <w:r w:rsidR="00F10DBD">
        <w:rPr>
          <w:rFonts w:ascii="Times New Roman" w:hAnsi="Times New Roman" w:cs="Times New Roman"/>
          <w:color w:val="000000" w:themeColor="text1"/>
          <w:sz w:val="24"/>
          <w:szCs w:val="24"/>
        </w:rPr>
        <w:t>o II).</w:t>
      </w:r>
    </w:p>
    <w:p w14:paraId="3D6BEB81" w14:textId="643618DE" w:rsidR="003E01DB" w:rsidRDefault="005C37D8" w:rsidP="00BD1084">
      <w:pPr>
        <w:spacing w:after="0" w:line="360" w:lineRule="auto"/>
        <w:ind w:firstLine="851"/>
        <w:jc w:val="both"/>
        <w:rPr>
          <w:rFonts w:ascii="Times New Roman" w:hAnsi="Times New Roman" w:cs="Times New Roman"/>
          <w:sz w:val="24"/>
          <w:szCs w:val="24"/>
        </w:rPr>
      </w:pPr>
      <w:r w:rsidRPr="002A55FD">
        <w:rPr>
          <w:rFonts w:ascii="Times New Roman" w:hAnsi="Times New Roman" w:cs="Times New Roman"/>
          <w:sz w:val="24"/>
          <w:szCs w:val="24"/>
        </w:rPr>
        <w:t>Contudo, mesmo nas hipóteses de implementação discricionária, é preciso que estejam configurados alguns requisitos mínimos para a aplicação do instituto pelo Secretário de Parcerias em Investimentos</w:t>
      </w:r>
      <w:r w:rsidR="004860D7">
        <w:rPr>
          <w:rFonts w:ascii="Times New Roman" w:hAnsi="Times New Roman" w:cs="Times New Roman"/>
          <w:sz w:val="24"/>
          <w:szCs w:val="24"/>
        </w:rPr>
        <w:t>, tendo em vista que</w:t>
      </w:r>
      <w:r w:rsidR="001F6580">
        <w:rPr>
          <w:rFonts w:ascii="Times New Roman" w:hAnsi="Times New Roman" w:cs="Times New Roman"/>
          <w:sz w:val="24"/>
          <w:szCs w:val="24"/>
        </w:rPr>
        <w:t xml:space="preserve"> </w:t>
      </w:r>
      <w:r w:rsidR="00E0578E">
        <w:rPr>
          <w:rFonts w:ascii="Times New Roman" w:hAnsi="Times New Roman" w:cs="Times New Roman"/>
          <w:sz w:val="24"/>
          <w:szCs w:val="24"/>
        </w:rPr>
        <w:t xml:space="preserve">as medidas em tela apenas têm cabimento para </w:t>
      </w:r>
      <w:r w:rsidR="00712C57">
        <w:rPr>
          <w:rFonts w:ascii="Times New Roman" w:hAnsi="Times New Roman" w:cs="Times New Roman"/>
          <w:sz w:val="24"/>
          <w:szCs w:val="24"/>
        </w:rPr>
        <w:t xml:space="preserve">desequilíbrios econômico-financeiros cuja ocorrência é inequívoca </w:t>
      </w:r>
      <w:r w:rsidR="00867801">
        <w:rPr>
          <w:rFonts w:ascii="Times New Roman" w:hAnsi="Times New Roman" w:cs="Times New Roman"/>
          <w:sz w:val="24"/>
          <w:szCs w:val="24"/>
        </w:rPr>
        <w:t xml:space="preserve">– </w:t>
      </w:r>
      <w:r w:rsidR="00712C57">
        <w:rPr>
          <w:rFonts w:ascii="Times New Roman" w:hAnsi="Times New Roman" w:cs="Times New Roman"/>
          <w:sz w:val="24"/>
          <w:szCs w:val="24"/>
        </w:rPr>
        <w:t>po</w:t>
      </w:r>
      <w:r w:rsidR="00EC6208">
        <w:rPr>
          <w:rFonts w:ascii="Times New Roman" w:hAnsi="Times New Roman" w:cs="Times New Roman"/>
          <w:sz w:val="24"/>
          <w:szCs w:val="24"/>
        </w:rPr>
        <w:t>r já ter sido reconhecida pelo órgão competente</w:t>
      </w:r>
      <w:r w:rsidR="00867801">
        <w:rPr>
          <w:rFonts w:ascii="Times New Roman" w:hAnsi="Times New Roman" w:cs="Times New Roman"/>
          <w:sz w:val="24"/>
          <w:szCs w:val="24"/>
        </w:rPr>
        <w:t xml:space="preserve"> – </w:t>
      </w:r>
      <w:r w:rsidR="00EC6208">
        <w:rPr>
          <w:rFonts w:ascii="Times New Roman" w:hAnsi="Times New Roman" w:cs="Times New Roman"/>
          <w:sz w:val="24"/>
          <w:szCs w:val="24"/>
        </w:rPr>
        <w:t xml:space="preserve">ou extremamente provável </w:t>
      </w:r>
      <w:r w:rsidR="00867801">
        <w:rPr>
          <w:rFonts w:ascii="Times New Roman" w:hAnsi="Times New Roman" w:cs="Times New Roman"/>
          <w:sz w:val="24"/>
          <w:szCs w:val="24"/>
        </w:rPr>
        <w:t xml:space="preserve">– </w:t>
      </w:r>
      <w:r w:rsidR="00EC6208">
        <w:rPr>
          <w:rFonts w:ascii="Times New Roman" w:hAnsi="Times New Roman" w:cs="Times New Roman"/>
          <w:sz w:val="24"/>
          <w:szCs w:val="24"/>
        </w:rPr>
        <w:t xml:space="preserve">pela similaridade com outros eventos de </w:t>
      </w:r>
      <w:r w:rsidR="00EC6208">
        <w:rPr>
          <w:rFonts w:ascii="Times New Roman" w:hAnsi="Times New Roman" w:cs="Times New Roman"/>
          <w:sz w:val="24"/>
          <w:szCs w:val="24"/>
        </w:rPr>
        <w:lastRenderedPageBreak/>
        <w:t>desequilíbrio já reconhecidos pelo órgão competente</w:t>
      </w:r>
      <w:r w:rsidR="00867801">
        <w:rPr>
          <w:rFonts w:ascii="Times New Roman" w:hAnsi="Times New Roman" w:cs="Times New Roman"/>
          <w:sz w:val="24"/>
          <w:szCs w:val="24"/>
        </w:rPr>
        <w:t xml:space="preserve"> (art</w:t>
      </w:r>
      <w:r w:rsidR="00867801" w:rsidRPr="002A55FD">
        <w:rPr>
          <w:rFonts w:ascii="Times New Roman" w:hAnsi="Times New Roman" w:cs="Times New Roman"/>
          <w:sz w:val="24"/>
          <w:szCs w:val="24"/>
        </w:rPr>
        <w:t>. 3°, §4°</w:t>
      </w:r>
      <w:r w:rsidR="00867801">
        <w:rPr>
          <w:rFonts w:ascii="Times New Roman" w:hAnsi="Times New Roman" w:cs="Times New Roman"/>
          <w:sz w:val="24"/>
          <w:szCs w:val="24"/>
        </w:rPr>
        <w:t>)</w:t>
      </w:r>
      <w:r w:rsidR="00EC6208">
        <w:rPr>
          <w:rFonts w:ascii="Times New Roman" w:hAnsi="Times New Roman" w:cs="Times New Roman"/>
          <w:sz w:val="24"/>
          <w:szCs w:val="24"/>
        </w:rPr>
        <w:t xml:space="preserve">. </w:t>
      </w:r>
      <w:r w:rsidR="004860D7">
        <w:rPr>
          <w:rFonts w:ascii="Times New Roman" w:hAnsi="Times New Roman" w:cs="Times New Roman"/>
          <w:sz w:val="24"/>
          <w:szCs w:val="24"/>
        </w:rPr>
        <w:t xml:space="preserve">De outro lado, </w:t>
      </w:r>
      <w:r w:rsidR="000368A1">
        <w:rPr>
          <w:rFonts w:ascii="Times New Roman" w:hAnsi="Times New Roman" w:cs="Times New Roman"/>
          <w:sz w:val="24"/>
          <w:szCs w:val="24"/>
        </w:rPr>
        <w:t xml:space="preserve">a par das hipóteses de análise obrigatória, </w:t>
      </w:r>
      <w:r w:rsidR="002365B5">
        <w:rPr>
          <w:rFonts w:ascii="Times New Roman" w:hAnsi="Times New Roman" w:cs="Times New Roman"/>
          <w:sz w:val="24"/>
          <w:szCs w:val="24"/>
        </w:rPr>
        <w:t xml:space="preserve">a aplicação das medidas </w:t>
      </w:r>
      <w:r w:rsidR="006D1C9C">
        <w:rPr>
          <w:rFonts w:ascii="Times New Roman" w:hAnsi="Times New Roman" w:cs="Times New Roman"/>
          <w:sz w:val="24"/>
          <w:szCs w:val="24"/>
        </w:rPr>
        <w:t xml:space="preserve">a outras hipóteses </w:t>
      </w:r>
      <w:r w:rsidR="00CF1BF2">
        <w:rPr>
          <w:rFonts w:ascii="Times New Roman" w:hAnsi="Times New Roman" w:cs="Times New Roman"/>
          <w:sz w:val="24"/>
          <w:szCs w:val="24"/>
        </w:rPr>
        <w:t xml:space="preserve">de desequilíbrio </w:t>
      </w:r>
      <w:r w:rsidR="006D1C9C">
        <w:rPr>
          <w:rFonts w:ascii="Times New Roman" w:hAnsi="Times New Roman" w:cs="Times New Roman"/>
          <w:sz w:val="24"/>
          <w:szCs w:val="24"/>
        </w:rPr>
        <w:t xml:space="preserve">que </w:t>
      </w:r>
      <w:r w:rsidR="00C07962">
        <w:rPr>
          <w:rFonts w:ascii="Times New Roman" w:hAnsi="Times New Roman" w:cs="Times New Roman"/>
          <w:sz w:val="24"/>
          <w:szCs w:val="24"/>
        </w:rPr>
        <w:t>atendam</w:t>
      </w:r>
      <w:r w:rsidR="006563E6">
        <w:rPr>
          <w:rFonts w:ascii="Times New Roman" w:hAnsi="Times New Roman" w:cs="Times New Roman"/>
          <w:sz w:val="24"/>
          <w:szCs w:val="24"/>
        </w:rPr>
        <w:t xml:space="preserve"> </w:t>
      </w:r>
      <w:r w:rsidR="00C07962">
        <w:rPr>
          <w:rFonts w:ascii="Times New Roman" w:hAnsi="Times New Roman" w:cs="Times New Roman"/>
          <w:sz w:val="24"/>
          <w:szCs w:val="24"/>
        </w:rPr>
        <w:t>a</w:t>
      </w:r>
      <w:r w:rsidR="006D1C9C">
        <w:rPr>
          <w:rFonts w:ascii="Times New Roman" w:hAnsi="Times New Roman" w:cs="Times New Roman"/>
          <w:sz w:val="24"/>
          <w:szCs w:val="24"/>
        </w:rPr>
        <w:t>os requisitos previamente delineados deve</w:t>
      </w:r>
      <w:r w:rsidR="0036704B">
        <w:rPr>
          <w:rFonts w:ascii="Times New Roman" w:hAnsi="Times New Roman" w:cs="Times New Roman"/>
          <w:sz w:val="24"/>
          <w:szCs w:val="24"/>
        </w:rPr>
        <w:t>rá ser sempre motivada e, no mínimo, visar a</w:t>
      </w:r>
      <w:r w:rsidR="00243383">
        <w:rPr>
          <w:rFonts w:ascii="Times New Roman" w:hAnsi="Times New Roman" w:cs="Times New Roman"/>
          <w:sz w:val="24"/>
          <w:szCs w:val="24"/>
        </w:rPr>
        <w:t xml:space="preserve"> preservação do erário (art. 3º, </w:t>
      </w:r>
      <w:r w:rsidR="006563E6">
        <w:rPr>
          <w:rFonts w:ascii="Times New Roman" w:hAnsi="Times New Roman" w:cs="Times New Roman"/>
          <w:sz w:val="24"/>
          <w:szCs w:val="24"/>
        </w:rPr>
        <w:t>§3º).</w:t>
      </w:r>
    </w:p>
    <w:p w14:paraId="7D53E12B" w14:textId="6162AE3F" w:rsidR="001A41C5" w:rsidRPr="0036028C" w:rsidRDefault="009253A0" w:rsidP="00BD1084">
      <w:pPr>
        <w:spacing w:after="0" w:line="360" w:lineRule="auto"/>
        <w:ind w:firstLine="851"/>
        <w:jc w:val="both"/>
        <w:rPr>
          <w:rFonts w:ascii="Times New Roman" w:hAnsi="Times New Roman" w:cs="Times New Roman"/>
          <w:color w:val="000000" w:themeColor="text1"/>
          <w:sz w:val="24"/>
          <w:szCs w:val="24"/>
        </w:rPr>
      </w:pPr>
      <w:r w:rsidRPr="0036028C">
        <w:rPr>
          <w:rFonts w:ascii="Times New Roman" w:hAnsi="Times New Roman" w:cs="Times New Roman"/>
          <w:color w:val="000000" w:themeColor="text1"/>
          <w:sz w:val="24"/>
          <w:szCs w:val="24"/>
        </w:rPr>
        <w:t>A resolução prevê ainda que</w:t>
      </w:r>
      <w:r w:rsidR="0036028C" w:rsidRPr="0036028C">
        <w:rPr>
          <w:rFonts w:ascii="Times New Roman" w:hAnsi="Times New Roman" w:cs="Times New Roman"/>
          <w:color w:val="000000" w:themeColor="text1"/>
          <w:sz w:val="24"/>
          <w:szCs w:val="24"/>
        </w:rPr>
        <w:t>, configurando-se uma das hipóteses que reclam</w:t>
      </w:r>
      <w:r w:rsidR="00142AD8">
        <w:rPr>
          <w:rFonts w:ascii="Times New Roman" w:hAnsi="Times New Roman" w:cs="Times New Roman"/>
          <w:color w:val="000000" w:themeColor="text1"/>
          <w:sz w:val="24"/>
          <w:szCs w:val="24"/>
        </w:rPr>
        <w:t>e</w:t>
      </w:r>
      <w:r w:rsidR="0036028C" w:rsidRPr="0036028C">
        <w:rPr>
          <w:rFonts w:ascii="Times New Roman" w:hAnsi="Times New Roman" w:cs="Times New Roman"/>
          <w:color w:val="000000" w:themeColor="text1"/>
          <w:sz w:val="24"/>
          <w:szCs w:val="24"/>
        </w:rPr>
        <w:t xml:space="preserve">m </w:t>
      </w:r>
      <w:r w:rsidR="00142AD8">
        <w:rPr>
          <w:rFonts w:ascii="Times New Roman" w:hAnsi="Times New Roman" w:cs="Times New Roman"/>
          <w:color w:val="000000" w:themeColor="text1"/>
          <w:sz w:val="24"/>
          <w:szCs w:val="24"/>
        </w:rPr>
        <w:t xml:space="preserve">ou justifiquem </w:t>
      </w:r>
      <w:r w:rsidR="0036028C" w:rsidRPr="0036028C">
        <w:rPr>
          <w:rFonts w:ascii="Times New Roman" w:hAnsi="Times New Roman" w:cs="Times New Roman"/>
          <w:color w:val="000000" w:themeColor="text1"/>
          <w:sz w:val="24"/>
          <w:szCs w:val="24"/>
        </w:rPr>
        <w:t xml:space="preserve">análise quanto à sua mitigação cautelar, o Secretário de Parcerias em Investimentos solicitará que </w:t>
      </w:r>
      <w:r w:rsidR="00906A90">
        <w:rPr>
          <w:rFonts w:ascii="Times New Roman" w:hAnsi="Times New Roman" w:cs="Times New Roman"/>
          <w:color w:val="000000" w:themeColor="text1"/>
          <w:sz w:val="24"/>
          <w:szCs w:val="24"/>
        </w:rPr>
        <w:t>o ente regulador</w:t>
      </w:r>
      <w:r w:rsidR="0036028C" w:rsidRPr="0036028C">
        <w:rPr>
          <w:rFonts w:ascii="Times New Roman" w:hAnsi="Times New Roman" w:cs="Times New Roman"/>
          <w:color w:val="000000" w:themeColor="text1"/>
          <w:sz w:val="24"/>
          <w:szCs w:val="24"/>
        </w:rPr>
        <w:t xml:space="preserve"> realize a</w:t>
      </w:r>
      <w:r w:rsidRPr="0036028C">
        <w:rPr>
          <w:rFonts w:ascii="Times New Roman" w:hAnsi="Times New Roman" w:cs="Times New Roman"/>
          <w:color w:val="000000" w:themeColor="text1"/>
          <w:sz w:val="24"/>
          <w:szCs w:val="24"/>
        </w:rPr>
        <w:t xml:space="preserve"> </w:t>
      </w:r>
      <w:r w:rsidR="00985850" w:rsidRPr="0036028C">
        <w:rPr>
          <w:rFonts w:ascii="Times New Roman" w:hAnsi="Times New Roman" w:cs="Times New Roman"/>
          <w:color w:val="000000" w:themeColor="text1"/>
          <w:sz w:val="24"/>
          <w:szCs w:val="24"/>
        </w:rPr>
        <w:t xml:space="preserve">apuração </w:t>
      </w:r>
      <w:r w:rsidR="00692317" w:rsidRPr="0036028C">
        <w:rPr>
          <w:rFonts w:ascii="Times New Roman" w:hAnsi="Times New Roman" w:cs="Times New Roman"/>
          <w:color w:val="000000" w:themeColor="text1"/>
          <w:sz w:val="24"/>
          <w:szCs w:val="24"/>
        </w:rPr>
        <w:t>provisória</w:t>
      </w:r>
      <w:r w:rsidR="00985850" w:rsidRPr="0036028C">
        <w:rPr>
          <w:rFonts w:ascii="Times New Roman" w:hAnsi="Times New Roman" w:cs="Times New Roman"/>
          <w:color w:val="000000" w:themeColor="text1"/>
          <w:sz w:val="24"/>
          <w:szCs w:val="24"/>
        </w:rPr>
        <w:t xml:space="preserve"> do </w:t>
      </w:r>
      <w:r w:rsidR="00FF2264">
        <w:rPr>
          <w:rFonts w:ascii="Times New Roman" w:hAnsi="Times New Roman" w:cs="Times New Roman"/>
          <w:color w:val="000000" w:themeColor="text1"/>
          <w:sz w:val="24"/>
          <w:szCs w:val="24"/>
        </w:rPr>
        <w:t>desequilíbrio</w:t>
      </w:r>
      <w:r w:rsidRPr="0036028C">
        <w:rPr>
          <w:rFonts w:ascii="Times New Roman" w:hAnsi="Times New Roman" w:cs="Times New Roman"/>
          <w:color w:val="000000" w:themeColor="text1"/>
          <w:sz w:val="24"/>
          <w:szCs w:val="24"/>
        </w:rPr>
        <w:t xml:space="preserve">, em bases estimativas (art. 5°, I), oportunidade em que </w:t>
      </w:r>
      <w:r w:rsidR="0036028C" w:rsidRPr="0036028C">
        <w:rPr>
          <w:rFonts w:ascii="Times New Roman" w:hAnsi="Times New Roman" w:cs="Times New Roman"/>
          <w:color w:val="000000" w:themeColor="text1"/>
          <w:sz w:val="24"/>
          <w:szCs w:val="24"/>
        </w:rPr>
        <w:t xml:space="preserve">também </w:t>
      </w:r>
      <w:r w:rsidRPr="0036028C">
        <w:rPr>
          <w:rFonts w:ascii="Times New Roman" w:hAnsi="Times New Roman" w:cs="Times New Roman"/>
          <w:color w:val="000000" w:themeColor="text1"/>
          <w:sz w:val="24"/>
          <w:szCs w:val="24"/>
        </w:rPr>
        <w:t xml:space="preserve">deverá indicar quais medidas, dentre as previstas na resolução, poderão ser utilizadas para mitigar os impactos econômico-financeiros do desequilíbrio sob análise (art. 5°, II). </w:t>
      </w:r>
    </w:p>
    <w:p w14:paraId="6341E552" w14:textId="42F6AE36" w:rsidR="009253A0" w:rsidRDefault="001A41C5" w:rsidP="00BD1084">
      <w:pPr>
        <w:spacing w:after="0" w:line="360" w:lineRule="auto"/>
        <w:ind w:firstLine="851"/>
        <w:jc w:val="both"/>
        <w:rPr>
          <w:rFonts w:ascii="Times New Roman" w:hAnsi="Times New Roman" w:cs="Times New Roman"/>
          <w:color w:val="000000" w:themeColor="text1"/>
          <w:sz w:val="24"/>
          <w:szCs w:val="24"/>
        </w:rPr>
      </w:pPr>
      <w:r w:rsidRPr="00FF2264">
        <w:rPr>
          <w:rFonts w:ascii="Times New Roman" w:hAnsi="Times New Roman" w:cs="Times New Roman"/>
          <w:color w:val="000000" w:themeColor="text1"/>
          <w:sz w:val="24"/>
          <w:szCs w:val="24"/>
        </w:rPr>
        <w:t>Recebidas as informações do órgão regulador, o Secretário de Parcerias em Investimentos, com base nas melhores informações disponíveis, decidirá a respeito da aplicação de medida cautelar de mitigação do desequilíbrio, que será obrigatória nas hipóteses em que os seguintes requisitos forem verificados, cumulativamente</w:t>
      </w:r>
      <w:r w:rsidR="0036028C" w:rsidRPr="00FF2264">
        <w:rPr>
          <w:rFonts w:ascii="Times New Roman" w:hAnsi="Times New Roman" w:cs="Times New Roman"/>
          <w:color w:val="000000" w:themeColor="text1"/>
          <w:sz w:val="24"/>
          <w:szCs w:val="24"/>
        </w:rPr>
        <w:t xml:space="preserve"> (art. 6°)</w:t>
      </w:r>
      <w:r w:rsidRPr="00FF2264">
        <w:rPr>
          <w:rFonts w:ascii="Times New Roman" w:hAnsi="Times New Roman" w:cs="Times New Roman"/>
          <w:color w:val="000000" w:themeColor="text1"/>
          <w:sz w:val="24"/>
          <w:szCs w:val="24"/>
        </w:rPr>
        <w:t xml:space="preserve">: (i) </w:t>
      </w:r>
      <w:r w:rsidR="0036028C" w:rsidRPr="00FF2264">
        <w:rPr>
          <w:rFonts w:ascii="Times New Roman" w:hAnsi="Times New Roman" w:cs="Times New Roman"/>
          <w:color w:val="000000" w:themeColor="text1"/>
          <w:sz w:val="24"/>
          <w:szCs w:val="24"/>
        </w:rPr>
        <w:t xml:space="preserve">a ocorrência do evento de desequilíbrio tenha sido definitivamente reconhecida pelo </w:t>
      </w:r>
      <w:r w:rsidR="0036028C" w:rsidRPr="0036028C">
        <w:rPr>
          <w:rFonts w:ascii="Times New Roman" w:hAnsi="Times New Roman" w:cs="Times New Roman"/>
          <w:color w:val="000000" w:themeColor="text1"/>
          <w:sz w:val="24"/>
          <w:szCs w:val="24"/>
        </w:rPr>
        <w:t xml:space="preserve">órgão competente ou possa ser presumida, </w:t>
      </w:r>
      <w:r w:rsidR="0036028C">
        <w:rPr>
          <w:rFonts w:ascii="Times New Roman" w:hAnsi="Times New Roman" w:cs="Times New Roman"/>
          <w:color w:val="000000" w:themeColor="text1"/>
          <w:sz w:val="24"/>
          <w:szCs w:val="24"/>
        </w:rPr>
        <w:t>nos termos da</w:t>
      </w:r>
      <w:r w:rsidR="0036028C" w:rsidRPr="0036028C">
        <w:rPr>
          <w:rFonts w:ascii="Times New Roman" w:hAnsi="Times New Roman" w:cs="Times New Roman"/>
          <w:color w:val="000000" w:themeColor="text1"/>
          <w:sz w:val="24"/>
          <w:szCs w:val="24"/>
        </w:rPr>
        <w:t xml:space="preserve"> resolução;</w:t>
      </w:r>
      <w:r w:rsidR="0036028C">
        <w:rPr>
          <w:rFonts w:ascii="Times New Roman" w:hAnsi="Times New Roman" w:cs="Times New Roman"/>
          <w:color w:val="000000" w:themeColor="text1"/>
          <w:sz w:val="24"/>
          <w:szCs w:val="24"/>
        </w:rPr>
        <w:t xml:space="preserve"> (</w:t>
      </w:r>
      <w:proofErr w:type="spellStart"/>
      <w:r w:rsidR="0036028C">
        <w:rPr>
          <w:rFonts w:ascii="Times New Roman" w:hAnsi="Times New Roman" w:cs="Times New Roman"/>
          <w:color w:val="000000" w:themeColor="text1"/>
          <w:sz w:val="24"/>
          <w:szCs w:val="24"/>
        </w:rPr>
        <w:t>ii</w:t>
      </w:r>
      <w:proofErr w:type="spellEnd"/>
      <w:r w:rsidR="0036028C">
        <w:rPr>
          <w:rFonts w:ascii="Times New Roman" w:hAnsi="Times New Roman" w:cs="Times New Roman"/>
          <w:color w:val="000000" w:themeColor="text1"/>
          <w:sz w:val="24"/>
          <w:szCs w:val="24"/>
        </w:rPr>
        <w:t xml:space="preserve">) </w:t>
      </w:r>
      <w:r w:rsidR="0036028C" w:rsidRPr="0036028C">
        <w:rPr>
          <w:rFonts w:ascii="Times New Roman" w:hAnsi="Times New Roman" w:cs="Times New Roman"/>
          <w:color w:val="000000" w:themeColor="text1"/>
          <w:sz w:val="24"/>
          <w:szCs w:val="24"/>
        </w:rPr>
        <w:t xml:space="preserve">for possível a adoção de </w:t>
      </w:r>
      <w:r w:rsidR="00FF2264">
        <w:rPr>
          <w:rFonts w:ascii="Times New Roman" w:hAnsi="Times New Roman" w:cs="Times New Roman"/>
          <w:color w:val="000000" w:themeColor="text1"/>
          <w:sz w:val="24"/>
          <w:szCs w:val="24"/>
        </w:rPr>
        <w:t>medidas de suspensão da exigibilidade, elevação ou redução de pagamentos devidos pela Concessionária</w:t>
      </w:r>
      <w:r w:rsidR="0036028C">
        <w:rPr>
          <w:rFonts w:ascii="Times New Roman" w:hAnsi="Times New Roman" w:cs="Times New Roman"/>
          <w:color w:val="000000" w:themeColor="text1"/>
          <w:sz w:val="24"/>
          <w:szCs w:val="24"/>
        </w:rPr>
        <w:t>; e (</w:t>
      </w:r>
      <w:proofErr w:type="spellStart"/>
      <w:r w:rsidR="0036028C">
        <w:rPr>
          <w:rFonts w:ascii="Times New Roman" w:hAnsi="Times New Roman" w:cs="Times New Roman"/>
          <w:color w:val="000000" w:themeColor="text1"/>
          <w:sz w:val="24"/>
          <w:szCs w:val="24"/>
        </w:rPr>
        <w:t>iii</w:t>
      </w:r>
      <w:proofErr w:type="spellEnd"/>
      <w:r w:rsidR="0036028C">
        <w:rPr>
          <w:rFonts w:ascii="Times New Roman" w:hAnsi="Times New Roman" w:cs="Times New Roman"/>
          <w:color w:val="000000" w:themeColor="text1"/>
          <w:sz w:val="24"/>
          <w:szCs w:val="24"/>
        </w:rPr>
        <w:t xml:space="preserve">) </w:t>
      </w:r>
      <w:r w:rsidR="0036028C" w:rsidRPr="0036028C">
        <w:rPr>
          <w:rFonts w:ascii="Times New Roman" w:hAnsi="Times New Roman" w:cs="Times New Roman"/>
          <w:color w:val="000000" w:themeColor="text1"/>
          <w:sz w:val="24"/>
          <w:szCs w:val="24"/>
        </w:rPr>
        <w:t>não houver comprovada indisponibilidade dos recursos para o cumprimento das obrigações orçamentárias e financeiras do Estado ou para a preservação da autonomia financeira da agência reguladora responsável pela fiscalização da execução do contrato</w:t>
      </w:r>
      <w:r w:rsidR="0036028C">
        <w:rPr>
          <w:rFonts w:ascii="Times New Roman" w:hAnsi="Times New Roman" w:cs="Times New Roman"/>
          <w:color w:val="000000" w:themeColor="text1"/>
          <w:sz w:val="24"/>
          <w:szCs w:val="24"/>
        </w:rPr>
        <w:t>.</w:t>
      </w:r>
    </w:p>
    <w:p w14:paraId="03FA6567" w14:textId="263F0A9F" w:rsidR="00142AD8" w:rsidRDefault="00142AD8"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Esta obrigatoriedade de mitigação cautelar de eventos de desequilíbrio, nas circunstâncias indicadas no artigo 6º da Resolução SPI nº 19/2023, busca endereçar especificamente a situação daqueles contratos que, muito embora inequivocamente desequilibrados, </w:t>
      </w:r>
      <w:r w:rsidR="005714D9">
        <w:rPr>
          <w:rFonts w:ascii="Times New Roman" w:hAnsi="Times New Roman" w:cs="Times New Roman"/>
          <w:color w:val="000000" w:themeColor="text1"/>
          <w:sz w:val="24"/>
          <w:szCs w:val="24"/>
        </w:rPr>
        <w:t>permaneçam demandando a realização de pagamentos pela concessionária em favor do poder concedente, a exemplo de outorgas fixas ou variáveis, eis que, em tais casos, a própria suspensão da realização destes pagamentos costuma se mostrar uma medida bastante eficiente para a desoneração financeira da concessionária, sem demandar aporte de recursos orçamentários por parte do poder concedente, com as dificuldades a isto inerentes, muito embora, em qualquer caso, seja necessária a certificação da dispensabilidade desta receita para o cumprimento das obrigações orçamentárias e financeiras do Estado.</w:t>
      </w:r>
    </w:p>
    <w:p w14:paraId="128D5AB4" w14:textId="3706BEF6" w:rsidR="00FF2264" w:rsidRDefault="00FF2264"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todo modo, pelo fato de o desequilíbrio ser apurado, preliminarmente, em bases estimativas, </w:t>
      </w:r>
      <w:r w:rsidR="005714D9">
        <w:rPr>
          <w:rFonts w:ascii="Times New Roman" w:hAnsi="Times New Roman" w:cs="Times New Roman"/>
          <w:color w:val="000000" w:themeColor="text1"/>
          <w:sz w:val="24"/>
          <w:szCs w:val="24"/>
        </w:rPr>
        <w:t xml:space="preserve">buscou-se reduzir o risco de </w:t>
      </w:r>
      <w:r w:rsidR="00527B4E">
        <w:rPr>
          <w:rFonts w:ascii="Times New Roman" w:hAnsi="Times New Roman" w:cs="Times New Roman"/>
          <w:color w:val="000000" w:themeColor="text1"/>
          <w:sz w:val="24"/>
          <w:szCs w:val="24"/>
        </w:rPr>
        <w:t>a medida cautelar superar o reequilíbrio que vier a ser definitivamente devido, motivo pelo qual as</w:t>
      </w:r>
      <w:r>
        <w:rPr>
          <w:rFonts w:ascii="Times New Roman" w:hAnsi="Times New Roman" w:cs="Times New Roman"/>
          <w:color w:val="000000" w:themeColor="text1"/>
          <w:sz w:val="24"/>
          <w:szCs w:val="24"/>
        </w:rPr>
        <w:t xml:space="preserve"> medidas cautelares de mitigação </w:t>
      </w:r>
      <w:r w:rsidR="00527B4E">
        <w:rPr>
          <w:rFonts w:ascii="Times New Roman" w:hAnsi="Times New Roman" w:cs="Times New Roman"/>
          <w:color w:val="000000" w:themeColor="text1"/>
          <w:sz w:val="24"/>
          <w:szCs w:val="24"/>
        </w:rPr>
        <w:t>foram</w:t>
      </w:r>
      <w:r>
        <w:rPr>
          <w:rFonts w:ascii="Times New Roman" w:hAnsi="Times New Roman" w:cs="Times New Roman"/>
          <w:color w:val="000000" w:themeColor="text1"/>
          <w:sz w:val="24"/>
          <w:szCs w:val="24"/>
        </w:rPr>
        <w:t xml:space="preserve"> limitada</w:t>
      </w:r>
      <w:r w:rsidR="00527B4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 80% (oitenta por cento) do impacto econômico-financeiro estimado, não pode</w:t>
      </w:r>
      <w:r w:rsidR="00527B4E">
        <w:rPr>
          <w:rFonts w:ascii="Times New Roman" w:hAnsi="Times New Roman" w:cs="Times New Roman"/>
          <w:color w:val="000000" w:themeColor="text1"/>
          <w:sz w:val="24"/>
          <w:szCs w:val="24"/>
        </w:rPr>
        <w:t>ndo</w:t>
      </w:r>
      <w:r>
        <w:rPr>
          <w:rFonts w:ascii="Times New Roman" w:hAnsi="Times New Roman" w:cs="Times New Roman"/>
          <w:color w:val="000000" w:themeColor="text1"/>
          <w:sz w:val="24"/>
          <w:szCs w:val="24"/>
        </w:rPr>
        <w:t xml:space="preserve"> importar </w:t>
      </w:r>
      <w:r>
        <w:rPr>
          <w:rFonts w:ascii="Times New Roman" w:hAnsi="Times New Roman" w:cs="Times New Roman"/>
          <w:color w:val="000000" w:themeColor="text1"/>
          <w:sz w:val="24"/>
          <w:szCs w:val="24"/>
        </w:rPr>
        <w:lastRenderedPageBreak/>
        <w:t xml:space="preserve">em recebimento de recursos antecipadamente ao efetivo impacto financeiro do evento de desequilíbrio (art. 6°, parágrafo único). Além disso, nos casos em que deferida a medida, prevê-se a tramitação prioritária dos processos administrativos destinados à mensuração definitiva do desequilíbrio em questão, oportunidade em que, periodicamente, </w:t>
      </w:r>
      <w:r w:rsidR="002D368F">
        <w:rPr>
          <w:rFonts w:ascii="Times New Roman" w:hAnsi="Times New Roman" w:cs="Times New Roman"/>
          <w:color w:val="000000" w:themeColor="text1"/>
          <w:sz w:val="24"/>
          <w:szCs w:val="24"/>
        </w:rPr>
        <w:t xml:space="preserve">caso apuradas diferenças, o </w:t>
      </w:r>
      <w:r>
        <w:rPr>
          <w:rFonts w:ascii="Times New Roman" w:hAnsi="Times New Roman" w:cs="Times New Roman"/>
          <w:color w:val="000000" w:themeColor="text1"/>
          <w:sz w:val="24"/>
          <w:szCs w:val="24"/>
        </w:rPr>
        <w:t>valor deverá ser revisto</w:t>
      </w:r>
      <w:r w:rsidR="002D368F">
        <w:rPr>
          <w:rFonts w:ascii="Times New Roman" w:hAnsi="Times New Roman" w:cs="Times New Roman"/>
          <w:color w:val="000000" w:themeColor="text1"/>
          <w:sz w:val="24"/>
          <w:szCs w:val="24"/>
        </w:rPr>
        <w:t>, com o correspondente</w:t>
      </w:r>
      <w:r>
        <w:rPr>
          <w:rFonts w:ascii="Times New Roman" w:hAnsi="Times New Roman" w:cs="Times New Roman"/>
          <w:color w:val="000000" w:themeColor="text1"/>
          <w:sz w:val="24"/>
          <w:szCs w:val="24"/>
        </w:rPr>
        <w:t xml:space="preserve"> </w:t>
      </w:r>
      <w:r w:rsidR="002D368F">
        <w:rPr>
          <w:rFonts w:ascii="Times New Roman" w:hAnsi="Times New Roman" w:cs="Times New Roman"/>
          <w:color w:val="000000" w:themeColor="text1"/>
          <w:sz w:val="24"/>
          <w:szCs w:val="24"/>
        </w:rPr>
        <w:t>ajuste das</w:t>
      </w:r>
      <w:r>
        <w:rPr>
          <w:rFonts w:ascii="Times New Roman" w:hAnsi="Times New Roman" w:cs="Times New Roman"/>
          <w:color w:val="000000" w:themeColor="text1"/>
          <w:sz w:val="24"/>
          <w:szCs w:val="24"/>
        </w:rPr>
        <w:t xml:space="preserve"> medidas de recomposição ao montante </w:t>
      </w:r>
      <w:r w:rsidR="002D368F">
        <w:rPr>
          <w:rFonts w:ascii="Times New Roman" w:hAnsi="Times New Roman" w:cs="Times New Roman"/>
          <w:color w:val="000000" w:themeColor="text1"/>
          <w:sz w:val="24"/>
          <w:szCs w:val="24"/>
        </w:rPr>
        <w:t>definitivamente</w:t>
      </w:r>
      <w:r>
        <w:rPr>
          <w:rFonts w:ascii="Times New Roman" w:hAnsi="Times New Roman" w:cs="Times New Roman"/>
          <w:color w:val="000000" w:themeColor="text1"/>
          <w:sz w:val="24"/>
          <w:szCs w:val="24"/>
        </w:rPr>
        <w:t xml:space="preserve"> </w:t>
      </w:r>
      <w:r w:rsidR="002D368F">
        <w:rPr>
          <w:rFonts w:ascii="Times New Roman" w:hAnsi="Times New Roman" w:cs="Times New Roman"/>
          <w:color w:val="000000" w:themeColor="text1"/>
          <w:sz w:val="24"/>
          <w:szCs w:val="24"/>
        </w:rPr>
        <w:t>mensurado pelo órgão regulador (art. 7°).</w:t>
      </w:r>
    </w:p>
    <w:p w14:paraId="187EE747" w14:textId="0295D8D9" w:rsidR="0036795F" w:rsidRDefault="002D368F"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fim, no que diz respeito</w:t>
      </w:r>
      <w:r w:rsidR="009253A0">
        <w:rPr>
          <w:rFonts w:ascii="Times New Roman" w:hAnsi="Times New Roman" w:cs="Times New Roman"/>
          <w:color w:val="000000" w:themeColor="text1"/>
          <w:sz w:val="24"/>
          <w:szCs w:val="24"/>
        </w:rPr>
        <w:t xml:space="preserve"> </w:t>
      </w:r>
      <w:r w:rsidR="007164EB">
        <w:rPr>
          <w:rFonts w:ascii="Times New Roman" w:hAnsi="Times New Roman" w:cs="Times New Roman"/>
          <w:color w:val="000000" w:themeColor="text1"/>
          <w:sz w:val="24"/>
          <w:szCs w:val="24"/>
        </w:rPr>
        <w:t>aos instrumentos</w:t>
      </w:r>
      <w:r w:rsidR="009253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recomposição</w:t>
      </w:r>
      <w:r w:rsidR="009253A0">
        <w:rPr>
          <w:rFonts w:ascii="Times New Roman" w:hAnsi="Times New Roman" w:cs="Times New Roman"/>
          <w:color w:val="000000" w:themeColor="text1"/>
          <w:sz w:val="24"/>
          <w:szCs w:val="24"/>
        </w:rPr>
        <w:t>, o art. 2°, III</w:t>
      </w:r>
      <w:r w:rsidR="007164EB">
        <w:rPr>
          <w:rFonts w:ascii="Times New Roman" w:hAnsi="Times New Roman" w:cs="Times New Roman"/>
          <w:color w:val="000000" w:themeColor="text1"/>
          <w:sz w:val="24"/>
          <w:szCs w:val="24"/>
        </w:rPr>
        <w:t xml:space="preserve"> estabelece que a mitigação do desequilíbrio poderá envolver a aplicação, a título cautelar, de medidas que produzam efeitos econômico-financeiros no contrato, trazendo, em auxílio</w:t>
      </w:r>
      <w:r w:rsidR="00527B4E">
        <w:rPr>
          <w:rFonts w:ascii="Times New Roman" w:hAnsi="Times New Roman" w:cs="Times New Roman"/>
          <w:color w:val="000000" w:themeColor="text1"/>
          <w:sz w:val="24"/>
          <w:szCs w:val="24"/>
        </w:rPr>
        <w:t>,</w:t>
      </w:r>
      <w:r w:rsidR="007164EB">
        <w:rPr>
          <w:rFonts w:ascii="Times New Roman" w:hAnsi="Times New Roman" w:cs="Times New Roman"/>
          <w:color w:val="000000" w:themeColor="text1"/>
          <w:sz w:val="24"/>
          <w:szCs w:val="24"/>
        </w:rPr>
        <w:t xml:space="preserve"> </w:t>
      </w:r>
      <w:r w:rsidR="009253A0">
        <w:rPr>
          <w:rFonts w:ascii="Times New Roman" w:hAnsi="Times New Roman" w:cs="Times New Roman"/>
          <w:color w:val="000000" w:themeColor="text1"/>
          <w:sz w:val="24"/>
          <w:szCs w:val="24"/>
        </w:rPr>
        <w:t xml:space="preserve">um rol exemplificativo que alberga uma variedade considerável de </w:t>
      </w:r>
      <w:r w:rsidR="007164EB">
        <w:rPr>
          <w:rFonts w:ascii="Times New Roman" w:hAnsi="Times New Roman" w:cs="Times New Roman"/>
          <w:color w:val="000000" w:themeColor="text1"/>
          <w:sz w:val="24"/>
          <w:szCs w:val="24"/>
        </w:rPr>
        <w:t>modalidades</w:t>
      </w:r>
      <w:r w:rsidR="009253A0">
        <w:rPr>
          <w:rFonts w:ascii="Times New Roman" w:hAnsi="Times New Roman" w:cs="Times New Roman"/>
          <w:color w:val="000000" w:themeColor="text1"/>
          <w:sz w:val="24"/>
          <w:szCs w:val="24"/>
        </w:rPr>
        <w:t xml:space="preserve"> de reequilíbrio contratual, em compasso com o que vem sendo previsto nos contratos de parceria mais recentes do Estado</w:t>
      </w:r>
      <w:r w:rsidR="007164EB">
        <w:rPr>
          <w:rFonts w:ascii="Times New Roman" w:hAnsi="Times New Roman" w:cs="Times New Roman"/>
          <w:color w:val="000000" w:themeColor="text1"/>
          <w:sz w:val="24"/>
          <w:szCs w:val="24"/>
        </w:rPr>
        <w:t xml:space="preserve"> de São Paulo.</w:t>
      </w:r>
    </w:p>
    <w:p w14:paraId="54D7C2AB" w14:textId="77777777" w:rsidR="0036795F" w:rsidRDefault="0036795F" w:rsidP="00BD1084">
      <w:pPr>
        <w:tabs>
          <w:tab w:val="left" w:pos="2268"/>
          <w:tab w:val="left" w:pos="7338"/>
        </w:tabs>
        <w:spacing w:after="0" w:line="360" w:lineRule="auto"/>
        <w:jc w:val="both"/>
        <w:rPr>
          <w:rFonts w:ascii="Times New Roman" w:hAnsi="Times New Roman" w:cs="Times New Roman"/>
          <w:sz w:val="24"/>
          <w:szCs w:val="24"/>
        </w:rPr>
      </w:pPr>
    </w:p>
    <w:p w14:paraId="37C9D406" w14:textId="12DFAF1B" w:rsidR="0036795F" w:rsidRPr="001A4CB3" w:rsidRDefault="006474A9" w:rsidP="00BD1084">
      <w:pPr>
        <w:spacing w:after="0" w:line="360" w:lineRule="auto"/>
        <w:jc w:val="both"/>
        <w:rPr>
          <w:rFonts w:ascii="Times New Roman" w:hAnsi="Times New Roman" w:cs="Times New Roman"/>
          <w:b/>
          <w:bCs/>
          <w:color w:val="000000" w:themeColor="text1"/>
          <w:sz w:val="28"/>
          <w:szCs w:val="28"/>
        </w:rPr>
      </w:pPr>
      <w:r w:rsidRPr="001A4CB3">
        <w:rPr>
          <w:rFonts w:ascii="Times New Roman" w:hAnsi="Times New Roman" w:cs="Times New Roman"/>
          <w:b/>
          <w:bCs/>
          <w:color w:val="000000" w:themeColor="text1"/>
          <w:sz w:val="28"/>
          <w:szCs w:val="28"/>
        </w:rPr>
        <w:t>4</w:t>
      </w:r>
      <w:r w:rsidR="0036795F" w:rsidRPr="001A4CB3">
        <w:rPr>
          <w:rFonts w:ascii="Times New Roman" w:hAnsi="Times New Roman" w:cs="Times New Roman"/>
          <w:b/>
          <w:bCs/>
          <w:color w:val="000000" w:themeColor="text1"/>
          <w:sz w:val="28"/>
          <w:szCs w:val="28"/>
        </w:rPr>
        <w:t xml:space="preserve">. </w:t>
      </w:r>
      <w:r w:rsidR="001A4CB3" w:rsidRPr="001A4CB3">
        <w:rPr>
          <w:rFonts w:ascii="Times New Roman" w:hAnsi="Times New Roman" w:cs="Times New Roman"/>
          <w:b/>
          <w:bCs/>
          <w:color w:val="000000" w:themeColor="text1"/>
          <w:sz w:val="28"/>
          <w:szCs w:val="28"/>
        </w:rPr>
        <w:t>Conclusões</w:t>
      </w:r>
    </w:p>
    <w:p w14:paraId="10D40413" w14:textId="77777777" w:rsidR="008867E0" w:rsidRPr="006474A9" w:rsidRDefault="008867E0" w:rsidP="00BD1084">
      <w:pPr>
        <w:spacing w:after="0" w:line="360" w:lineRule="auto"/>
        <w:jc w:val="both"/>
        <w:rPr>
          <w:rFonts w:ascii="Times New Roman" w:hAnsi="Times New Roman" w:cs="Times New Roman"/>
          <w:b/>
          <w:bCs/>
          <w:color w:val="000000" w:themeColor="text1"/>
          <w:sz w:val="24"/>
          <w:szCs w:val="24"/>
        </w:rPr>
      </w:pPr>
    </w:p>
    <w:p w14:paraId="17077F07" w14:textId="0C68E095" w:rsidR="008867E0" w:rsidRDefault="0043130B" w:rsidP="00BD1084">
      <w:pPr>
        <w:spacing w:after="0" w:line="360" w:lineRule="auto"/>
        <w:ind w:firstLine="851"/>
        <w:jc w:val="both"/>
        <w:rPr>
          <w:rFonts w:ascii="Times New Roman" w:hAnsi="Times New Roman" w:cs="Times New Roman"/>
          <w:color w:val="000000" w:themeColor="text1"/>
          <w:sz w:val="24"/>
          <w:szCs w:val="24"/>
        </w:rPr>
      </w:pPr>
      <w:r w:rsidRPr="00080B5F">
        <w:rPr>
          <w:rFonts w:ascii="Times New Roman" w:hAnsi="Times New Roman" w:cs="Times New Roman"/>
          <w:color w:val="000000" w:themeColor="text1"/>
          <w:sz w:val="24"/>
          <w:szCs w:val="24"/>
        </w:rPr>
        <w:t xml:space="preserve">Neste artigo, </w:t>
      </w:r>
      <w:r w:rsidR="00A854DA">
        <w:rPr>
          <w:rFonts w:ascii="Times New Roman" w:hAnsi="Times New Roman" w:cs="Times New Roman"/>
          <w:color w:val="000000" w:themeColor="text1"/>
          <w:sz w:val="24"/>
          <w:szCs w:val="24"/>
        </w:rPr>
        <w:t>busc</w:t>
      </w:r>
      <w:r w:rsidR="001533AD">
        <w:rPr>
          <w:rFonts w:ascii="Times New Roman" w:hAnsi="Times New Roman" w:cs="Times New Roman"/>
          <w:color w:val="000000" w:themeColor="text1"/>
          <w:sz w:val="24"/>
          <w:szCs w:val="24"/>
        </w:rPr>
        <w:t>amos</w:t>
      </w:r>
      <w:r w:rsidR="00A854DA">
        <w:rPr>
          <w:rFonts w:ascii="Times New Roman" w:hAnsi="Times New Roman" w:cs="Times New Roman"/>
          <w:color w:val="000000" w:themeColor="text1"/>
          <w:sz w:val="24"/>
          <w:szCs w:val="24"/>
        </w:rPr>
        <w:t xml:space="preserve"> detalhar as</w:t>
      </w:r>
      <w:r w:rsidRPr="00080B5F">
        <w:rPr>
          <w:rFonts w:ascii="Times New Roman" w:hAnsi="Times New Roman" w:cs="Times New Roman"/>
          <w:color w:val="000000" w:themeColor="text1"/>
          <w:sz w:val="24"/>
          <w:szCs w:val="24"/>
        </w:rPr>
        <w:t xml:space="preserve"> dificuldades</w:t>
      </w:r>
      <w:r w:rsidR="00A854DA">
        <w:rPr>
          <w:rFonts w:ascii="Times New Roman" w:hAnsi="Times New Roman" w:cs="Times New Roman"/>
          <w:color w:val="000000" w:themeColor="text1"/>
          <w:sz w:val="24"/>
          <w:szCs w:val="24"/>
        </w:rPr>
        <w:t xml:space="preserve"> práticas vivenciadas pela regulação contratual para fins de apurar os desequilíbrios e promover os correspondentes reequilíbrios nos contratos de concessão e parceria público-privadas, </w:t>
      </w:r>
      <w:r w:rsidR="008867E0">
        <w:rPr>
          <w:rFonts w:ascii="Times New Roman" w:hAnsi="Times New Roman" w:cs="Times New Roman"/>
          <w:color w:val="000000" w:themeColor="text1"/>
          <w:sz w:val="24"/>
          <w:szCs w:val="24"/>
        </w:rPr>
        <w:t>explicando</w:t>
      </w:r>
      <w:r w:rsidR="00A854DA">
        <w:rPr>
          <w:rFonts w:ascii="Times New Roman" w:hAnsi="Times New Roman" w:cs="Times New Roman"/>
          <w:color w:val="000000" w:themeColor="text1"/>
          <w:sz w:val="24"/>
          <w:szCs w:val="24"/>
        </w:rPr>
        <w:t xml:space="preserve"> </w:t>
      </w:r>
      <w:r w:rsidR="008867E0">
        <w:rPr>
          <w:rFonts w:ascii="Times New Roman" w:hAnsi="Times New Roman" w:cs="Times New Roman"/>
          <w:color w:val="000000" w:themeColor="text1"/>
          <w:sz w:val="24"/>
          <w:szCs w:val="24"/>
        </w:rPr>
        <w:t xml:space="preserve">como, principalmente em casos de desequilíbrios econômico-financeiros complexos, a sua apuração pode se protrair no tempo, gerando ineficiências e </w:t>
      </w:r>
      <w:r w:rsidR="00D23186">
        <w:rPr>
          <w:rFonts w:ascii="Times New Roman" w:hAnsi="Times New Roman" w:cs="Times New Roman"/>
          <w:color w:val="000000" w:themeColor="text1"/>
          <w:sz w:val="24"/>
          <w:szCs w:val="24"/>
        </w:rPr>
        <w:t>consequências negativas</w:t>
      </w:r>
      <w:r w:rsidR="008867E0">
        <w:rPr>
          <w:rFonts w:ascii="Times New Roman" w:hAnsi="Times New Roman" w:cs="Times New Roman"/>
          <w:color w:val="000000" w:themeColor="text1"/>
          <w:sz w:val="24"/>
          <w:szCs w:val="24"/>
        </w:rPr>
        <w:t xml:space="preserve"> para todos os interessados.</w:t>
      </w:r>
    </w:p>
    <w:p w14:paraId="5C25DAF7" w14:textId="7C2F387D" w:rsidR="008867E0" w:rsidRDefault="008867E0"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Dentre tais </w:t>
      </w:r>
      <w:r w:rsidR="00D23186">
        <w:rPr>
          <w:rFonts w:ascii="Times New Roman" w:hAnsi="Times New Roman" w:cs="Times New Roman"/>
          <w:color w:val="000000" w:themeColor="text1"/>
          <w:sz w:val="24"/>
          <w:szCs w:val="24"/>
        </w:rPr>
        <w:t>resultados adversos</w:t>
      </w:r>
      <w:r>
        <w:rPr>
          <w:rFonts w:ascii="Times New Roman" w:hAnsi="Times New Roman" w:cs="Times New Roman"/>
          <w:color w:val="000000" w:themeColor="text1"/>
          <w:sz w:val="24"/>
          <w:szCs w:val="24"/>
        </w:rPr>
        <w:t>, destac</w:t>
      </w:r>
      <w:r w:rsidR="001533AD">
        <w:rPr>
          <w:rFonts w:ascii="Times New Roman" w:hAnsi="Times New Roman" w:cs="Times New Roman"/>
          <w:color w:val="000000" w:themeColor="text1"/>
          <w:sz w:val="24"/>
          <w:szCs w:val="24"/>
        </w:rPr>
        <w:t>amos</w:t>
      </w:r>
      <w:r>
        <w:rPr>
          <w:rFonts w:ascii="Times New Roman" w:hAnsi="Times New Roman" w:cs="Times New Roman"/>
          <w:color w:val="000000" w:themeColor="text1"/>
          <w:sz w:val="24"/>
          <w:szCs w:val="24"/>
        </w:rPr>
        <w:t xml:space="preserve"> o risco de que sejam excessivamente majorados os ônus a serem suportados pelo erário e/ou usuários, </w:t>
      </w:r>
      <w:r w:rsidR="00527B4E">
        <w:rPr>
          <w:rFonts w:ascii="Times New Roman" w:hAnsi="Times New Roman" w:cs="Times New Roman"/>
          <w:color w:val="000000" w:themeColor="text1"/>
          <w:sz w:val="24"/>
          <w:szCs w:val="24"/>
        </w:rPr>
        <w:t>diante d</w:t>
      </w:r>
      <w:r>
        <w:rPr>
          <w:rFonts w:ascii="Times New Roman" w:hAnsi="Times New Roman" w:cs="Times New Roman"/>
          <w:color w:val="000000" w:themeColor="text1"/>
          <w:sz w:val="24"/>
          <w:szCs w:val="24"/>
        </w:rPr>
        <w:t>a incidência de rentabilização sobre os valores de desequilíbrio ao longo do tempo, assim como, a depender da magnitude dos desequilíbrios acumulados, o risco de comprometimento da própria saúde financeira da concessão.</w:t>
      </w:r>
    </w:p>
    <w:p w14:paraId="420688DA" w14:textId="1B53A11F" w:rsidR="00A854DA" w:rsidRDefault="00D23186"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Como </w:t>
      </w:r>
      <w:r w:rsidR="00030692">
        <w:rPr>
          <w:rFonts w:ascii="Times New Roman" w:hAnsi="Times New Roman" w:cs="Times New Roman"/>
          <w:color w:val="000000" w:themeColor="text1"/>
          <w:sz w:val="24"/>
          <w:szCs w:val="24"/>
        </w:rPr>
        <w:t>proposta</w:t>
      </w:r>
      <w:r w:rsidR="008867E0" w:rsidRPr="00080B5F">
        <w:rPr>
          <w:rFonts w:ascii="Times New Roman" w:hAnsi="Times New Roman" w:cs="Times New Roman"/>
          <w:color w:val="000000" w:themeColor="text1"/>
          <w:sz w:val="24"/>
          <w:szCs w:val="24"/>
        </w:rPr>
        <w:t xml:space="preserve">, defendemos que o reequilíbrio possa ser feito pela administração pública de modo cautelar (ou provisório), </w:t>
      </w:r>
      <w:r w:rsidR="008867E0">
        <w:rPr>
          <w:rFonts w:ascii="Times New Roman" w:hAnsi="Times New Roman" w:cs="Times New Roman"/>
          <w:color w:val="000000" w:themeColor="text1"/>
          <w:sz w:val="24"/>
          <w:szCs w:val="24"/>
        </w:rPr>
        <w:t>delineando parâmetros adequados</w:t>
      </w:r>
      <w:r w:rsidR="000A493A">
        <w:rPr>
          <w:rFonts w:ascii="Times New Roman" w:hAnsi="Times New Roman" w:cs="Times New Roman"/>
          <w:color w:val="000000" w:themeColor="text1"/>
          <w:sz w:val="24"/>
          <w:szCs w:val="24"/>
        </w:rPr>
        <w:t>, sob o ponto de vista jurídico,</w:t>
      </w:r>
      <w:r w:rsidR="008867E0">
        <w:rPr>
          <w:rFonts w:ascii="Times New Roman" w:hAnsi="Times New Roman" w:cs="Times New Roman"/>
          <w:color w:val="000000" w:themeColor="text1"/>
          <w:sz w:val="24"/>
          <w:szCs w:val="24"/>
        </w:rPr>
        <w:t xml:space="preserve"> para que se promova a mitigação dos impactos dos desequilíbrios cujos eventos são tidos como incontroversos, ou de ocorrência muito provável, pelo tempo que se mostrar necessário até a sua apuração e equacionamento em caráter definitivo.</w:t>
      </w:r>
    </w:p>
    <w:p w14:paraId="2FCA711C" w14:textId="6D56D115" w:rsidR="004C51CF" w:rsidRPr="004A3A32" w:rsidRDefault="004C51CF" w:rsidP="00BD1084">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Nesse contexto, </w:t>
      </w:r>
      <w:r w:rsidR="004A3A32">
        <w:rPr>
          <w:rFonts w:ascii="Times New Roman" w:hAnsi="Times New Roman" w:cs="Times New Roman"/>
          <w:color w:val="000000" w:themeColor="text1"/>
          <w:sz w:val="24"/>
          <w:szCs w:val="24"/>
        </w:rPr>
        <w:t>discutimos a disciplina</w:t>
      </w:r>
      <w:r>
        <w:rPr>
          <w:rFonts w:ascii="Times New Roman" w:hAnsi="Times New Roman" w:cs="Times New Roman"/>
          <w:color w:val="000000" w:themeColor="text1"/>
          <w:sz w:val="24"/>
          <w:szCs w:val="24"/>
        </w:rPr>
        <w:t xml:space="preserve"> estabelecida</w:t>
      </w:r>
      <w:r w:rsidR="000A49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recentemente pela Resolução </w:t>
      </w:r>
      <w:r w:rsidRPr="004D5DC8">
        <w:rPr>
          <w:rFonts w:ascii="Times New Roman" w:hAnsi="Times New Roman" w:cs="Times New Roman"/>
          <w:color w:val="000000" w:themeColor="text1"/>
          <w:sz w:val="24"/>
          <w:szCs w:val="24"/>
        </w:rPr>
        <w:t>n° 19/2023 da Secretaria de Parcerias em Investimentos do Estado de São Paulo</w:t>
      </w:r>
      <w:r>
        <w:rPr>
          <w:rFonts w:ascii="Times New Roman" w:hAnsi="Times New Roman" w:cs="Times New Roman"/>
          <w:color w:val="000000" w:themeColor="text1"/>
          <w:sz w:val="24"/>
          <w:szCs w:val="24"/>
        </w:rPr>
        <w:t xml:space="preserve">, por meio da qual se consolidou </w:t>
      </w:r>
      <w:r w:rsidRPr="004D5DC8">
        <w:rPr>
          <w:rFonts w:ascii="Times New Roman" w:hAnsi="Times New Roman" w:cs="Times New Roman"/>
          <w:color w:val="000000" w:themeColor="text1"/>
          <w:sz w:val="24"/>
          <w:szCs w:val="24"/>
        </w:rPr>
        <w:t xml:space="preserve">o instituto do reequilíbrio cautelar </w:t>
      </w:r>
      <w:r>
        <w:rPr>
          <w:rFonts w:ascii="Times New Roman" w:hAnsi="Times New Roman" w:cs="Times New Roman"/>
          <w:color w:val="000000" w:themeColor="text1"/>
          <w:sz w:val="24"/>
          <w:szCs w:val="24"/>
        </w:rPr>
        <w:t>na administração paulista,</w:t>
      </w:r>
      <w:r w:rsidRPr="004D5DC8">
        <w:rPr>
          <w:rFonts w:ascii="Times New Roman" w:hAnsi="Times New Roman" w:cs="Times New Roman"/>
          <w:color w:val="000000" w:themeColor="text1"/>
          <w:sz w:val="24"/>
          <w:szCs w:val="24"/>
        </w:rPr>
        <w:t xml:space="preserve"> contribuindo para </w:t>
      </w:r>
      <w:r w:rsidRPr="004D5DC8">
        <w:rPr>
          <w:rFonts w:ascii="Times New Roman" w:hAnsi="Times New Roman" w:cs="Times New Roman"/>
          <w:color w:val="000000" w:themeColor="text1"/>
          <w:sz w:val="24"/>
          <w:szCs w:val="24"/>
        </w:rPr>
        <w:lastRenderedPageBreak/>
        <w:t>lhe dar contornos mais objetivos e oferecer segurança à sua aplicação</w:t>
      </w:r>
      <w:r>
        <w:rPr>
          <w:rFonts w:ascii="Times New Roman" w:hAnsi="Times New Roman" w:cs="Times New Roman"/>
          <w:color w:val="000000" w:themeColor="text1"/>
          <w:sz w:val="24"/>
          <w:szCs w:val="24"/>
        </w:rPr>
        <w:t xml:space="preserve">. </w:t>
      </w:r>
      <w:r w:rsidR="001B0484">
        <w:rPr>
          <w:rFonts w:ascii="Times New Roman" w:hAnsi="Times New Roman" w:cs="Times New Roman"/>
          <w:color w:val="000000" w:themeColor="text1"/>
          <w:sz w:val="24"/>
          <w:szCs w:val="24"/>
        </w:rPr>
        <w:t>Em seguida</w:t>
      </w:r>
      <w:r>
        <w:rPr>
          <w:rFonts w:ascii="Times New Roman" w:hAnsi="Times New Roman" w:cs="Times New Roman"/>
          <w:color w:val="000000" w:themeColor="text1"/>
          <w:sz w:val="24"/>
          <w:szCs w:val="24"/>
        </w:rPr>
        <w:t>, exploramos os principais requisitos e instrumentos previstos na resolução</w:t>
      </w:r>
      <w:r w:rsidR="004A3A32">
        <w:rPr>
          <w:rFonts w:ascii="Times New Roman" w:hAnsi="Times New Roman" w:cs="Times New Roman"/>
          <w:color w:val="000000" w:themeColor="text1"/>
          <w:sz w:val="24"/>
          <w:szCs w:val="24"/>
        </w:rPr>
        <w:t xml:space="preserve"> para a implementação prática do instituto</w:t>
      </w:r>
      <w:r>
        <w:rPr>
          <w:rFonts w:ascii="Times New Roman" w:hAnsi="Times New Roman" w:cs="Times New Roman"/>
          <w:color w:val="000000" w:themeColor="text1"/>
          <w:sz w:val="24"/>
          <w:szCs w:val="24"/>
        </w:rPr>
        <w:t>,</w:t>
      </w:r>
      <w:r w:rsidR="00D3426A">
        <w:rPr>
          <w:rFonts w:ascii="Times New Roman" w:hAnsi="Times New Roman" w:cs="Times New Roman"/>
          <w:color w:val="000000" w:themeColor="text1"/>
          <w:sz w:val="24"/>
          <w:szCs w:val="24"/>
        </w:rPr>
        <w:t xml:space="preserve"> destacando as razões que justificam cada uma das medidas previstas na norma ora em vigor</w:t>
      </w:r>
      <w:r w:rsidRPr="004A3A32">
        <w:rPr>
          <w:rFonts w:ascii="Times New Roman" w:hAnsi="Times New Roman" w:cs="Times New Roman"/>
          <w:color w:val="000000" w:themeColor="text1"/>
          <w:sz w:val="24"/>
          <w:szCs w:val="24"/>
        </w:rPr>
        <w:t>.</w:t>
      </w:r>
    </w:p>
    <w:p w14:paraId="43EA8E6A" w14:textId="49D4DB7C" w:rsidR="001A7AB2" w:rsidRDefault="00030692" w:rsidP="00FE3B8B">
      <w:pPr>
        <w:spacing w:after="0" w:line="360" w:lineRule="auto"/>
        <w:ind w:firstLine="851"/>
        <w:jc w:val="both"/>
        <w:rPr>
          <w:rFonts w:ascii="Times New Roman" w:hAnsi="Times New Roman" w:cs="Times New Roman"/>
          <w:color w:val="000000" w:themeColor="text1"/>
          <w:sz w:val="24"/>
          <w:szCs w:val="24"/>
        </w:rPr>
      </w:pPr>
      <w:r w:rsidRPr="004A3A32">
        <w:rPr>
          <w:rFonts w:ascii="Times New Roman" w:hAnsi="Times New Roman" w:cs="Times New Roman"/>
          <w:color w:val="000000" w:themeColor="text1"/>
          <w:sz w:val="24"/>
          <w:szCs w:val="24"/>
        </w:rPr>
        <w:t>Espera</w:t>
      </w:r>
      <w:r w:rsidR="004C51CF" w:rsidRPr="004A3A32">
        <w:rPr>
          <w:rFonts w:ascii="Times New Roman" w:hAnsi="Times New Roman" w:cs="Times New Roman"/>
          <w:color w:val="000000" w:themeColor="text1"/>
          <w:sz w:val="24"/>
          <w:szCs w:val="24"/>
        </w:rPr>
        <w:t>mos</w:t>
      </w:r>
      <w:r w:rsidRPr="004A3A32">
        <w:rPr>
          <w:rFonts w:ascii="Times New Roman" w:hAnsi="Times New Roman" w:cs="Times New Roman"/>
          <w:color w:val="000000" w:themeColor="text1"/>
          <w:sz w:val="24"/>
          <w:szCs w:val="24"/>
        </w:rPr>
        <w:t xml:space="preserve">, com isso, ter </w:t>
      </w:r>
      <w:r w:rsidR="004A3A32">
        <w:rPr>
          <w:rFonts w:ascii="Times New Roman" w:hAnsi="Times New Roman" w:cs="Times New Roman"/>
          <w:color w:val="000000" w:themeColor="text1"/>
          <w:sz w:val="24"/>
          <w:szCs w:val="24"/>
        </w:rPr>
        <w:t>avançado no sentido de fornecer subsídios doutrinários para a utilização do reequilíbrio cautelar ou provisório enquanto solução adequada para endereçar alguns problemas sensíveis enfrentados na atividade cotidiana de gestão dos contratos administrativos de longo prazo, contribuindo para delimitar o seu âmbito de incidência e requisitos de aplicação, o que, em nossa visão, poderá ser adotado para equacionar problemas semelhantes vivenciados em outras esferas da Administração Pública brasileira.</w:t>
      </w:r>
    </w:p>
    <w:p w14:paraId="502F703B" w14:textId="77777777" w:rsidR="001A2128" w:rsidRDefault="001A2128" w:rsidP="001A2128">
      <w:pPr>
        <w:spacing w:after="0" w:line="360" w:lineRule="auto"/>
        <w:jc w:val="both"/>
        <w:rPr>
          <w:rFonts w:ascii="Times New Roman" w:hAnsi="Times New Roman" w:cs="Times New Roman"/>
          <w:color w:val="000000" w:themeColor="text1"/>
          <w:sz w:val="24"/>
          <w:szCs w:val="24"/>
        </w:rPr>
      </w:pPr>
    </w:p>
    <w:p w14:paraId="33DA5B5D" w14:textId="2B9919EE" w:rsidR="001A2128" w:rsidRDefault="001A2128" w:rsidP="001A2128">
      <w:pPr>
        <w:spacing w:after="0" w:line="360" w:lineRule="auto"/>
        <w:jc w:val="both"/>
        <w:rPr>
          <w:rFonts w:ascii="Times New Roman" w:hAnsi="Times New Roman" w:cs="Times New Roman"/>
          <w:b/>
          <w:bCs/>
          <w:color w:val="000000" w:themeColor="text1"/>
          <w:sz w:val="28"/>
          <w:szCs w:val="28"/>
        </w:rPr>
      </w:pPr>
      <w:r w:rsidRPr="001A2128">
        <w:rPr>
          <w:rFonts w:ascii="Times New Roman" w:hAnsi="Times New Roman" w:cs="Times New Roman"/>
          <w:b/>
          <w:bCs/>
          <w:color w:val="000000" w:themeColor="text1"/>
          <w:sz w:val="28"/>
          <w:szCs w:val="28"/>
        </w:rPr>
        <w:t>Referências</w:t>
      </w:r>
    </w:p>
    <w:p w14:paraId="24115385" w14:textId="77777777" w:rsidR="001A2128" w:rsidRDefault="001A2128" w:rsidP="001A2128">
      <w:pPr>
        <w:spacing w:after="0" w:line="360" w:lineRule="auto"/>
        <w:jc w:val="both"/>
        <w:rPr>
          <w:rFonts w:ascii="Times New Roman" w:hAnsi="Times New Roman" w:cs="Times New Roman"/>
          <w:b/>
          <w:bCs/>
          <w:color w:val="000000" w:themeColor="text1"/>
          <w:sz w:val="28"/>
          <w:szCs w:val="28"/>
        </w:rPr>
      </w:pPr>
    </w:p>
    <w:p w14:paraId="581D3649" w14:textId="73B87877" w:rsidR="001A2128" w:rsidRPr="001A2128" w:rsidRDefault="001A2128" w:rsidP="001A2128">
      <w:pPr>
        <w:spacing w:after="0" w:line="360" w:lineRule="auto"/>
        <w:jc w:val="both"/>
        <w:rPr>
          <w:rFonts w:ascii="Times New Roman" w:hAnsi="Times New Roman" w:cs="Times New Roman"/>
          <w:b/>
          <w:bCs/>
          <w:color w:val="FF0000"/>
          <w:sz w:val="24"/>
          <w:szCs w:val="24"/>
        </w:rPr>
      </w:pPr>
      <w:r w:rsidRPr="001A2128">
        <w:rPr>
          <w:rFonts w:ascii="Times New Roman" w:hAnsi="Times New Roman" w:cs="Times New Roman"/>
          <w:sz w:val="24"/>
          <w:szCs w:val="24"/>
        </w:rPr>
        <w:t xml:space="preserve">PELLEGRINI, Guilherme Martins; PETARLI, Glenderson Blaser. ‘O uso de contas vinculadas em contratos de concessão: estruturação, finalidade e fundamentos jurídicos’, in </w:t>
      </w:r>
      <w:r w:rsidRPr="001A2128">
        <w:rPr>
          <w:rFonts w:ascii="Times New Roman" w:hAnsi="Times New Roman" w:cs="Times New Roman"/>
          <w:b/>
          <w:sz w:val="24"/>
          <w:szCs w:val="24"/>
        </w:rPr>
        <w:t>Revista da Procuradoria-Geral do Estado de São Paulo</w:t>
      </w:r>
      <w:r w:rsidRPr="001A2128">
        <w:rPr>
          <w:rFonts w:ascii="Times New Roman" w:hAnsi="Times New Roman" w:cs="Times New Roman"/>
          <w:sz w:val="24"/>
          <w:szCs w:val="24"/>
        </w:rPr>
        <w:t>, São Paulo, jul/dez 2022, pp. 178-203.</w:t>
      </w:r>
    </w:p>
    <w:sectPr w:rsidR="001A2128" w:rsidRPr="001A2128" w:rsidSect="00BD1084">
      <w:pgSz w:w="11900" w:h="16840"/>
      <w:pgMar w:top="1701"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411D" w14:textId="77777777" w:rsidR="00180D1E" w:rsidRDefault="00180D1E" w:rsidP="00D02C68">
      <w:pPr>
        <w:spacing w:after="0" w:line="240" w:lineRule="auto"/>
      </w:pPr>
      <w:r>
        <w:separator/>
      </w:r>
    </w:p>
  </w:endnote>
  <w:endnote w:type="continuationSeparator" w:id="0">
    <w:p w14:paraId="151BB64B" w14:textId="77777777" w:rsidR="00180D1E" w:rsidRDefault="00180D1E" w:rsidP="00D0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CB1F" w14:textId="77777777" w:rsidR="00180D1E" w:rsidRDefault="00180D1E" w:rsidP="00D02C68">
      <w:pPr>
        <w:spacing w:after="0" w:line="240" w:lineRule="auto"/>
      </w:pPr>
      <w:r>
        <w:separator/>
      </w:r>
    </w:p>
  </w:footnote>
  <w:footnote w:type="continuationSeparator" w:id="0">
    <w:p w14:paraId="04D114C5" w14:textId="77777777" w:rsidR="00180D1E" w:rsidRDefault="00180D1E" w:rsidP="00D02C68">
      <w:pPr>
        <w:spacing w:after="0" w:line="240" w:lineRule="auto"/>
      </w:pPr>
      <w:r>
        <w:continuationSeparator/>
      </w:r>
    </w:p>
  </w:footnote>
  <w:footnote w:id="1">
    <w:p w14:paraId="1B6FC185" w14:textId="77777777" w:rsidR="007317A3" w:rsidRPr="00390E71" w:rsidRDefault="007317A3" w:rsidP="00390E71">
      <w:pPr>
        <w:pStyle w:val="Textodenotaderodap"/>
        <w:jc w:val="both"/>
        <w:rPr>
          <w:rFonts w:ascii="Times New Roman" w:hAnsi="Times New Roman" w:cs="Times New Roman"/>
        </w:rPr>
      </w:pPr>
      <w:r w:rsidRPr="00390E71">
        <w:rPr>
          <w:rStyle w:val="Refdenotaderodap"/>
          <w:rFonts w:ascii="Times New Roman" w:hAnsi="Times New Roman" w:cs="Times New Roman"/>
        </w:rPr>
        <w:footnoteRef/>
      </w:r>
      <w:r w:rsidRPr="00390E71">
        <w:rPr>
          <w:rFonts w:ascii="Times New Roman" w:hAnsi="Times New Roman" w:cs="Times New Roman"/>
        </w:rPr>
        <w:t xml:space="preserve"> PELLEGRINI, Guilherme Martins; PETARLI, </w:t>
      </w:r>
      <w:proofErr w:type="spellStart"/>
      <w:r w:rsidRPr="00390E71">
        <w:rPr>
          <w:rFonts w:ascii="Times New Roman" w:hAnsi="Times New Roman" w:cs="Times New Roman"/>
        </w:rPr>
        <w:t>Glenderson</w:t>
      </w:r>
      <w:proofErr w:type="spellEnd"/>
      <w:r w:rsidRPr="00390E71">
        <w:rPr>
          <w:rFonts w:ascii="Times New Roman" w:hAnsi="Times New Roman" w:cs="Times New Roman"/>
        </w:rPr>
        <w:t xml:space="preserve"> </w:t>
      </w:r>
      <w:proofErr w:type="spellStart"/>
      <w:r w:rsidRPr="00390E71">
        <w:rPr>
          <w:rFonts w:ascii="Times New Roman" w:hAnsi="Times New Roman" w:cs="Times New Roman"/>
        </w:rPr>
        <w:t>Blaser</w:t>
      </w:r>
      <w:proofErr w:type="spellEnd"/>
      <w:r w:rsidRPr="00390E71">
        <w:rPr>
          <w:rFonts w:ascii="Times New Roman" w:hAnsi="Times New Roman" w:cs="Times New Roman"/>
        </w:rPr>
        <w:t xml:space="preserve">. ‘O uso de contas vinculadas em contratos de concessão: estruturação, finalidade e fundamentos jurídicos’, in </w:t>
      </w:r>
      <w:r w:rsidRPr="00390E71">
        <w:rPr>
          <w:rFonts w:ascii="Times New Roman" w:hAnsi="Times New Roman" w:cs="Times New Roman"/>
          <w:b/>
        </w:rPr>
        <w:t>Revista da Procuradoria-Geral do Estado de São Paulo</w:t>
      </w:r>
      <w:r w:rsidRPr="00390E71">
        <w:rPr>
          <w:rFonts w:ascii="Times New Roman" w:hAnsi="Times New Roman" w:cs="Times New Roman"/>
        </w:rPr>
        <w:t>, São Paulo, jul/dez 2022, pp. 178-203.</w:t>
      </w:r>
    </w:p>
  </w:footnote>
  <w:footnote w:id="2">
    <w:p w14:paraId="55E780D9" w14:textId="78A91705" w:rsidR="00DF73E8" w:rsidRPr="00390E71" w:rsidRDefault="00DF73E8" w:rsidP="00390E71">
      <w:pPr>
        <w:pStyle w:val="Textodenotaderodap"/>
        <w:jc w:val="both"/>
        <w:rPr>
          <w:rFonts w:ascii="Times New Roman" w:hAnsi="Times New Roman" w:cs="Times New Roman"/>
          <w:lang w:val="pt-PT"/>
        </w:rPr>
      </w:pPr>
      <w:r w:rsidRPr="00390E71">
        <w:rPr>
          <w:rStyle w:val="Refdenotaderodap"/>
          <w:rFonts w:ascii="Times New Roman" w:hAnsi="Times New Roman" w:cs="Times New Roman"/>
        </w:rPr>
        <w:footnoteRef/>
      </w:r>
      <w:r w:rsidRPr="00390E71">
        <w:rPr>
          <w:rFonts w:ascii="Times New Roman" w:hAnsi="Times New Roman" w:cs="Times New Roman"/>
        </w:rPr>
        <w:t xml:space="preserve"> </w:t>
      </w:r>
      <w:r w:rsidR="003B7758" w:rsidRPr="00390E71">
        <w:rPr>
          <w:rFonts w:ascii="Times New Roman" w:hAnsi="Times New Roman" w:cs="Times New Roman"/>
        </w:rPr>
        <w:t xml:space="preserve">Apesar de o dispositivo mencionado da Lei de Concessões se referir, especificamente, aos desequilíbrios decorrentes de alterações unilaterais do contrato pelo poder concedente, entendemos que, à luz de uma interpretação sistemática do microssistema das concessões, a sua diretriz deve ser aplicada a qualquer evento de risco estatal que venha a impactar o fluxo de caixa do concessionário, </w:t>
      </w:r>
      <w:r w:rsidR="00772A3D" w:rsidRPr="00390E71">
        <w:rPr>
          <w:rFonts w:ascii="Times New Roman" w:hAnsi="Times New Roman" w:cs="Times New Roman"/>
        </w:rPr>
        <w:t>pois é a que melhor se presta a preservar a matriz de riscos que alicerça todo contrato de concessão.</w:t>
      </w:r>
    </w:p>
  </w:footnote>
  <w:footnote w:id="3">
    <w:p w14:paraId="685582A0" w14:textId="4D0F0D9F" w:rsidR="003D4627" w:rsidRPr="00390E71" w:rsidRDefault="003D4627" w:rsidP="00390E71">
      <w:pPr>
        <w:pStyle w:val="Textodenotaderodap"/>
        <w:jc w:val="both"/>
        <w:rPr>
          <w:rFonts w:ascii="Times New Roman" w:hAnsi="Times New Roman" w:cs="Times New Roman"/>
          <w:lang w:val="pt-PT"/>
        </w:rPr>
      </w:pPr>
      <w:r w:rsidRPr="00390E71">
        <w:rPr>
          <w:rStyle w:val="Refdenotaderodap"/>
          <w:rFonts w:ascii="Times New Roman" w:hAnsi="Times New Roman" w:cs="Times New Roman"/>
        </w:rPr>
        <w:footnoteRef/>
      </w:r>
      <w:r w:rsidRPr="00390E71">
        <w:rPr>
          <w:rFonts w:ascii="Times New Roman" w:hAnsi="Times New Roman" w:cs="Times New Roman"/>
        </w:rPr>
        <w:t xml:space="preserve"> </w:t>
      </w:r>
      <w:r w:rsidRPr="00390E71">
        <w:rPr>
          <w:rFonts w:ascii="Times New Roman" w:hAnsi="Times New Roman" w:cs="Times New Roman"/>
          <w:lang w:val="pt-PT"/>
        </w:rPr>
        <w:t>Destaca-se, nesse aspecto, os entendimentos exarados no</w:t>
      </w:r>
      <w:r w:rsidR="008C4A8C" w:rsidRPr="00390E71">
        <w:rPr>
          <w:rFonts w:ascii="Times New Roman" w:hAnsi="Times New Roman" w:cs="Times New Roman"/>
          <w:lang w:val="pt-PT"/>
        </w:rPr>
        <w:t xml:space="preserve">s </w:t>
      </w:r>
      <w:r w:rsidR="008C4A8C" w:rsidRPr="00390E71">
        <w:rPr>
          <w:rFonts w:ascii="Times New Roman" w:hAnsi="Times New Roman" w:cs="Times New Roman"/>
        </w:rPr>
        <w:t xml:space="preserve">Pareceres CJ-ARTESP </w:t>
      </w:r>
      <w:proofErr w:type="spellStart"/>
      <w:r w:rsidR="008C4A8C" w:rsidRPr="00390E71">
        <w:rPr>
          <w:rFonts w:ascii="Times New Roman" w:hAnsi="Times New Roman" w:cs="Times New Roman"/>
        </w:rPr>
        <w:t>nº</w:t>
      </w:r>
      <w:r w:rsidR="00584D39" w:rsidRPr="00390E71">
        <w:rPr>
          <w:rFonts w:ascii="Times New Roman" w:hAnsi="Times New Roman" w:cs="Times New Roman"/>
        </w:rPr>
        <w:t>s</w:t>
      </w:r>
      <w:proofErr w:type="spellEnd"/>
      <w:r w:rsidR="008C4A8C" w:rsidRPr="00390E71">
        <w:rPr>
          <w:rFonts w:ascii="Times New Roman" w:hAnsi="Times New Roman" w:cs="Times New Roman"/>
        </w:rPr>
        <w:t xml:space="preserve"> 195/2020 e 444/2020, além do </w:t>
      </w:r>
      <w:r w:rsidRPr="00390E71">
        <w:rPr>
          <w:rFonts w:ascii="Times New Roman" w:hAnsi="Times New Roman" w:cs="Times New Roman"/>
          <w:lang w:val="pt-PT"/>
        </w:rPr>
        <w:t>Parecer SUBG-CONS. n° 42/2022</w:t>
      </w:r>
      <w:r w:rsidR="008C4A8C" w:rsidRPr="00390E71">
        <w:rPr>
          <w:rFonts w:ascii="Times New Roman" w:hAnsi="Times New Roman" w:cs="Times New Roman"/>
          <w:lang w:val="pt-PT"/>
        </w:rPr>
        <w:t>.</w:t>
      </w:r>
    </w:p>
  </w:footnote>
  <w:footnote w:id="4">
    <w:p w14:paraId="31176867" w14:textId="548952D0" w:rsidR="00C15A0F" w:rsidRPr="00390E71" w:rsidRDefault="00C15A0F" w:rsidP="00390E71">
      <w:pPr>
        <w:pStyle w:val="Textodenotaderodap"/>
        <w:jc w:val="both"/>
        <w:rPr>
          <w:rFonts w:ascii="Times New Roman" w:hAnsi="Times New Roman" w:cs="Times New Roman"/>
          <w:lang w:val="pt-PT"/>
        </w:rPr>
      </w:pPr>
      <w:r w:rsidRPr="00390E71">
        <w:rPr>
          <w:rStyle w:val="Refdenotaderodap"/>
          <w:rFonts w:ascii="Times New Roman" w:hAnsi="Times New Roman" w:cs="Times New Roman"/>
        </w:rPr>
        <w:footnoteRef/>
      </w:r>
      <w:r w:rsidRPr="00390E71">
        <w:rPr>
          <w:rFonts w:ascii="Times New Roman" w:hAnsi="Times New Roman" w:cs="Times New Roman"/>
        </w:rPr>
        <w:t xml:space="preserve"> </w:t>
      </w:r>
      <w:r w:rsidRPr="00390E71">
        <w:rPr>
          <w:rFonts w:ascii="Times New Roman" w:hAnsi="Times New Roman" w:cs="Times New Roman"/>
          <w:lang w:val="pt-PT"/>
        </w:rPr>
        <w:t>A resolução foi publicada no Diário Oficial do Estado de São Paulo no dia 31 de maio de 2023, estando disponível para consulta no seguinte endereço eletrônico: &lt;http://diariooficial.imprensaoficial.com.br/nav_v6/index.asp?c=33344&amp;e=20230531&amp;p=1&gt;, p. 46, acesso em: 18 ago. 2023.</w:t>
      </w:r>
      <w:r w:rsidR="008000B4" w:rsidRPr="00390E71">
        <w:rPr>
          <w:rFonts w:ascii="Times New Roman" w:hAnsi="Times New Roman" w:cs="Times New Roman"/>
          <w:lang w:val="pt-PT"/>
        </w:rPr>
        <w:t xml:space="preserve"> A título de transparência, observamos que os autores deste artigo prestaram assessoria jurídica à administração paulista na redação da norma.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73D6"/>
    <w:multiLevelType w:val="hybridMultilevel"/>
    <w:tmpl w:val="4BD81DDA"/>
    <w:lvl w:ilvl="0" w:tplc="98684BC6">
      <w:start w:val="1"/>
      <w:numFmt w:val="decimal"/>
      <w:lvlText w:val="%1."/>
      <w:lvlJc w:val="left"/>
      <w:pPr>
        <w:ind w:left="2629" w:hanging="360"/>
      </w:pPr>
      <w:rPr>
        <w:rFonts w:hint="default"/>
        <w:b w:val="0"/>
        <w:i w:val="0"/>
        <w:color w:val="auto"/>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977747"/>
    <w:multiLevelType w:val="hybridMultilevel"/>
    <w:tmpl w:val="411063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AD85B3D"/>
    <w:multiLevelType w:val="hybridMultilevel"/>
    <w:tmpl w:val="B6E4EA5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175BC6"/>
    <w:multiLevelType w:val="hybridMultilevel"/>
    <w:tmpl w:val="48AA0C08"/>
    <w:lvl w:ilvl="0" w:tplc="FD60F6D0">
      <w:start w:val="1"/>
      <w:numFmt w:val="decimal"/>
      <w:lvlText w:val="%1."/>
      <w:lvlJc w:val="left"/>
      <w:pPr>
        <w:ind w:left="720" w:hanging="360"/>
      </w:pPr>
      <w:rPr>
        <w:rFonts w:hint="default"/>
        <w:b/>
        <w:bCs/>
      </w:r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81938608">
    <w:abstractNumId w:val="0"/>
  </w:num>
  <w:num w:numId="2" w16cid:durableId="907615106">
    <w:abstractNumId w:val="3"/>
  </w:num>
  <w:num w:numId="3" w16cid:durableId="983240871">
    <w:abstractNumId w:val="2"/>
  </w:num>
  <w:num w:numId="4" w16cid:durableId="729114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B2"/>
    <w:rsid w:val="0000053E"/>
    <w:rsid w:val="00005002"/>
    <w:rsid w:val="0000544A"/>
    <w:rsid w:val="000108A8"/>
    <w:rsid w:val="00014123"/>
    <w:rsid w:val="00017B4D"/>
    <w:rsid w:val="000264CE"/>
    <w:rsid w:val="00030692"/>
    <w:rsid w:val="000325E4"/>
    <w:rsid w:val="000368A1"/>
    <w:rsid w:val="00044405"/>
    <w:rsid w:val="00045BE9"/>
    <w:rsid w:val="000501FB"/>
    <w:rsid w:val="00050298"/>
    <w:rsid w:val="000514F7"/>
    <w:rsid w:val="00052DF2"/>
    <w:rsid w:val="000542C4"/>
    <w:rsid w:val="00054DC3"/>
    <w:rsid w:val="000553D5"/>
    <w:rsid w:val="000604EA"/>
    <w:rsid w:val="00060EC3"/>
    <w:rsid w:val="000635B3"/>
    <w:rsid w:val="00067AF2"/>
    <w:rsid w:val="0007064C"/>
    <w:rsid w:val="0007171F"/>
    <w:rsid w:val="000734BA"/>
    <w:rsid w:val="00075E77"/>
    <w:rsid w:val="00080B5F"/>
    <w:rsid w:val="00082082"/>
    <w:rsid w:val="00085D0A"/>
    <w:rsid w:val="00090A5C"/>
    <w:rsid w:val="00091C75"/>
    <w:rsid w:val="000946CC"/>
    <w:rsid w:val="000957CE"/>
    <w:rsid w:val="0009764F"/>
    <w:rsid w:val="000A493A"/>
    <w:rsid w:val="000A7434"/>
    <w:rsid w:val="000B12C9"/>
    <w:rsid w:val="000B365B"/>
    <w:rsid w:val="000B609E"/>
    <w:rsid w:val="000B671E"/>
    <w:rsid w:val="000B7B98"/>
    <w:rsid w:val="000C53E6"/>
    <w:rsid w:val="000C6E5F"/>
    <w:rsid w:val="000D2006"/>
    <w:rsid w:val="000D741D"/>
    <w:rsid w:val="000D7AC2"/>
    <w:rsid w:val="000E1A5F"/>
    <w:rsid w:val="000E3D32"/>
    <w:rsid w:val="000E50F1"/>
    <w:rsid w:val="00102400"/>
    <w:rsid w:val="00102977"/>
    <w:rsid w:val="00103715"/>
    <w:rsid w:val="00105EAF"/>
    <w:rsid w:val="00106E39"/>
    <w:rsid w:val="00124FEA"/>
    <w:rsid w:val="001320BE"/>
    <w:rsid w:val="00134310"/>
    <w:rsid w:val="00140021"/>
    <w:rsid w:val="0014112C"/>
    <w:rsid w:val="00142AD8"/>
    <w:rsid w:val="00142D90"/>
    <w:rsid w:val="00142E8D"/>
    <w:rsid w:val="00144401"/>
    <w:rsid w:val="001508AF"/>
    <w:rsid w:val="00152FB5"/>
    <w:rsid w:val="001533AD"/>
    <w:rsid w:val="00161B41"/>
    <w:rsid w:val="001641CB"/>
    <w:rsid w:val="00167451"/>
    <w:rsid w:val="001679A2"/>
    <w:rsid w:val="00174ABC"/>
    <w:rsid w:val="00180D1E"/>
    <w:rsid w:val="00181C85"/>
    <w:rsid w:val="00181CF3"/>
    <w:rsid w:val="0018314A"/>
    <w:rsid w:val="0018468F"/>
    <w:rsid w:val="00190C28"/>
    <w:rsid w:val="00193739"/>
    <w:rsid w:val="00193EC1"/>
    <w:rsid w:val="001A2128"/>
    <w:rsid w:val="001A34AF"/>
    <w:rsid w:val="001A41C5"/>
    <w:rsid w:val="001A4CB3"/>
    <w:rsid w:val="001A621B"/>
    <w:rsid w:val="001A7AB2"/>
    <w:rsid w:val="001B0484"/>
    <w:rsid w:val="001B397D"/>
    <w:rsid w:val="001C48ED"/>
    <w:rsid w:val="001D153B"/>
    <w:rsid w:val="001D3A54"/>
    <w:rsid w:val="001D63D1"/>
    <w:rsid w:val="001D731F"/>
    <w:rsid w:val="001E12CC"/>
    <w:rsid w:val="001E24A6"/>
    <w:rsid w:val="001E28ED"/>
    <w:rsid w:val="001E377B"/>
    <w:rsid w:val="001F012E"/>
    <w:rsid w:val="001F3F93"/>
    <w:rsid w:val="001F6580"/>
    <w:rsid w:val="002008D4"/>
    <w:rsid w:val="00202960"/>
    <w:rsid w:val="00204CB4"/>
    <w:rsid w:val="00206A09"/>
    <w:rsid w:val="002132B6"/>
    <w:rsid w:val="0022166A"/>
    <w:rsid w:val="002221AD"/>
    <w:rsid w:val="00226922"/>
    <w:rsid w:val="0023016D"/>
    <w:rsid w:val="002365B5"/>
    <w:rsid w:val="00237300"/>
    <w:rsid w:val="00241A44"/>
    <w:rsid w:val="00242ED2"/>
    <w:rsid w:val="00243383"/>
    <w:rsid w:val="00244607"/>
    <w:rsid w:val="002452F9"/>
    <w:rsid w:val="00247589"/>
    <w:rsid w:val="00255D74"/>
    <w:rsid w:val="002708F1"/>
    <w:rsid w:val="00272D0E"/>
    <w:rsid w:val="002760A9"/>
    <w:rsid w:val="00280CD1"/>
    <w:rsid w:val="00281F90"/>
    <w:rsid w:val="0028317A"/>
    <w:rsid w:val="00283CD3"/>
    <w:rsid w:val="00286D9D"/>
    <w:rsid w:val="00290BE4"/>
    <w:rsid w:val="00292D70"/>
    <w:rsid w:val="00294ACB"/>
    <w:rsid w:val="00295456"/>
    <w:rsid w:val="00296583"/>
    <w:rsid w:val="002A55FD"/>
    <w:rsid w:val="002C6D2E"/>
    <w:rsid w:val="002D1B6B"/>
    <w:rsid w:val="002D368F"/>
    <w:rsid w:val="002E3AE8"/>
    <w:rsid w:val="002E40DE"/>
    <w:rsid w:val="002E72EF"/>
    <w:rsid w:val="002E7B7F"/>
    <w:rsid w:val="002E7BB6"/>
    <w:rsid w:val="002F5D59"/>
    <w:rsid w:val="003022E4"/>
    <w:rsid w:val="003058E7"/>
    <w:rsid w:val="00305DAA"/>
    <w:rsid w:val="0030701C"/>
    <w:rsid w:val="00310E62"/>
    <w:rsid w:val="003158CD"/>
    <w:rsid w:val="0032218A"/>
    <w:rsid w:val="0032409B"/>
    <w:rsid w:val="00336845"/>
    <w:rsid w:val="003521AB"/>
    <w:rsid w:val="0035488F"/>
    <w:rsid w:val="0035713A"/>
    <w:rsid w:val="0036028C"/>
    <w:rsid w:val="00366F5C"/>
    <w:rsid w:val="0036704B"/>
    <w:rsid w:val="003677F6"/>
    <w:rsid w:val="0036795F"/>
    <w:rsid w:val="00376331"/>
    <w:rsid w:val="00382754"/>
    <w:rsid w:val="00390E71"/>
    <w:rsid w:val="0039385B"/>
    <w:rsid w:val="00395751"/>
    <w:rsid w:val="00397AEC"/>
    <w:rsid w:val="003A63F6"/>
    <w:rsid w:val="003B552E"/>
    <w:rsid w:val="003B7758"/>
    <w:rsid w:val="003C4CA8"/>
    <w:rsid w:val="003C57FB"/>
    <w:rsid w:val="003D0235"/>
    <w:rsid w:val="003D3DFD"/>
    <w:rsid w:val="003D42D1"/>
    <w:rsid w:val="003D43F1"/>
    <w:rsid w:val="003D4627"/>
    <w:rsid w:val="003E01DB"/>
    <w:rsid w:val="003E027E"/>
    <w:rsid w:val="003E0B6A"/>
    <w:rsid w:val="003E6CF5"/>
    <w:rsid w:val="003F0DCF"/>
    <w:rsid w:val="003F254F"/>
    <w:rsid w:val="00407017"/>
    <w:rsid w:val="00412890"/>
    <w:rsid w:val="00416225"/>
    <w:rsid w:val="00421C9E"/>
    <w:rsid w:val="0043130B"/>
    <w:rsid w:val="004365C8"/>
    <w:rsid w:val="00444F03"/>
    <w:rsid w:val="00445E6C"/>
    <w:rsid w:val="00452726"/>
    <w:rsid w:val="00453809"/>
    <w:rsid w:val="00465406"/>
    <w:rsid w:val="00467BBD"/>
    <w:rsid w:val="004717C9"/>
    <w:rsid w:val="004824BA"/>
    <w:rsid w:val="004836E7"/>
    <w:rsid w:val="0048602E"/>
    <w:rsid w:val="004860D7"/>
    <w:rsid w:val="00494B67"/>
    <w:rsid w:val="00497BB2"/>
    <w:rsid w:val="004A0F45"/>
    <w:rsid w:val="004A14E4"/>
    <w:rsid w:val="004A3A32"/>
    <w:rsid w:val="004A46FE"/>
    <w:rsid w:val="004A4DF2"/>
    <w:rsid w:val="004A7F44"/>
    <w:rsid w:val="004B0D24"/>
    <w:rsid w:val="004B23E2"/>
    <w:rsid w:val="004B3258"/>
    <w:rsid w:val="004B531D"/>
    <w:rsid w:val="004B6058"/>
    <w:rsid w:val="004C1475"/>
    <w:rsid w:val="004C51CF"/>
    <w:rsid w:val="004C72B9"/>
    <w:rsid w:val="004D1388"/>
    <w:rsid w:val="004D5DC8"/>
    <w:rsid w:val="004D7FAA"/>
    <w:rsid w:val="004E00F8"/>
    <w:rsid w:val="004E199F"/>
    <w:rsid w:val="004F3268"/>
    <w:rsid w:val="004F3463"/>
    <w:rsid w:val="004F5EAE"/>
    <w:rsid w:val="004F64A8"/>
    <w:rsid w:val="004F65C9"/>
    <w:rsid w:val="004F6914"/>
    <w:rsid w:val="004F6F95"/>
    <w:rsid w:val="0050574D"/>
    <w:rsid w:val="00507F66"/>
    <w:rsid w:val="005123FD"/>
    <w:rsid w:val="005125D1"/>
    <w:rsid w:val="00513F4F"/>
    <w:rsid w:val="005146B0"/>
    <w:rsid w:val="00517448"/>
    <w:rsid w:val="00520B07"/>
    <w:rsid w:val="005238C8"/>
    <w:rsid w:val="00527B4E"/>
    <w:rsid w:val="0054015D"/>
    <w:rsid w:val="00544A3D"/>
    <w:rsid w:val="00544D48"/>
    <w:rsid w:val="0054650F"/>
    <w:rsid w:val="0054719C"/>
    <w:rsid w:val="00547F4D"/>
    <w:rsid w:val="005512D1"/>
    <w:rsid w:val="00551C34"/>
    <w:rsid w:val="00553F25"/>
    <w:rsid w:val="005560E5"/>
    <w:rsid w:val="00556457"/>
    <w:rsid w:val="00557B0F"/>
    <w:rsid w:val="0056099B"/>
    <w:rsid w:val="005637A5"/>
    <w:rsid w:val="005643B4"/>
    <w:rsid w:val="00564DFE"/>
    <w:rsid w:val="00565BC1"/>
    <w:rsid w:val="005714D9"/>
    <w:rsid w:val="005716B7"/>
    <w:rsid w:val="005729DA"/>
    <w:rsid w:val="005752DD"/>
    <w:rsid w:val="005777E2"/>
    <w:rsid w:val="00584D39"/>
    <w:rsid w:val="005913A9"/>
    <w:rsid w:val="005933FE"/>
    <w:rsid w:val="005958C3"/>
    <w:rsid w:val="0059626D"/>
    <w:rsid w:val="00596997"/>
    <w:rsid w:val="005A0692"/>
    <w:rsid w:val="005A3157"/>
    <w:rsid w:val="005A3299"/>
    <w:rsid w:val="005A737C"/>
    <w:rsid w:val="005B25BF"/>
    <w:rsid w:val="005B4689"/>
    <w:rsid w:val="005B611B"/>
    <w:rsid w:val="005C1195"/>
    <w:rsid w:val="005C37D8"/>
    <w:rsid w:val="005E0F09"/>
    <w:rsid w:val="005E10F3"/>
    <w:rsid w:val="005E4361"/>
    <w:rsid w:val="005E5F83"/>
    <w:rsid w:val="005F05CA"/>
    <w:rsid w:val="005F1339"/>
    <w:rsid w:val="005F269F"/>
    <w:rsid w:val="005F4885"/>
    <w:rsid w:val="005F5C9B"/>
    <w:rsid w:val="00600A1B"/>
    <w:rsid w:val="0060157A"/>
    <w:rsid w:val="00603333"/>
    <w:rsid w:val="00605B10"/>
    <w:rsid w:val="00611738"/>
    <w:rsid w:val="00622BA9"/>
    <w:rsid w:val="00623ACD"/>
    <w:rsid w:val="00625B03"/>
    <w:rsid w:val="00627629"/>
    <w:rsid w:val="00630BD9"/>
    <w:rsid w:val="006360EB"/>
    <w:rsid w:val="0063642B"/>
    <w:rsid w:val="00644590"/>
    <w:rsid w:val="0064503B"/>
    <w:rsid w:val="006474A9"/>
    <w:rsid w:val="00653214"/>
    <w:rsid w:val="006563E6"/>
    <w:rsid w:val="00661633"/>
    <w:rsid w:val="00662766"/>
    <w:rsid w:val="00664578"/>
    <w:rsid w:val="00666962"/>
    <w:rsid w:val="006677DE"/>
    <w:rsid w:val="006712D8"/>
    <w:rsid w:val="00671E06"/>
    <w:rsid w:val="006732FB"/>
    <w:rsid w:val="00680393"/>
    <w:rsid w:val="006831E0"/>
    <w:rsid w:val="00692317"/>
    <w:rsid w:val="006933D1"/>
    <w:rsid w:val="00697861"/>
    <w:rsid w:val="006A1BB0"/>
    <w:rsid w:val="006A615E"/>
    <w:rsid w:val="006B0877"/>
    <w:rsid w:val="006B65BD"/>
    <w:rsid w:val="006B6DC6"/>
    <w:rsid w:val="006C2918"/>
    <w:rsid w:val="006C4E14"/>
    <w:rsid w:val="006C6315"/>
    <w:rsid w:val="006D089A"/>
    <w:rsid w:val="006D1A4B"/>
    <w:rsid w:val="006D1C9C"/>
    <w:rsid w:val="006E1BE6"/>
    <w:rsid w:val="006E49C8"/>
    <w:rsid w:val="006E5E25"/>
    <w:rsid w:val="006E7699"/>
    <w:rsid w:val="00702AA5"/>
    <w:rsid w:val="00702F1B"/>
    <w:rsid w:val="007056B0"/>
    <w:rsid w:val="00707331"/>
    <w:rsid w:val="007112F6"/>
    <w:rsid w:val="00712C57"/>
    <w:rsid w:val="00712E78"/>
    <w:rsid w:val="00714EEA"/>
    <w:rsid w:val="007164EB"/>
    <w:rsid w:val="00721E94"/>
    <w:rsid w:val="0072224A"/>
    <w:rsid w:val="0072283F"/>
    <w:rsid w:val="00722950"/>
    <w:rsid w:val="00726466"/>
    <w:rsid w:val="007307FA"/>
    <w:rsid w:val="007317A3"/>
    <w:rsid w:val="00733006"/>
    <w:rsid w:val="00735C90"/>
    <w:rsid w:val="00742F29"/>
    <w:rsid w:val="00746808"/>
    <w:rsid w:val="00750046"/>
    <w:rsid w:val="00754EB1"/>
    <w:rsid w:val="007554B8"/>
    <w:rsid w:val="00757BDB"/>
    <w:rsid w:val="007614AA"/>
    <w:rsid w:val="00765958"/>
    <w:rsid w:val="00767F85"/>
    <w:rsid w:val="00772A3D"/>
    <w:rsid w:val="007804D5"/>
    <w:rsid w:val="00783E23"/>
    <w:rsid w:val="0079083B"/>
    <w:rsid w:val="00790C6F"/>
    <w:rsid w:val="00794CA5"/>
    <w:rsid w:val="00794D06"/>
    <w:rsid w:val="007965E7"/>
    <w:rsid w:val="007A1479"/>
    <w:rsid w:val="007A2C13"/>
    <w:rsid w:val="007A51E6"/>
    <w:rsid w:val="007A58E1"/>
    <w:rsid w:val="007A7972"/>
    <w:rsid w:val="007A7F3A"/>
    <w:rsid w:val="007B1010"/>
    <w:rsid w:val="007B3E41"/>
    <w:rsid w:val="007B63BF"/>
    <w:rsid w:val="007C2A9C"/>
    <w:rsid w:val="007C3CBC"/>
    <w:rsid w:val="007E2CBF"/>
    <w:rsid w:val="007E4B5E"/>
    <w:rsid w:val="007E61B6"/>
    <w:rsid w:val="007F2292"/>
    <w:rsid w:val="007F7AB2"/>
    <w:rsid w:val="008000B4"/>
    <w:rsid w:val="00807D73"/>
    <w:rsid w:val="008125A1"/>
    <w:rsid w:val="00820CFA"/>
    <w:rsid w:val="00824CB5"/>
    <w:rsid w:val="00827B64"/>
    <w:rsid w:val="008305A4"/>
    <w:rsid w:val="00833776"/>
    <w:rsid w:val="00841803"/>
    <w:rsid w:val="00853C65"/>
    <w:rsid w:val="00855FC4"/>
    <w:rsid w:val="00861948"/>
    <w:rsid w:val="00863F42"/>
    <w:rsid w:val="00865F8F"/>
    <w:rsid w:val="008662AA"/>
    <w:rsid w:val="00866AF8"/>
    <w:rsid w:val="00867801"/>
    <w:rsid w:val="00871201"/>
    <w:rsid w:val="00871A6D"/>
    <w:rsid w:val="00872344"/>
    <w:rsid w:val="00883107"/>
    <w:rsid w:val="00884451"/>
    <w:rsid w:val="008867E0"/>
    <w:rsid w:val="008952C5"/>
    <w:rsid w:val="0089676C"/>
    <w:rsid w:val="00897D0E"/>
    <w:rsid w:val="008A0B53"/>
    <w:rsid w:val="008A3B3C"/>
    <w:rsid w:val="008A432F"/>
    <w:rsid w:val="008B073E"/>
    <w:rsid w:val="008B11EA"/>
    <w:rsid w:val="008B5E15"/>
    <w:rsid w:val="008C4A8C"/>
    <w:rsid w:val="008D680B"/>
    <w:rsid w:val="008E7BE6"/>
    <w:rsid w:val="008F1FCD"/>
    <w:rsid w:val="008F2312"/>
    <w:rsid w:val="008F2F7F"/>
    <w:rsid w:val="008F5266"/>
    <w:rsid w:val="008F57A3"/>
    <w:rsid w:val="00904B82"/>
    <w:rsid w:val="0090532B"/>
    <w:rsid w:val="00906A90"/>
    <w:rsid w:val="00911D89"/>
    <w:rsid w:val="009139FD"/>
    <w:rsid w:val="0091487C"/>
    <w:rsid w:val="00917B16"/>
    <w:rsid w:val="00921E42"/>
    <w:rsid w:val="009253A0"/>
    <w:rsid w:val="009277F1"/>
    <w:rsid w:val="009279BD"/>
    <w:rsid w:val="0094046E"/>
    <w:rsid w:val="00942E80"/>
    <w:rsid w:val="009443D2"/>
    <w:rsid w:val="00944A21"/>
    <w:rsid w:val="009462EE"/>
    <w:rsid w:val="00946C44"/>
    <w:rsid w:val="0095621C"/>
    <w:rsid w:val="00956BAC"/>
    <w:rsid w:val="00957107"/>
    <w:rsid w:val="00971929"/>
    <w:rsid w:val="009737CF"/>
    <w:rsid w:val="00974525"/>
    <w:rsid w:val="00974F77"/>
    <w:rsid w:val="009834DD"/>
    <w:rsid w:val="009842A4"/>
    <w:rsid w:val="00985850"/>
    <w:rsid w:val="00991B2B"/>
    <w:rsid w:val="00993C53"/>
    <w:rsid w:val="00994A33"/>
    <w:rsid w:val="009A059F"/>
    <w:rsid w:val="009A1796"/>
    <w:rsid w:val="009A2295"/>
    <w:rsid w:val="009A22BD"/>
    <w:rsid w:val="009A63B1"/>
    <w:rsid w:val="009A70AD"/>
    <w:rsid w:val="009B4F4A"/>
    <w:rsid w:val="009C2294"/>
    <w:rsid w:val="009C6086"/>
    <w:rsid w:val="009C63FF"/>
    <w:rsid w:val="009C724E"/>
    <w:rsid w:val="009E21C8"/>
    <w:rsid w:val="009E376D"/>
    <w:rsid w:val="009E5D78"/>
    <w:rsid w:val="009F2BDB"/>
    <w:rsid w:val="009F329E"/>
    <w:rsid w:val="009F431A"/>
    <w:rsid w:val="00A02BDD"/>
    <w:rsid w:val="00A03B5F"/>
    <w:rsid w:val="00A0607A"/>
    <w:rsid w:val="00A07B1E"/>
    <w:rsid w:val="00A1044C"/>
    <w:rsid w:val="00A104D6"/>
    <w:rsid w:val="00A12670"/>
    <w:rsid w:val="00A12DF6"/>
    <w:rsid w:val="00A12E75"/>
    <w:rsid w:val="00A424D3"/>
    <w:rsid w:val="00A44D88"/>
    <w:rsid w:val="00A45A3B"/>
    <w:rsid w:val="00A53418"/>
    <w:rsid w:val="00A539C0"/>
    <w:rsid w:val="00A54B79"/>
    <w:rsid w:val="00A62695"/>
    <w:rsid w:val="00A71A81"/>
    <w:rsid w:val="00A735B5"/>
    <w:rsid w:val="00A741A0"/>
    <w:rsid w:val="00A74B74"/>
    <w:rsid w:val="00A82574"/>
    <w:rsid w:val="00A84FED"/>
    <w:rsid w:val="00A854DA"/>
    <w:rsid w:val="00A86A4B"/>
    <w:rsid w:val="00A876F9"/>
    <w:rsid w:val="00A90EF1"/>
    <w:rsid w:val="00A9267A"/>
    <w:rsid w:val="00A97E23"/>
    <w:rsid w:val="00AA244B"/>
    <w:rsid w:val="00AA4448"/>
    <w:rsid w:val="00AA6B33"/>
    <w:rsid w:val="00AB0B98"/>
    <w:rsid w:val="00AC0C33"/>
    <w:rsid w:val="00AC3568"/>
    <w:rsid w:val="00AC6814"/>
    <w:rsid w:val="00AC7383"/>
    <w:rsid w:val="00AD3C01"/>
    <w:rsid w:val="00AE484B"/>
    <w:rsid w:val="00AF22AA"/>
    <w:rsid w:val="00B13F4C"/>
    <w:rsid w:val="00B154CD"/>
    <w:rsid w:val="00B2397E"/>
    <w:rsid w:val="00B35753"/>
    <w:rsid w:val="00B37E7E"/>
    <w:rsid w:val="00B44C38"/>
    <w:rsid w:val="00B47FD3"/>
    <w:rsid w:val="00B51207"/>
    <w:rsid w:val="00B5390B"/>
    <w:rsid w:val="00B54DBD"/>
    <w:rsid w:val="00B56CBB"/>
    <w:rsid w:val="00B63FF8"/>
    <w:rsid w:val="00B64401"/>
    <w:rsid w:val="00B65690"/>
    <w:rsid w:val="00B65F94"/>
    <w:rsid w:val="00B810FD"/>
    <w:rsid w:val="00B843AB"/>
    <w:rsid w:val="00B914C4"/>
    <w:rsid w:val="00B93778"/>
    <w:rsid w:val="00B93E27"/>
    <w:rsid w:val="00BA03B5"/>
    <w:rsid w:val="00BA0BB6"/>
    <w:rsid w:val="00BA48B5"/>
    <w:rsid w:val="00BB18E0"/>
    <w:rsid w:val="00BD1084"/>
    <w:rsid w:val="00BE1DA4"/>
    <w:rsid w:val="00BF17F1"/>
    <w:rsid w:val="00BF7D1A"/>
    <w:rsid w:val="00C07962"/>
    <w:rsid w:val="00C07E54"/>
    <w:rsid w:val="00C15A0F"/>
    <w:rsid w:val="00C15A8B"/>
    <w:rsid w:val="00C17B8F"/>
    <w:rsid w:val="00C17C6E"/>
    <w:rsid w:val="00C252A9"/>
    <w:rsid w:val="00C3256C"/>
    <w:rsid w:val="00C32C73"/>
    <w:rsid w:val="00C409B8"/>
    <w:rsid w:val="00C43039"/>
    <w:rsid w:val="00C44297"/>
    <w:rsid w:val="00C5274E"/>
    <w:rsid w:val="00C5469E"/>
    <w:rsid w:val="00C620B7"/>
    <w:rsid w:val="00C63DB0"/>
    <w:rsid w:val="00C6476B"/>
    <w:rsid w:val="00C71246"/>
    <w:rsid w:val="00C72989"/>
    <w:rsid w:val="00C812F4"/>
    <w:rsid w:val="00C81BF9"/>
    <w:rsid w:val="00C828C2"/>
    <w:rsid w:val="00C84F85"/>
    <w:rsid w:val="00C862E0"/>
    <w:rsid w:val="00C86844"/>
    <w:rsid w:val="00C87741"/>
    <w:rsid w:val="00C9528E"/>
    <w:rsid w:val="00CA63FB"/>
    <w:rsid w:val="00CB77C0"/>
    <w:rsid w:val="00CC2E2F"/>
    <w:rsid w:val="00CC3A98"/>
    <w:rsid w:val="00CD1D94"/>
    <w:rsid w:val="00CD2C0D"/>
    <w:rsid w:val="00CD4778"/>
    <w:rsid w:val="00CD5B2D"/>
    <w:rsid w:val="00CE52E7"/>
    <w:rsid w:val="00CE76F3"/>
    <w:rsid w:val="00CF1354"/>
    <w:rsid w:val="00CF1BF2"/>
    <w:rsid w:val="00CF2059"/>
    <w:rsid w:val="00CF2366"/>
    <w:rsid w:val="00CF3A21"/>
    <w:rsid w:val="00CF3B4A"/>
    <w:rsid w:val="00CF6BBB"/>
    <w:rsid w:val="00D02C68"/>
    <w:rsid w:val="00D04575"/>
    <w:rsid w:val="00D20077"/>
    <w:rsid w:val="00D20247"/>
    <w:rsid w:val="00D20248"/>
    <w:rsid w:val="00D23186"/>
    <w:rsid w:val="00D26A40"/>
    <w:rsid w:val="00D32CE2"/>
    <w:rsid w:val="00D3426A"/>
    <w:rsid w:val="00D3463A"/>
    <w:rsid w:val="00D36234"/>
    <w:rsid w:val="00D3750C"/>
    <w:rsid w:val="00D404F7"/>
    <w:rsid w:val="00D42AC7"/>
    <w:rsid w:val="00D4303F"/>
    <w:rsid w:val="00D50DDC"/>
    <w:rsid w:val="00D52E86"/>
    <w:rsid w:val="00D633F5"/>
    <w:rsid w:val="00D67176"/>
    <w:rsid w:val="00D74DAB"/>
    <w:rsid w:val="00D80442"/>
    <w:rsid w:val="00D91228"/>
    <w:rsid w:val="00DA1202"/>
    <w:rsid w:val="00DA3A2B"/>
    <w:rsid w:val="00DA6B8E"/>
    <w:rsid w:val="00DB51CB"/>
    <w:rsid w:val="00DB70F4"/>
    <w:rsid w:val="00DC1EE4"/>
    <w:rsid w:val="00DC242C"/>
    <w:rsid w:val="00DC36D5"/>
    <w:rsid w:val="00DC6F69"/>
    <w:rsid w:val="00DD0455"/>
    <w:rsid w:val="00DD352C"/>
    <w:rsid w:val="00DD4EEE"/>
    <w:rsid w:val="00DD5BDA"/>
    <w:rsid w:val="00DE0B62"/>
    <w:rsid w:val="00DE3B29"/>
    <w:rsid w:val="00DE4CF8"/>
    <w:rsid w:val="00DE77DF"/>
    <w:rsid w:val="00DF0774"/>
    <w:rsid w:val="00DF384C"/>
    <w:rsid w:val="00DF3DC9"/>
    <w:rsid w:val="00DF73E8"/>
    <w:rsid w:val="00E028CF"/>
    <w:rsid w:val="00E0578E"/>
    <w:rsid w:val="00E116C3"/>
    <w:rsid w:val="00E21EB0"/>
    <w:rsid w:val="00E22969"/>
    <w:rsid w:val="00E254FB"/>
    <w:rsid w:val="00E277CD"/>
    <w:rsid w:val="00E302E2"/>
    <w:rsid w:val="00E320F1"/>
    <w:rsid w:val="00E33066"/>
    <w:rsid w:val="00E3666F"/>
    <w:rsid w:val="00E430B6"/>
    <w:rsid w:val="00E43E71"/>
    <w:rsid w:val="00E4446B"/>
    <w:rsid w:val="00E4491E"/>
    <w:rsid w:val="00E45F7B"/>
    <w:rsid w:val="00E52482"/>
    <w:rsid w:val="00E766DC"/>
    <w:rsid w:val="00E76E79"/>
    <w:rsid w:val="00E83C17"/>
    <w:rsid w:val="00E87737"/>
    <w:rsid w:val="00E94C2B"/>
    <w:rsid w:val="00EA1E2A"/>
    <w:rsid w:val="00EA59AC"/>
    <w:rsid w:val="00EA5A8F"/>
    <w:rsid w:val="00EA741A"/>
    <w:rsid w:val="00EB64E0"/>
    <w:rsid w:val="00EC249D"/>
    <w:rsid w:val="00EC2AF2"/>
    <w:rsid w:val="00EC3887"/>
    <w:rsid w:val="00EC4131"/>
    <w:rsid w:val="00EC434F"/>
    <w:rsid w:val="00EC6208"/>
    <w:rsid w:val="00ED5B1E"/>
    <w:rsid w:val="00ED6DD2"/>
    <w:rsid w:val="00EE3B30"/>
    <w:rsid w:val="00EE4042"/>
    <w:rsid w:val="00EE5B7B"/>
    <w:rsid w:val="00EF1054"/>
    <w:rsid w:val="00EF7407"/>
    <w:rsid w:val="00EF75EC"/>
    <w:rsid w:val="00F015BC"/>
    <w:rsid w:val="00F04EF3"/>
    <w:rsid w:val="00F10DBD"/>
    <w:rsid w:val="00F139B3"/>
    <w:rsid w:val="00F21409"/>
    <w:rsid w:val="00F23EFF"/>
    <w:rsid w:val="00F27AE1"/>
    <w:rsid w:val="00F3131A"/>
    <w:rsid w:val="00F33578"/>
    <w:rsid w:val="00F35801"/>
    <w:rsid w:val="00F3754E"/>
    <w:rsid w:val="00F43359"/>
    <w:rsid w:val="00F63635"/>
    <w:rsid w:val="00F647EE"/>
    <w:rsid w:val="00F64FF3"/>
    <w:rsid w:val="00F74988"/>
    <w:rsid w:val="00F77172"/>
    <w:rsid w:val="00F87610"/>
    <w:rsid w:val="00F9025F"/>
    <w:rsid w:val="00F91D91"/>
    <w:rsid w:val="00F951E1"/>
    <w:rsid w:val="00F95772"/>
    <w:rsid w:val="00FA16A8"/>
    <w:rsid w:val="00FA602B"/>
    <w:rsid w:val="00FB5301"/>
    <w:rsid w:val="00FC11F9"/>
    <w:rsid w:val="00FC5172"/>
    <w:rsid w:val="00FD1847"/>
    <w:rsid w:val="00FD27A0"/>
    <w:rsid w:val="00FD5B68"/>
    <w:rsid w:val="00FD7F45"/>
    <w:rsid w:val="00FE02EF"/>
    <w:rsid w:val="00FE2017"/>
    <w:rsid w:val="00FE3B8B"/>
    <w:rsid w:val="00FE52F9"/>
    <w:rsid w:val="00FF2264"/>
    <w:rsid w:val="00FF3725"/>
    <w:rsid w:val="00FF69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BB72"/>
  <w15:chartTrackingRefBased/>
  <w15:docId w15:val="{EEABE206-FE58-B44A-9437-DA92E481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AB2"/>
    <w:pPr>
      <w:spacing w:after="160" w:line="259"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Stinking Styles12, Char,Char,Char Char6"/>
    <w:basedOn w:val="Normal"/>
    <w:link w:val="TextodenotaderodapChar"/>
    <w:uiPriority w:val="99"/>
    <w:unhideWhenUsed/>
    <w:qFormat/>
    <w:rsid w:val="00D02C68"/>
    <w:pPr>
      <w:spacing w:after="0" w:line="240" w:lineRule="auto"/>
    </w:pPr>
    <w:rPr>
      <w:sz w:val="20"/>
      <w:szCs w:val="20"/>
    </w:rPr>
  </w:style>
  <w:style w:type="character" w:customStyle="1" w:styleId="TextodenotaderodapChar">
    <w:name w:val="Texto de nota de rodapé Char"/>
    <w:aliases w:val="Stinking Styles12 Char, Char Char,Char Char,Char Char6 Char"/>
    <w:basedOn w:val="Fontepargpadro"/>
    <w:link w:val="Textodenotaderodap"/>
    <w:uiPriority w:val="99"/>
    <w:qFormat/>
    <w:rsid w:val="00D02C68"/>
    <w:rPr>
      <w:sz w:val="20"/>
      <w:szCs w:val="20"/>
    </w:rPr>
  </w:style>
  <w:style w:type="character" w:styleId="Refdenotaderodap">
    <w:name w:val="footnote reference"/>
    <w:aliases w:val="sobrescrito,000b,Ref,de nota al pie,fr,(NECG) Footnote Reference,FC,Nota de rodapé LRB,Stinking Styles13"/>
    <w:basedOn w:val="Fontepargpadro"/>
    <w:uiPriority w:val="99"/>
    <w:unhideWhenUsed/>
    <w:qFormat/>
    <w:rsid w:val="00D02C68"/>
    <w:rPr>
      <w:vertAlign w:val="superscript"/>
    </w:rPr>
  </w:style>
  <w:style w:type="paragraph" w:styleId="PargrafodaLista">
    <w:name w:val="List Paragraph"/>
    <w:basedOn w:val="Normal"/>
    <w:uiPriority w:val="34"/>
    <w:qFormat/>
    <w:rsid w:val="00B56CBB"/>
    <w:pPr>
      <w:ind w:left="720"/>
      <w:contextualSpacing/>
    </w:pPr>
  </w:style>
  <w:style w:type="character" w:styleId="Hyperlink">
    <w:name w:val="Hyperlink"/>
    <w:basedOn w:val="Fontepargpadro"/>
    <w:uiPriority w:val="99"/>
    <w:unhideWhenUsed/>
    <w:rsid w:val="00C43039"/>
    <w:rPr>
      <w:color w:val="0563C1" w:themeColor="hyperlink"/>
      <w:u w:val="single"/>
    </w:rPr>
  </w:style>
  <w:style w:type="character" w:styleId="MenoPendente">
    <w:name w:val="Unresolved Mention"/>
    <w:basedOn w:val="Fontepargpadro"/>
    <w:uiPriority w:val="99"/>
    <w:semiHidden/>
    <w:unhideWhenUsed/>
    <w:rsid w:val="00C43039"/>
    <w:rPr>
      <w:color w:val="605E5C"/>
      <w:shd w:val="clear" w:color="auto" w:fill="E1DFDD"/>
    </w:rPr>
  </w:style>
  <w:style w:type="paragraph" w:styleId="Textodenotadefim">
    <w:name w:val="endnote text"/>
    <w:basedOn w:val="Normal"/>
    <w:link w:val="TextodenotadefimChar"/>
    <w:uiPriority w:val="99"/>
    <w:semiHidden/>
    <w:unhideWhenUsed/>
    <w:rsid w:val="00794CA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94CA5"/>
    <w:rPr>
      <w:sz w:val="20"/>
      <w:szCs w:val="20"/>
    </w:rPr>
  </w:style>
  <w:style w:type="character" w:styleId="Refdenotadefim">
    <w:name w:val="endnote reference"/>
    <w:basedOn w:val="Fontepargpadro"/>
    <w:uiPriority w:val="99"/>
    <w:semiHidden/>
    <w:unhideWhenUsed/>
    <w:rsid w:val="00794CA5"/>
    <w:rPr>
      <w:vertAlign w:val="superscript"/>
    </w:rPr>
  </w:style>
  <w:style w:type="paragraph" w:styleId="Reviso">
    <w:name w:val="Revision"/>
    <w:hidden/>
    <w:uiPriority w:val="99"/>
    <w:semiHidden/>
    <w:rsid w:val="007F2292"/>
    <w:rPr>
      <w:sz w:val="22"/>
      <w:szCs w:val="22"/>
    </w:rPr>
  </w:style>
  <w:style w:type="character" w:styleId="Refdecomentrio">
    <w:name w:val="annotation reference"/>
    <w:basedOn w:val="Fontepargpadro"/>
    <w:uiPriority w:val="99"/>
    <w:semiHidden/>
    <w:unhideWhenUsed/>
    <w:rsid w:val="00CC3A98"/>
    <w:rPr>
      <w:sz w:val="16"/>
      <w:szCs w:val="16"/>
    </w:rPr>
  </w:style>
  <w:style w:type="paragraph" w:styleId="Textodecomentrio">
    <w:name w:val="annotation text"/>
    <w:basedOn w:val="Normal"/>
    <w:link w:val="TextodecomentrioChar"/>
    <w:uiPriority w:val="99"/>
    <w:unhideWhenUsed/>
    <w:rsid w:val="00CC3A98"/>
    <w:pPr>
      <w:spacing w:line="240" w:lineRule="auto"/>
    </w:pPr>
    <w:rPr>
      <w:sz w:val="20"/>
      <w:szCs w:val="20"/>
    </w:rPr>
  </w:style>
  <w:style w:type="character" w:customStyle="1" w:styleId="TextodecomentrioChar">
    <w:name w:val="Texto de comentário Char"/>
    <w:basedOn w:val="Fontepargpadro"/>
    <w:link w:val="Textodecomentrio"/>
    <w:uiPriority w:val="99"/>
    <w:rsid w:val="00CC3A98"/>
    <w:rPr>
      <w:sz w:val="20"/>
      <w:szCs w:val="20"/>
    </w:rPr>
  </w:style>
  <w:style w:type="paragraph" w:styleId="Assuntodocomentrio">
    <w:name w:val="annotation subject"/>
    <w:basedOn w:val="Textodecomentrio"/>
    <w:next w:val="Textodecomentrio"/>
    <w:link w:val="AssuntodocomentrioChar"/>
    <w:uiPriority w:val="99"/>
    <w:semiHidden/>
    <w:unhideWhenUsed/>
    <w:rsid w:val="00CC3A98"/>
    <w:rPr>
      <w:b/>
      <w:bCs/>
    </w:rPr>
  </w:style>
  <w:style w:type="character" w:customStyle="1" w:styleId="AssuntodocomentrioChar">
    <w:name w:val="Assunto do comentário Char"/>
    <w:basedOn w:val="TextodecomentrioChar"/>
    <w:link w:val="Assuntodocomentrio"/>
    <w:uiPriority w:val="99"/>
    <w:semiHidden/>
    <w:rsid w:val="00CC3A98"/>
    <w:rPr>
      <w:b/>
      <w:bCs/>
      <w:sz w:val="20"/>
      <w:szCs w:val="20"/>
    </w:rPr>
  </w:style>
  <w:style w:type="paragraph" w:styleId="Cabealho">
    <w:name w:val="header"/>
    <w:basedOn w:val="Normal"/>
    <w:link w:val="CabealhoChar"/>
    <w:uiPriority w:val="99"/>
    <w:unhideWhenUsed/>
    <w:rsid w:val="00152F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2FB5"/>
    <w:rPr>
      <w:sz w:val="22"/>
      <w:szCs w:val="22"/>
    </w:rPr>
  </w:style>
  <w:style w:type="paragraph" w:styleId="Rodap">
    <w:name w:val="footer"/>
    <w:basedOn w:val="Normal"/>
    <w:link w:val="RodapChar"/>
    <w:uiPriority w:val="99"/>
    <w:unhideWhenUsed/>
    <w:rsid w:val="00152FB5"/>
    <w:pPr>
      <w:tabs>
        <w:tab w:val="center" w:pos="4252"/>
        <w:tab w:val="right" w:pos="8504"/>
      </w:tabs>
      <w:spacing w:after="0" w:line="240" w:lineRule="auto"/>
    </w:pPr>
  </w:style>
  <w:style w:type="character" w:customStyle="1" w:styleId="RodapChar">
    <w:name w:val="Rodapé Char"/>
    <w:basedOn w:val="Fontepargpadro"/>
    <w:link w:val="Rodap"/>
    <w:uiPriority w:val="99"/>
    <w:rsid w:val="00152FB5"/>
    <w:rPr>
      <w:sz w:val="22"/>
      <w:szCs w:val="22"/>
    </w:rPr>
  </w:style>
  <w:style w:type="paragraph" w:customStyle="1" w:styleId="Default">
    <w:name w:val="Default"/>
    <w:rsid w:val="004F3463"/>
    <w:pPr>
      <w:autoSpaceDE w:val="0"/>
      <w:autoSpaceDN w:val="0"/>
      <w:adjustRightInd w:val="0"/>
    </w:pPr>
    <w:rPr>
      <w:rFonts w:ascii="Arial" w:hAnsi="Arial" w:cs="Arial"/>
      <w:color w:val="000000"/>
    </w:rPr>
  </w:style>
  <w:style w:type="paragraph" w:styleId="Textodebalo">
    <w:name w:val="Balloon Text"/>
    <w:basedOn w:val="Normal"/>
    <w:link w:val="TextodebaloChar"/>
    <w:uiPriority w:val="99"/>
    <w:semiHidden/>
    <w:unhideWhenUsed/>
    <w:rsid w:val="00BD10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D1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08389">
      <w:bodyDiv w:val="1"/>
      <w:marLeft w:val="0"/>
      <w:marRight w:val="0"/>
      <w:marTop w:val="0"/>
      <w:marBottom w:val="0"/>
      <w:divBdr>
        <w:top w:val="none" w:sz="0" w:space="0" w:color="auto"/>
        <w:left w:val="none" w:sz="0" w:space="0" w:color="auto"/>
        <w:bottom w:val="none" w:sz="0" w:space="0" w:color="auto"/>
        <w:right w:val="none" w:sz="0" w:space="0" w:color="auto"/>
      </w:divBdr>
    </w:div>
    <w:div w:id="1047988714">
      <w:bodyDiv w:val="1"/>
      <w:marLeft w:val="0"/>
      <w:marRight w:val="0"/>
      <w:marTop w:val="0"/>
      <w:marBottom w:val="0"/>
      <w:divBdr>
        <w:top w:val="none" w:sz="0" w:space="0" w:color="auto"/>
        <w:left w:val="none" w:sz="0" w:space="0" w:color="auto"/>
        <w:bottom w:val="none" w:sz="0" w:space="0" w:color="auto"/>
        <w:right w:val="none" w:sz="0" w:space="0" w:color="auto"/>
      </w:divBdr>
      <w:divsChild>
        <w:div w:id="1856652968">
          <w:marLeft w:val="0"/>
          <w:marRight w:val="0"/>
          <w:marTop w:val="0"/>
          <w:marBottom w:val="0"/>
          <w:divBdr>
            <w:top w:val="none" w:sz="0" w:space="0" w:color="auto"/>
            <w:left w:val="none" w:sz="0" w:space="0" w:color="auto"/>
            <w:bottom w:val="none" w:sz="0" w:space="0" w:color="auto"/>
            <w:right w:val="none" w:sz="0" w:space="0" w:color="auto"/>
          </w:divBdr>
          <w:divsChild>
            <w:div w:id="1536652219">
              <w:marLeft w:val="0"/>
              <w:marRight w:val="0"/>
              <w:marTop w:val="0"/>
              <w:marBottom w:val="0"/>
              <w:divBdr>
                <w:top w:val="none" w:sz="0" w:space="0" w:color="auto"/>
                <w:left w:val="none" w:sz="0" w:space="0" w:color="auto"/>
                <w:bottom w:val="none" w:sz="0" w:space="0" w:color="auto"/>
                <w:right w:val="none" w:sz="0" w:space="0" w:color="auto"/>
              </w:divBdr>
              <w:divsChild>
                <w:div w:id="6169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3907">
      <w:bodyDiv w:val="1"/>
      <w:marLeft w:val="0"/>
      <w:marRight w:val="0"/>
      <w:marTop w:val="0"/>
      <w:marBottom w:val="0"/>
      <w:divBdr>
        <w:top w:val="none" w:sz="0" w:space="0" w:color="auto"/>
        <w:left w:val="none" w:sz="0" w:space="0" w:color="auto"/>
        <w:bottom w:val="none" w:sz="0" w:space="0" w:color="auto"/>
        <w:right w:val="none" w:sz="0" w:space="0" w:color="auto"/>
      </w:divBdr>
    </w:div>
    <w:div w:id="1690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D487-AF9E-4BB6-A611-73B21302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13</Pages>
  <Words>4598</Words>
  <Characters>27360</Characters>
  <Application>Microsoft Office Word</Application>
  <DocSecurity>0</DocSecurity>
  <Lines>408</Lines>
  <Paragraphs>84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31874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4</cp:revision>
  <dcterms:created xsi:type="dcterms:W3CDTF">2023-08-30T12:46:00Z</dcterms:created>
  <dcterms:modified xsi:type="dcterms:W3CDTF">2023-09-15T15:56:00Z</dcterms:modified>
  <cp:category/>
</cp:coreProperties>
</file>