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36F1" w14:textId="3D9AB083" w:rsidR="00D74C38" w:rsidRPr="004E2710" w:rsidRDefault="00D74C38" w:rsidP="00D74C38">
      <w:pPr>
        <w:spacing w:after="0" w:line="360" w:lineRule="auto"/>
        <w:ind w:left="1701" w:right="1134"/>
        <w:contextualSpacing/>
        <w:jc w:val="center"/>
        <w:rPr>
          <w:rFonts w:ascii="Times New Roman" w:hAnsi="Times New Roman" w:cs="Times New Roman"/>
          <w:b/>
          <w:bCs/>
          <w:sz w:val="28"/>
          <w:szCs w:val="28"/>
        </w:rPr>
      </w:pPr>
      <w:r w:rsidRPr="004E2710">
        <w:rPr>
          <w:rFonts w:ascii="Times New Roman" w:hAnsi="Times New Roman" w:cs="Times New Roman"/>
          <w:b/>
          <w:bCs/>
          <w:sz w:val="28"/>
          <w:szCs w:val="28"/>
        </w:rPr>
        <w:t xml:space="preserve">O </w:t>
      </w:r>
      <w:r w:rsidR="0074318A" w:rsidRPr="004E2710">
        <w:rPr>
          <w:rFonts w:ascii="Times New Roman" w:hAnsi="Times New Roman" w:cs="Times New Roman"/>
          <w:b/>
          <w:bCs/>
          <w:sz w:val="28"/>
          <w:szCs w:val="28"/>
        </w:rPr>
        <w:t>MODELO</w:t>
      </w:r>
      <w:r w:rsidRPr="004E2710">
        <w:rPr>
          <w:rFonts w:ascii="Times New Roman" w:hAnsi="Times New Roman" w:cs="Times New Roman"/>
          <w:b/>
          <w:bCs/>
          <w:sz w:val="28"/>
          <w:szCs w:val="28"/>
        </w:rPr>
        <w:t xml:space="preserve"> MULTIPORTAS </w:t>
      </w:r>
      <w:r w:rsidR="0005395B">
        <w:rPr>
          <w:rFonts w:ascii="Times New Roman" w:hAnsi="Times New Roman" w:cs="Times New Roman"/>
          <w:b/>
          <w:bCs/>
          <w:sz w:val="28"/>
          <w:szCs w:val="28"/>
        </w:rPr>
        <w:t>N</w:t>
      </w:r>
      <w:r w:rsidRPr="004E2710">
        <w:rPr>
          <w:rFonts w:ascii="Times New Roman" w:hAnsi="Times New Roman" w:cs="Times New Roman"/>
          <w:b/>
          <w:bCs/>
          <w:sz w:val="28"/>
          <w:szCs w:val="28"/>
        </w:rPr>
        <w:t>O</w:t>
      </w:r>
      <w:r w:rsidR="002B06AB" w:rsidRPr="004E2710">
        <w:rPr>
          <w:rFonts w:ascii="Times New Roman" w:hAnsi="Times New Roman" w:cs="Times New Roman"/>
          <w:b/>
          <w:bCs/>
          <w:sz w:val="28"/>
          <w:szCs w:val="28"/>
        </w:rPr>
        <w:t xml:space="preserve"> </w:t>
      </w:r>
      <w:r w:rsidRPr="004E2710">
        <w:rPr>
          <w:rFonts w:ascii="Times New Roman" w:hAnsi="Times New Roman" w:cs="Times New Roman"/>
          <w:b/>
          <w:bCs/>
          <w:sz w:val="28"/>
          <w:szCs w:val="28"/>
        </w:rPr>
        <w:t>DIREITO TRIBUTÁRIO: UM CAMINHO PARA UM CONTENCIOSO FISCAL SUSTENTÁVEL</w:t>
      </w:r>
    </w:p>
    <w:p w14:paraId="28AA7B0C" w14:textId="0E8F0CBF" w:rsidR="00D57925" w:rsidRDefault="00913EC8" w:rsidP="009E72FA">
      <w:pPr>
        <w:spacing w:after="0" w:line="360" w:lineRule="auto"/>
        <w:ind w:left="1701" w:right="1134"/>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7BAFFA1A" w14:textId="77777777" w:rsidR="009E72FA" w:rsidRPr="00D73068" w:rsidRDefault="009E72FA" w:rsidP="009E72FA">
      <w:pPr>
        <w:spacing w:after="0" w:line="360" w:lineRule="auto"/>
        <w:ind w:left="1701" w:right="1134"/>
        <w:contextualSpacing/>
        <w:jc w:val="center"/>
        <w:rPr>
          <w:rFonts w:ascii="Times New Roman" w:hAnsi="Times New Roman" w:cs="Times New Roman"/>
          <w:sz w:val="24"/>
          <w:szCs w:val="24"/>
        </w:rPr>
      </w:pPr>
    </w:p>
    <w:p w14:paraId="56146DFB" w14:textId="646A2614" w:rsidR="00461418" w:rsidRPr="00585C40" w:rsidRDefault="00D74C38" w:rsidP="00FF471A">
      <w:pPr>
        <w:spacing w:before="120" w:after="120" w:line="360" w:lineRule="auto"/>
        <w:jc w:val="both"/>
        <w:rPr>
          <w:rFonts w:ascii="Times New Roman" w:hAnsi="Times New Roman" w:cs="Times New Roman"/>
          <w:sz w:val="24"/>
          <w:szCs w:val="24"/>
        </w:rPr>
      </w:pPr>
      <w:r w:rsidRPr="00DC793C">
        <w:rPr>
          <w:rFonts w:ascii="Times New Roman" w:hAnsi="Times New Roman" w:cs="Times New Roman"/>
          <w:b/>
          <w:bCs/>
          <w:sz w:val="24"/>
          <w:szCs w:val="24"/>
        </w:rPr>
        <w:t xml:space="preserve">RESUMO: </w:t>
      </w:r>
      <w:r w:rsidR="00253C8B" w:rsidRPr="00DC793C">
        <w:rPr>
          <w:rFonts w:ascii="Times New Roman" w:hAnsi="Times New Roman" w:cs="Times New Roman"/>
          <w:sz w:val="24"/>
          <w:szCs w:val="24"/>
        </w:rPr>
        <w:t xml:space="preserve">o presente artigo aborda a ascensão do fenômeno da desjudicialização e a </w:t>
      </w:r>
      <w:r w:rsidR="003620D8">
        <w:rPr>
          <w:rFonts w:ascii="Times New Roman" w:hAnsi="Times New Roman" w:cs="Times New Roman"/>
          <w:sz w:val="24"/>
          <w:szCs w:val="24"/>
        </w:rPr>
        <w:t>evolução da consensualidade nos</w:t>
      </w:r>
      <w:r w:rsidR="00253C8B" w:rsidRPr="00DC793C">
        <w:rPr>
          <w:rFonts w:ascii="Times New Roman" w:hAnsi="Times New Roman" w:cs="Times New Roman"/>
          <w:sz w:val="24"/>
          <w:szCs w:val="24"/>
        </w:rPr>
        <w:t xml:space="preserve"> conflitos</w:t>
      </w:r>
      <w:r w:rsidR="003620D8">
        <w:rPr>
          <w:rFonts w:ascii="Times New Roman" w:hAnsi="Times New Roman" w:cs="Times New Roman"/>
          <w:sz w:val="24"/>
          <w:szCs w:val="24"/>
        </w:rPr>
        <w:t xml:space="preserve"> que envolvem a</w:t>
      </w:r>
      <w:r w:rsidR="00253C8B" w:rsidRPr="00DC793C">
        <w:rPr>
          <w:rFonts w:ascii="Times New Roman" w:hAnsi="Times New Roman" w:cs="Times New Roman"/>
          <w:sz w:val="24"/>
          <w:szCs w:val="24"/>
        </w:rPr>
        <w:t xml:space="preserve"> Administração Pública,</w:t>
      </w:r>
      <w:r w:rsidR="00DC793C">
        <w:rPr>
          <w:rFonts w:ascii="Times New Roman" w:hAnsi="Times New Roman" w:cs="Times New Roman"/>
          <w:sz w:val="24"/>
          <w:szCs w:val="24"/>
        </w:rPr>
        <w:t xml:space="preserve"> demonstrando a aderência</w:t>
      </w:r>
      <w:r w:rsidR="00FB130C">
        <w:rPr>
          <w:rFonts w:ascii="Times New Roman" w:hAnsi="Times New Roman" w:cs="Times New Roman"/>
          <w:sz w:val="24"/>
          <w:szCs w:val="24"/>
        </w:rPr>
        <w:t xml:space="preserve"> destas iniciativas com a Agenda 2030</w:t>
      </w:r>
      <w:r w:rsidR="007B043B">
        <w:rPr>
          <w:rFonts w:ascii="Times New Roman" w:hAnsi="Times New Roman" w:cs="Times New Roman"/>
          <w:sz w:val="24"/>
          <w:szCs w:val="24"/>
        </w:rPr>
        <w:t xml:space="preserve"> e </w:t>
      </w:r>
      <w:r w:rsidR="00C452B3">
        <w:rPr>
          <w:rFonts w:ascii="Times New Roman" w:hAnsi="Times New Roman" w:cs="Times New Roman"/>
          <w:sz w:val="24"/>
          <w:szCs w:val="24"/>
        </w:rPr>
        <w:t>destaca</w:t>
      </w:r>
      <w:r w:rsidR="00093FE5">
        <w:rPr>
          <w:rFonts w:ascii="Times New Roman" w:hAnsi="Times New Roman" w:cs="Times New Roman"/>
          <w:sz w:val="24"/>
          <w:szCs w:val="24"/>
        </w:rPr>
        <w:t xml:space="preserve">ndo </w:t>
      </w:r>
      <w:r w:rsidR="00C452B3">
        <w:rPr>
          <w:rFonts w:ascii="Times New Roman" w:hAnsi="Times New Roman" w:cs="Times New Roman"/>
          <w:sz w:val="24"/>
          <w:szCs w:val="24"/>
        </w:rPr>
        <w:t xml:space="preserve">a importância de se </w:t>
      </w:r>
      <w:r w:rsidR="00B2220C">
        <w:rPr>
          <w:rFonts w:ascii="Times New Roman" w:hAnsi="Times New Roman" w:cs="Times New Roman"/>
          <w:sz w:val="24"/>
          <w:szCs w:val="24"/>
        </w:rPr>
        <w:t>consolidar</w:t>
      </w:r>
      <w:r w:rsidR="00634DDA">
        <w:rPr>
          <w:rFonts w:ascii="Times New Roman" w:hAnsi="Times New Roman" w:cs="Times New Roman"/>
          <w:sz w:val="24"/>
          <w:szCs w:val="24"/>
        </w:rPr>
        <w:t xml:space="preserve"> esta</w:t>
      </w:r>
      <w:r w:rsidR="00B2220C">
        <w:rPr>
          <w:rFonts w:ascii="Times New Roman" w:hAnsi="Times New Roman" w:cs="Times New Roman"/>
          <w:sz w:val="24"/>
          <w:szCs w:val="24"/>
        </w:rPr>
        <w:t xml:space="preserve"> </w:t>
      </w:r>
      <w:r w:rsidR="00634DDA">
        <w:rPr>
          <w:rFonts w:ascii="Times New Roman" w:hAnsi="Times New Roman" w:cs="Times New Roman"/>
          <w:sz w:val="24"/>
          <w:szCs w:val="24"/>
        </w:rPr>
        <w:t>mudança de cultura</w:t>
      </w:r>
      <w:r w:rsidR="00B2220C">
        <w:rPr>
          <w:rFonts w:ascii="Times New Roman" w:hAnsi="Times New Roman" w:cs="Times New Roman"/>
          <w:sz w:val="24"/>
          <w:szCs w:val="24"/>
        </w:rPr>
        <w:t xml:space="preserve"> no contencioso tributário</w:t>
      </w:r>
      <w:r w:rsidR="00D9048D">
        <w:rPr>
          <w:rFonts w:ascii="Times New Roman" w:hAnsi="Times New Roman" w:cs="Times New Roman"/>
          <w:sz w:val="24"/>
          <w:szCs w:val="24"/>
        </w:rPr>
        <w:t>,</w:t>
      </w:r>
      <w:r w:rsidR="00B2220C">
        <w:rPr>
          <w:rFonts w:ascii="Times New Roman" w:hAnsi="Times New Roman" w:cs="Times New Roman"/>
          <w:sz w:val="24"/>
          <w:szCs w:val="24"/>
        </w:rPr>
        <w:t xml:space="preserve"> </w:t>
      </w:r>
      <w:r w:rsidR="00B2220C" w:rsidRPr="00B2220C">
        <w:rPr>
          <w:rFonts w:ascii="Times New Roman" w:hAnsi="Times New Roman" w:cs="Times New Roman"/>
          <w:sz w:val="24"/>
          <w:szCs w:val="24"/>
        </w:rPr>
        <w:t>propondo</w:t>
      </w:r>
      <w:r w:rsidR="00D9048D">
        <w:rPr>
          <w:rFonts w:ascii="Times New Roman" w:hAnsi="Times New Roman" w:cs="Times New Roman"/>
          <w:sz w:val="24"/>
          <w:szCs w:val="24"/>
        </w:rPr>
        <w:t>, ao final,</w:t>
      </w:r>
      <w:r w:rsidR="00B2220C">
        <w:rPr>
          <w:rFonts w:ascii="Times New Roman" w:hAnsi="Times New Roman" w:cs="Times New Roman"/>
          <w:sz w:val="24"/>
          <w:szCs w:val="24"/>
        </w:rPr>
        <w:t xml:space="preserve"> uma </w:t>
      </w:r>
      <w:r w:rsidR="00093FE5">
        <w:rPr>
          <w:rFonts w:ascii="Times New Roman" w:hAnsi="Times New Roman" w:cs="Times New Roman"/>
          <w:sz w:val="24"/>
          <w:szCs w:val="24"/>
        </w:rPr>
        <w:t xml:space="preserve">estrutura </w:t>
      </w:r>
      <w:r w:rsidR="00D23509">
        <w:rPr>
          <w:rFonts w:ascii="Times New Roman" w:hAnsi="Times New Roman" w:cs="Times New Roman"/>
          <w:sz w:val="24"/>
          <w:szCs w:val="24"/>
        </w:rPr>
        <w:t>de modelo multiportas</w:t>
      </w:r>
      <w:r w:rsidR="00641AC9">
        <w:rPr>
          <w:rFonts w:ascii="Times New Roman" w:hAnsi="Times New Roman" w:cs="Times New Roman"/>
          <w:sz w:val="24"/>
          <w:szCs w:val="24"/>
        </w:rPr>
        <w:t xml:space="preserve"> em âmbito fiscal</w:t>
      </w:r>
      <w:r w:rsidR="00D23509">
        <w:rPr>
          <w:rFonts w:ascii="Times New Roman" w:hAnsi="Times New Roman" w:cs="Times New Roman"/>
          <w:sz w:val="24"/>
          <w:szCs w:val="24"/>
        </w:rPr>
        <w:t xml:space="preserve"> sustentado pela </w:t>
      </w:r>
      <w:r w:rsidR="00461418">
        <w:rPr>
          <w:rFonts w:ascii="Times New Roman" w:hAnsi="Times New Roman" w:cs="Times New Roman"/>
          <w:sz w:val="24"/>
          <w:szCs w:val="24"/>
        </w:rPr>
        <w:t>transação tributária, autocomposição fiscal e arbitragem tributária.</w:t>
      </w:r>
    </w:p>
    <w:p w14:paraId="2437665D" w14:textId="555DF7F7" w:rsidR="00451A77" w:rsidRPr="00451A77" w:rsidRDefault="00D74C38" w:rsidP="00FF471A">
      <w:pPr>
        <w:spacing w:before="120" w:after="120" w:line="360" w:lineRule="auto"/>
        <w:jc w:val="both"/>
        <w:rPr>
          <w:rFonts w:ascii="Times New Roman" w:hAnsi="Times New Roman" w:cs="Times New Roman"/>
          <w:sz w:val="24"/>
          <w:szCs w:val="24"/>
        </w:rPr>
      </w:pPr>
      <w:r w:rsidRPr="00585C40">
        <w:rPr>
          <w:rFonts w:ascii="Times New Roman" w:hAnsi="Times New Roman" w:cs="Times New Roman"/>
          <w:b/>
          <w:bCs/>
          <w:sz w:val="24"/>
          <w:szCs w:val="24"/>
        </w:rPr>
        <w:t>SUMÁRIO</w:t>
      </w:r>
      <w:r w:rsidRPr="00585C40">
        <w:rPr>
          <w:rFonts w:ascii="Times New Roman" w:hAnsi="Times New Roman" w:cs="Times New Roman"/>
          <w:sz w:val="24"/>
          <w:szCs w:val="24"/>
        </w:rPr>
        <w:t xml:space="preserve">: Introdução; 1. </w:t>
      </w:r>
      <w:bookmarkStart w:id="0" w:name="_Hlk100773507"/>
      <w:r w:rsidRPr="00585C40">
        <w:rPr>
          <w:rFonts w:ascii="Times New Roman" w:hAnsi="Times New Roman" w:cs="Times New Roman"/>
          <w:sz w:val="24"/>
          <w:szCs w:val="24"/>
        </w:rPr>
        <w:t xml:space="preserve">O microssistema normativo de métodos </w:t>
      </w:r>
      <w:r w:rsidR="00EB1B37" w:rsidRPr="00585C40">
        <w:rPr>
          <w:rFonts w:ascii="Times New Roman" w:hAnsi="Times New Roman" w:cs="Times New Roman"/>
          <w:sz w:val="24"/>
          <w:szCs w:val="24"/>
        </w:rPr>
        <w:t xml:space="preserve">adequados </w:t>
      </w:r>
      <w:r w:rsidRPr="00585C40">
        <w:rPr>
          <w:rFonts w:ascii="Times New Roman" w:hAnsi="Times New Roman" w:cs="Times New Roman"/>
          <w:sz w:val="24"/>
          <w:szCs w:val="24"/>
        </w:rPr>
        <w:t xml:space="preserve">de tratamento de conflitos e a </w:t>
      </w:r>
      <w:r w:rsidR="00EB1B37" w:rsidRPr="00585C40">
        <w:rPr>
          <w:rFonts w:ascii="Times New Roman" w:hAnsi="Times New Roman" w:cs="Times New Roman"/>
          <w:sz w:val="24"/>
          <w:szCs w:val="24"/>
        </w:rPr>
        <w:t>Administração</w:t>
      </w:r>
      <w:r w:rsidRPr="00585C40">
        <w:rPr>
          <w:rFonts w:ascii="Times New Roman" w:hAnsi="Times New Roman" w:cs="Times New Roman"/>
          <w:sz w:val="24"/>
          <w:szCs w:val="24"/>
        </w:rPr>
        <w:t xml:space="preserve"> Pública</w:t>
      </w:r>
      <w:bookmarkEnd w:id="0"/>
      <w:r w:rsidR="00A2042C" w:rsidRPr="00585C40">
        <w:rPr>
          <w:rFonts w:ascii="Times New Roman" w:hAnsi="Times New Roman" w:cs="Times New Roman"/>
          <w:sz w:val="24"/>
          <w:szCs w:val="24"/>
        </w:rPr>
        <w:t>.</w:t>
      </w:r>
      <w:r w:rsidR="009A7722" w:rsidRPr="00585C40">
        <w:rPr>
          <w:rFonts w:ascii="Times New Roman" w:eastAsia="Times New Roman" w:hAnsi="Times New Roman" w:cs="Times New Roman"/>
          <w:b/>
          <w:bCs/>
          <w:caps/>
          <w:sz w:val="24"/>
          <w:szCs w:val="24"/>
        </w:rPr>
        <w:t xml:space="preserve"> </w:t>
      </w:r>
      <w:r w:rsidR="009A7722" w:rsidRPr="00585C40">
        <w:rPr>
          <w:rFonts w:ascii="Times New Roman" w:eastAsia="Times New Roman" w:hAnsi="Times New Roman" w:cs="Times New Roman"/>
          <w:caps/>
          <w:sz w:val="24"/>
          <w:szCs w:val="24"/>
        </w:rPr>
        <w:t>2.</w:t>
      </w:r>
      <w:r w:rsidR="009A7722" w:rsidRPr="00585C40">
        <w:rPr>
          <w:rFonts w:ascii="Times New Roman" w:hAnsi="Times New Roman" w:cs="Times New Roman"/>
          <w:sz w:val="24"/>
          <w:szCs w:val="24"/>
        </w:rPr>
        <w:t xml:space="preserve"> O </w:t>
      </w:r>
      <w:r w:rsidR="009F2205" w:rsidRPr="00585C40">
        <w:rPr>
          <w:rFonts w:ascii="Times New Roman" w:hAnsi="Times New Roman" w:cs="Times New Roman"/>
          <w:sz w:val="24"/>
          <w:szCs w:val="24"/>
        </w:rPr>
        <w:t>o</w:t>
      </w:r>
      <w:r w:rsidR="009A7722" w:rsidRPr="00585C40">
        <w:rPr>
          <w:rFonts w:ascii="Times New Roman" w:hAnsi="Times New Roman" w:cs="Times New Roman"/>
          <w:sz w:val="24"/>
          <w:szCs w:val="24"/>
        </w:rPr>
        <w:t xml:space="preserve">bjetivo </w:t>
      </w:r>
      <w:r w:rsidR="009F2205" w:rsidRPr="00585C40">
        <w:rPr>
          <w:rFonts w:ascii="Times New Roman" w:hAnsi="Times New Roman" w:cs="Times New Roman"/>
          <w:sz w:val="24"/>
          <w:szCs w:val="24"/>
        </w:rPr>
        <w:t>para o</w:t>
      </w:r>
      <w:r w:rsidR="009A7722" w:rsidRPr="00585C40">
        <w:rPr>
          <w:rFonts w:ascii="Times New Roman" w:hAnsi="Times New Roman" w:cs="Times New Roman"/>
          <w:sz w:val="24"/>
          <w:szCs w:val="24"/>
        </w:rPr>
        <w:t xml:space="preserve"> </w:t>
      </w:r>
      <w:r w:rsidR="009F2205" w:rsidRPr="00585C40">
        <w:rPr>
          <w:rFonts w:ascii="Times New Roman" w:hAnsi="Times New Roman" w:cs="Times New Roman"/>
          <w:sz w:val="24"/>
          <w:szCs w:val="24"/>
        </w:rPr>
        <w:t>d</w:t>
      </w:r>
      <w:r w:rsidR="009A7722" w:rsidRPr="00585C40">
        <w:rPr>
          <w:rFonts w:ascii="Times New Roman" w:hAnsi="Times New Roman" w:cs="Times New Roman"/>
          <w:sz w:val="24"/>
          <w:szCs w:val="24"/>
        </w:rPr>
        <w:t xml:space="preserve">esenvolvimento sustentável (ODS) nº 16 do </w:t>
      </w:r>
      <w:r w:rsidR="00155508" w:rsidRPr="00585C40">
        <w:rPr>
          <w:rFonts w:ascii="Times New Roman" w:hAnsi="Times New Roman" w:cs="Times New Roman"/>
          <w:sz w:val="24"/>
          <w:szCs w:val="24"/>
        </w:rPr>
        <w:t>P</w:t>
      </w:r>
      <w:r w:rsidR="009A7722" w:rsidRPr="00585C40">
        <w:rPr>
          <w:rFonts w:ascii="Times New Roman" w:hAnsi="Times New Roman" w:cs="Times New Roman"/>
          <w:sz w:val="24"/>
          <w:szCs w:val="24"/>
        </w:rPr>
        <w:t xml:space="preserve">rograma das </w:t>
      </w:r>
      <w:r w:rsidR="00155508" w:rsidRPr="00585C40">
        <w:rPr>
          <w:rFonts w:ascii="Times New Roman" w:hAnsi="Times New Roman" w:cs="Times New Roman"/>
          <w:sz w:val="24"/>
          <w:szCs w:val="24"/>
        </w:rPr>
        <w:t>N</w:t>
      </w:r>
      <w:r w:rsidR="009A7722" w:rsidRPr="00585C40">
        <w:rPr>
          <w:rFonts w:ascii="Times New Roman" w:hAnsi="Times New Roman" w:cs="Times New Roman"/>
          <w:sz w:val="24"/>
          <w:szCs w:val="24"/>
        </w:rPr>
        <w:t xml:space="preserve">ações </w:t>
      </w:r>
      <w:r w:rsidR="00155508" w:rsidRPr="00585C40">
        <w:rPr>
          <w:rFonts w:ascii="Times New Roman" w:hAnsi="Times New Roman" w:cs="Times New Roman"/>
          <w:sz w:val="24"/>
          <w:szCs w:val="24"/>
        </w:rPr>
        <w:t>U</w:t>
      </w:r>
      <w:r w:rsidR="009A7722" w:rsidRPr="00585C40">
        <w:rPr>
          <w:rFonts w:ascii="Times New Roman" w:hAnsi="Times New Roman" w:cs="Times New Roman"/>
          <w:sz w:val="24"/>
          <w:szCs w:val="24"/>
        </w:rPr>
        <w:t xml:space="preserve">nidas para </w:t>
      </w:r>
      <w:r w:rsidR="00155508" w:rsidRPr="00585C40">
        <w:rPr>
          <w:rFonts w:ascii="Times New Roman" w:hAnsi="Times New Roman" w:cs="Times New Roman"/>
          <w:sz w:val="24"/>
          <w:szCs w:val="24"/>
        </w:rPr>
        <w:t>o</w:t>
      </w:r>
      <w:r w:rsidR="009A7722" w:rsidRPr="00585C40">
        <w:rPr>
          <w:rFonts w:ascii="Times New Roman" w:hAnsi="Times New Roman" w:cs="Times New Roman"/>
          <w:sz w:val="24"/>
          <w:szCs w:val="24"/>
        </w:rPr>
        <w:t xml:space="preserve"> desenvolvimento (PNUD) e o </w:t>
      </w:r>
      <w:r w:rsidR="00155508" w:rsidRPr="00585C40">
        <w:rPr>
          <w:rFonts w:ascii="Times New Roman" w:hAnsi="Times New Roman" w:cs="Times New Roman"/>
          <w:sz w:val="24"/>
          <w:szCs w:val="24"/>
        </w:rPr>
        <w:t xml:space="preserve">sistema multiportas </w:t>
      </w:r>
      <w:r w:rsidR="009A7722" w:rsidRPr="00585C40">
        <w:rPr>
          <w:rFonts w:ascii="Times New Roman" w:hAnsi="Times New Roman" w:cs="Times New Roman"/>
          <w:sz w:val="24"/>
          <w:szCs w:val="24"/>
        </w:rPr>
        <w:t>na Administração Pública</w:t>
      </w:r>
      <w:r w:rsidR="00A2042C" w:rsidRPr="00585C40">
        <w:rPr>
          <w:rFonts w:ascii="Times New Roman" w:hAnsi="Times New Roman" w:cs="Times New Roman"/>
          <w:sz w:val="24"/>
          <w:szCs w:val="24"/>
        </w:rPr>
        <w:t>.</w:t>
      </w:r>
      <w:r w:rsidR="009A7722" w:rsidRPr="00585C40">
        <w:rPr>
          <w:rFonts w:ascii="Times New Roman" w:hAnsi="Times New Roman" w:cs="Times New Roman"/>
          <w:sz w:val="24"/>
          <w:szCs w:val="24"/>
        </w:rPr>
        <w:t xml:space="preserve"> </w:t>
      </w:r>
      <w:r w:rsidRPr="00585C40">
        <w:rPr>
          <w:rFonts w:ascii="Times New Roman" w:hAnsi="Times New Roman" w:cs="Times New Roman"/>
          <w:sz w:val="24"/>
          <w:szCs w:val="24"/>
        </w:rPr>
        <w:t xml:space="preserve">3. </w:t>
      </w:r>
      <w:r w:rsidR="000100FA" w:rsidRPr="00585C40">
        <w:rPr>
          <w:rFonts w:ascii="Times New Roman" w:hAnsi="Times New Roman" w:cs="Times New Roman"/>
          <w:sz w:val="24"/>
          <w:szCs w:val="24"/>
        </w:rPr>
        <w:t>O modelo</w:t>
      </w:r>
      <w:r w:rsidRPr="00585C40">
        <w:rPr>
          <w:rFonts w:ascii="Times New Roman" w:hAnsi="Times New Roman" w:cs="Times New Roman"/>
          <w:sz w:val="24"/>
          <w:szCs w:val="24"/>
        </w:rPr>
        <w:t xml:space="preserve"> multiportas </w:t>
      </w:r>
      <w:r w:rsidR="000100FA" w:rsidRPr="00585C40">
        <w:rPr>
          <w:rFonts w:ascii="Times New Roman" w:hAnsi="Times New Roman" w:cs="Times New Roman"/>
          <w:sz w:val="24"/>
          <w:szCs w:val="24"/>
        </w:rPr>
        <w:t>no</w:t>
      </w:r>
      <w:r w:rsidRPr="00585C40">
        <w:rPr>
          <w:rFonts w:ascii="Times New Roman" w:hAnsi="Times New Roman" w:cs="Times New Roman"/>
          <w:sz w:val="24"/>
          <w:szCs w:val="24"/>
        </w:rPr>
        <w:t xml:space="preserve"> Direito Tributário</w:t>
      </w:r>
      <w:r w:rsidR="000100FA" w:rsidRPr="00585C40">
        <w:rPr>
          <w:rFonts w:ascii="Times New Roman" w:hAnsi="Times New Roman" w:cs="Times New Roman"/>
          <w:sz w:val="24"/>
          <w:szCs w:val="24"/>
        </w:rPr>
        <w:t>: uma questão de sustentabilidade do contencioso fiscal</w:t>
      </w:r>
      <w:r w:rsidR="00A2042C" w:rsidRPr="00585C40">
        <w:rPr>
          <w:rFonts w:ascii="Times New Roman" w:hAnsi="Times New Roman" w:cs="Times New Roman"/>
          <w:sz w:val="24"/>
          <w:szCs w:val="24"/>
        </w:rPr>
        <w:t>.</w:t>
      </w:r>
      <w:r w:rsidR="001E6D95" w:rsidRPr="00585C40">
        <w:rPr>
          <w:rFonts w:ascii="Times New Roman" w:hAnsi="Times New Roman" w:cs="Times New Roman"/>
          <w:sz w:val="24"/>
          <w:szCs w:val="24"/>
        </w:rPr>
        <w:t xml:space="preserve"> 4. </w:t>
      </w:r>
      <w:r w:rsidR="00F57274" w:rsidRPr="00585C40">
        <w:rPr>
          <w:rFonts w:ascii="Times New Roman" w:hAnsi="Times New Roman" w:cs="Times New Roman"/>
          <w:sz w:val="24"/>
          <w:szCs w:val="24"/>
        </w:rPr>
        <w:t xml:space="preserve">Da proposição de uma estrutura de modelo multiportas no </w:t>
      </w:r>
      <w:r w:rsidR="0044550E" w:rsidRPr="00585C40">
        <w:rPr>
          <w:rFonts w:ascii="Times New Roman" w:hAnsi="Times New Roman" w:cs="Times New Roman"/>
          <w:sz w:val="24"/>
          <w:szCs w:val="24"/>
        </w:rPr>
        <w:t>D</w:t>
      </w:r>
      <w:r w:rsidR="00F57274" w:rsidRPr="00585C40">
        <w:rPr>
          <w:rFonts w:ascii="Times New Roman" w:hAnsi="Times New Roman" w:cs="Times New Roman"/>
          <w:sz w:val="24"/>
          <w:szCs w:val="24"/>
        </w:rPr>
        <w:t xml:space="preserve">ireito </w:t>
      </w:r>
      <w:r w:rsidR="0044550E" w:rsidRPr="00585C40">
        <w:rPr>
          <w:rFonts w:ascii="Times New Roman" w:hAnsi="Times New Roman" w:cs="Times New Roman"/>
          <w:sz w:val="24"/>
          <w:szCs w:val="24"/>
        </w:rPr>
        <w:t>T</w:t>
      </w:r>
      <w:r w:rsidR="00F57274" w:rsidRPr="00585C40">
        <w:rPr>
          <w:rFonts w:ascii="Times New Roman" w:hAnsi="Times New Roman" w:cs="Times New Roman"/>
          <w:sz w:val="24"/>
          <w:szCs w:val="24"/>
        </w:rPr>
        <w:t>ributário sustentado pela transação tributária, autocomposição fiscal e arbitragem tributária. 4.1. Da transação tributária. 4.2. Da autocomposição fiscal. 4.3. Da arbitragem tributária</w:t>
      </w:r>
      <w:r w:rsidR="00752CD1" w:rsidRPr="00585C40">
        <w:rPr>
          <w:rFonts w:ascii="Times New Roman" w:hAnsi="Times New Roman" w:cs="Times New Roman"/>
          <w:sz w:val="24"/>
          <w:szCs w:val="24"/>
        </w:rPr>
        <w:t>. 5.</w:t>
      </w:r>
      <w:r w:rsidR="00F57274" w:rsidRPr="00585C40">
        <w:rPr>
          <w:rFonts w:ascii="Times New Roman" w:hAnsi="Times New Roman" w:cs="Times New Roman"/>
          <w:sz w:val="24"/>
          <w:szCs w:val="24"/>
        </w:rPr>
        <w:t xml:space="preserve"> </w:t>
      </w:r>
      <w:r w:rsidRPr="00585C40">
        <w:rPr>
          <w:rFonts w:ascii="Times New Roman" w:hAnsi="Times New Roman" w:cs="Times New Roman"/>
          <w:sz w:val="24"/>
          <w:szCs w:val="24"/>
        </w:rPr>
        <w:t>Conclusão; Referências.</w:t>
      </w:r>
    </w:p>
    <w:p w14:paraId="67C5F57F" w14:textId="26423765" w:rsidR="00451A77" w:rsidRDefault="00D74C38" w:rsidP="00FF471A">
      <w:pPr>
        <w:spacing w:before="120" w:after="120" w:line="360" w:lineRule="auto"/>
        <w:ind w:right="-1"/>
        <w:jc w:val="both"/>
        <w:rPr>
          <w:rFonts w:ascii="Times New Roman" w:hAnsi="Times New Roman" w:cs="Times New Roman"/>
          <w:sz w:val="24"/>
          <w:szCs w:val="24"/>
        </w:rPr>
      </w:pPr>
      <w:r w:rsidRPr="00C67BD9">
        <w:rPr>
          <w:rFonts w:ascii="Times New Roman" w:hAnsi="Times New Roman" w:cs="Times New Roman"/>
          <w:b/>
          <w:bCs/>
          <w:sz w:val="24"/>
          <w:szCs w:val="24"/>
        </w:rPr>
        <w:t xml:space="preserve">Palavras-Chave: </w:t>
      </w:r>
      <w:r w:rsidR="00C67BD9" w:rsidRPr="00C67BD9">
        <w:rPr>
          <w:rFonts w:ascii="Times New Roman" w:hAnsi="Times New Roman" w:cs="Times New Roman"/>
          <w:sz w:val="24"/>
          <w:szCs w:val="24"/>
        </w:rPr>
        <w:t>desjudicialização</w:t>
      </w:r>
      <w:r w:rsidRPr="00C67BD9">
        <w:rPr>
          <w:rFonts w:ascii="Times New Roman" w:hAnsi="Times New Roman" w:cs="Times New Roman"/>
          <w:sz w:val="24"/>
          <w:szCs w:val="24"/>
        </w:rPr>
        <w:t>; acesso à justiça; consensualidade</w:t>
      </w:r>
      <w:r w:rsidR="00E17EC1">
        <w:rPr>
          <w:rFonts w:ascii="Times New Roman" w:hAnsi="Times New Roman" w:cs="Times New Roman"/>
          <w:sz w:val="24"/>
          <w:szCs w:val="24"/>
        </w:rPr>
        <w:t xml:space="preserve">; objetivo de desenvolvimento sustentável; </w:t>
      </w:r>
      <w:r w:rsidR="00E17EC1" w:rsidRPr="00C67BD9">
        <w:rPr>
          <w:rFonts w:ascii="Times New Roman" w:hAnsi="Times New Roman" w:cs="Times New Roman"/>
          <w:sz w:val="24"/>
          <w:szCs w:val="24"/>
        </w:rPr>
        <w:t>contencioso tributário</w:t>
      </w:r>
      <w:r w:rsidR="00E17EC1">
        <w:rPr>
          <w:rFonts w:ascii="Times New Roman" w:hAnsi="Times New Roman" w:cs="Times New Roman"/>
          <w:sz w:val="24"/>
          <w:szCs w:val="24"/>
        </w:rPr>
        <w:t>.</w:t>
      </w:r>
    </w:p>
    <w:p w14:paraId="10323AC1" w14:textId="77777777" w:rsidR="00585C40" w:rsidRPr="00D57925" w:rsidRDefault="00585C40" w:rsidP="00585C40">
      <w:pPr>
        <w:spacing w:before="120" w:after="120" w:line="240" w:lineRule="auto"/>
        <w:ind w:right="-1"/>
        <w:jc w:val="both"/>
        <w:rPr>
          <w:rFonts w:ascii="Times New Roman" w:hAnsi="Times New Roman" w:cs="Times New Roman"/>
          <w:sz w:val="24"/>
          <w:szCs w:val="24"/>
        </w:rPr>
      </w:pPr>
    </w:p>
    <w:p w14:paraId="6AC324CC" w14:textId="47E0CFD0" w:rsidR="00CA4A5C" w:rsidRDefault="00D74C38" w:rsidP="00EE07B3">
      <w:pPr>
        <w:spacing w:before="120" w:after="120" w:line="360" w:lineRule="auto"/>
        <w:ind w:right="-1" w:firstLine="851"/>
        <w:jc w:val="both"/>
        <w:rPr>
          <w:rFonts w:ascii="Times New Roman" w:hAnsi="Times New Roman" w:cs="Times New Roman"/>
          <w:b/>
          <w:bCs/>
          <w:sz w:val="24"/>
          <w:szCs w:val="24"/>
        </w:rPr>
      </w:pPr>
      <w:r w:rsidRPr="00204708">
        <w:rPr>
          <w:rFonts w:ascii="Times New Roman" w:hAnsi="Times New Roman" w:cs="Times New Roman"/>
          <w:b/>
          <w:bCs/>
          <w:sz w:val="24"/>
          <w:szCs w:val="24"/>
        </w:rPr>
        <w:t>INTRODUÇÃO</w:t>
      </w:r>
    </w:p>
    <w:p w14:paraId="2E509CAF" w14:textId="3F8C22E3" w:rsidR="00536B60" w:rsidRDefault="00536B60" w:rsidP="00EE07B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descrito no site oficial da Organização das Nações Unidas (ONU)</w:t>
      </w:r>
      <w:r w:rsidR="0037310D">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a Agenda 2030 configura uma lista de </w:t>
      </w:r>
      <w:r w:rsidRPr="006966C3">
        <w:rPr>
          <w:rFonts w:ascii="Times New Roman" w:hAnsi="Times New Roman" w:cs="Times New Roman"/>
          <w:sz w:val="24"/>
          <w:szCs w:val="24"/>
        </w:rPr>
        <w:t>17 objetivos</w:t>
      </w:r>
      <w:r>
        <w:rPr>
          <w:rFonts w:ascii="Times New Roman" w:hAnsi="Times New Roman" w:cs="Times New Roman"/>
          <w:sz w:val="24"/>
          <w:szCs w:val="24"/>
        </w:rPr>
        <w:t xml:space="preserve"> de desenvolvimento sustentável (ODS)</w:t>
      </w:r>
      <w:r w:rsidR="00B755BE">
        <w:rPr>
          <w:rFonts w:ascii="Times New Roman" w:hAnsi="Times New Roman" w:cs="Times New Roman"/>
          <w:sz w:val="24"/>
          <w:szCs w:val="24"/>
        </w:rPr>
        <w:t>,</w:t>
      </w:r>
      <w:r w:rsidRPr="006966C3">
        <w:rPr>
          <w:rFonts w:ascii="Times New Roman" w:hAnsi="Times New Roman" w:cs="Times New Roman"/>
          <w:sz w:val="24"/>
          <w:szCs w:val="24"/>
        </w:rPr>
        <w:t xml:space="preserve"> ambiciosos e interconectados</w:t>
      </w:r>
      <w:r w:rsidR="00B755BE">
        <w:rPr>
          <w:rFonts w:ascii="Times New Roman" w:hAnsi="Times New Roman" w:cs="Times New Roman"/>
          <w:sz w:val="24"/>
          <w:szCs w:val="24"/>
        </w:rPr>
        <w:t>,</w:t>
      </w:r>
      <w:r w:rsidRPr="006966C3">
        <w:rPr>
          <w:rFonts w:ascii="Times New Roman" w:hAnsi="Times New Roman" w:cs="Times New Roman"/>
          <w:sz w:val="24"/>
          <w:szCs w:val="24"/>
        </w:rPr>
        <w:t xml:space="preserve"> que abordam os principais desafios de desenvolvimento enfrentados p</w:t>
      </w:r>
      <w:r w:rsidR="00B755BE">
        <w:rPr>
          <w:rFonts w:ascii="Times New Roman" w:hAnsi="Times New Roman" w:cs="Times New Roman"/>
          <w:sz w:val="24"/>
          <w:szCs w:val="24"/>
        </w:rPr>
        <w:t>elo</w:t>
      </w:r>
      <w:r w:rsidRPr="006966C3">
        <w:rPr>
          <w:rFonts w:ascii="Times New Roman" w:hAnsi="Times New Roman" w:cs="Times New Roman"/>
          <w:sz w:val="24"/>
          <w:szCs w:val="24"/>
        </w:rPr>
        <w:t xml:space="preserve"> mundo</w:t>
      </w:r>
      <w:r w:rsidR="00CE4C91">
        <w:rPr>
          <w:rFonts w:ascii="Times New Roman" w:hAnsi="Times New Roman" w:cs="Times New Roman"/>
          <w:sz w:val="24"/>
          <w:szCs w:val="24"/>
        </w:rPr>
        <w:t xml:space="preserve">, havendo </w:t>
      </w:r>
      <w:r w:rsidR="00CE4C91" w:rsidRPr="5097C9EF">
        <w:rPr>
          <w:rFonts w:ascii="Times New Roman" w:eastAsia="Times New Roman" w:hAnsi="Times New Roman" w:cs="Times New Roman"/>
          <w:sz w:val="24"/>
          <w:szCs w:val="24"/>
        </w:rPr>
        <w:t>169 metas específicas a serem alcançadas até o ano de 2030.</w:t>
      </w:r>
    </w:p>
    <w:p w14:paraId="6597C375" w14:textId="36478AE1" w:rsidR="00536B60" w:rsidRDefault="00536B60" w:rsidP="00EE07B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Dentre eles, o ODS </w:t>
      </w:r>
      <w:r w:rsidR="00442BD5">
        <w:rPr>
          <w:rFonts w:ascii="Times New Roman" w:hAnsi="Times New Roman" w:cs="Times New Roman"/>
          <w:sz w:val="24"/>
          <w:szCs w:val="24"/>
        </w:rPr>
        <w:t xml:space="preserve">nº </w:t>
      </w:r>
      <w:r>
        <w:rPr>
          <w:rFonts w:ascii="Times New Roman" w:hAnsi="Times New Roman" w:cs="Times New Roman"/>
          <w:sz w:val="24"/>
          <w:szCs w:val="24"/>
        </w:rPr>
        <w:t xml:space="preserve">16 tem como objetivo </w:t>
      </w:r>
      <w:r w:rsidRPr="006966C3">
        <w:rPr>
          <w:rFonts w:ascii="Times New Roman" w:hAnsi="Times New Roman" w:cs="Times New Roman"/>
          <w:sz w:val="24"/>
          <w:szCs w:val="24"/>
        </w:rPr>
        <w:t>“Promover sociedades pacíficas e inclusivas para o desenvolvimento sustentável, proporcionar o acesso à justiça para todos e construir instituições eficazes, responsáveis e inclusivas a todos os níveis.”</w:t>
      </w:r>
    </w:p>
    <w:p w14:paraId="0A325033" w14:textId="35376A13" w:rsidR="00536B60" w:rsidRDefault="00536B60" w:rsidP="00EE07B3">
      <w:pPr>
        <w:spacing w:before="120" w:after="120" w:line="360" w:lineRule="auto"/>
        <w:ind w:firstLine="851"/>
        <w:jc w:val="both"/>
        <w:rPr>
          <w:rFonts w:ascii="Times New Roman" w:eastAsia="Times New Roman" w:hAnsi="Times New Roman" w:cs="Times New Roman"/>
          <w:i/>
          <w:iCs/>
          <w:sz w:val="24"/>
          <w:szCs w:val="24"/>
        </w:rPr>
      </w:pPr>
      <w:r>
        <w:rPr>
          <w:rFonts w:ascii="Times New Roman" w:hAnsi="Times New Roman" w:cs="Times New Roman"/>
          <w:sz w:val="24"/>
          <w:szCs w:val="24"/>
        </w:rPr>
        <w:lastRenderedPageBreak/>
        <w:t xml:space="preserve">Será </w:t>
      </w:r>
      <w:r w:rsidR="0037310D">
        <w:rPr>
          <w:rFonts w:ascii="Times New Roman" w:hAnsi="Times New Roman" w:cs="Times New Roman"/>
          <w:sz w:val="24"/>
          <w:szCs w:val="24"/>
        </w:rPr>
        <w:t>defendido</w:t>
      </w:r>
      <w:r>
        <w:rPr>
          <w:rFonts w:ascii="Times New Roman" w:hAnsi="Times New Roman" w:cs="Times New Roman"/>
          <w:sz w:val="24"/>
          <w:szCs w:val="24"/>
        </w:rPr>
        <w:t xml:space="preserve"> no presente artigo, que </w:t>
      </w:r>
      <w:r w:rsidR="0037310D">
        <w:rPr>
          <w:rFonts w:ascii="Times New Roman" w:hAnsi="Times New Roman" w:cs="Times New Roman"/>
          <w:sz w:val="24"/>
          <w:szCs w:val="24"/>
        </w:rPr>
        <w:t xml:space="preserve">a </w:t>
      </w:r>
      <w:r w:rsidR="00CE4C91">
        <w:rPr>
          <w:rFonts w:ascii="Times New Roman" w:hAnsi="Times New Roman" w:cs="Times New Roman"/>
          <w:sz w:val="24"/>
          <w:szCs w:val="24"/>
        </w:rPr>
        <w:t>implantação efetiva</w:t>
      </w:r>
      <w:r>
        <w:rPr>
          <w:rFonts w:ascii="Times New Roman" w:hAnsi="Times New Roman" w:cs="Times New Roman"/>
          <w:sz w:val="24"/>
          <w:szCs w:val="24"/>
        </w:rPr>
        <w:t xml:space="preserve"> dos métodos consensuais de resolução de disputas</w:t>
      </w:r>
      <w:r w:rsidR="00981C9F">
        <w:rPr>
          <w:rFonts w:ascii="Times New Roman" w:hAnsi="Times New Roman" w:cs="Times New Roman"/>
          <w:sz w:val="24"/>
          <w:szCs w:val="24"/>
        </w:rPr>
        <w:t xml:space="preserve"> -</w:t>
      </w:r>
      <w:r>
        <w:rPr>
          <w:rFonts w:ascii="Times New Roman" w:hAnsi="Times New Roman" w:cs="Times New Roman"/>
          <w:sz w:val="24"/>
          <w:szCs w:val="24"/>
        </w:rPr>
        <w:t xml:space="preserve"> </w:t>
      </w:r>
      <w:r w:rsidR="00B20F28">
        <w:rPr>
          <w:rFonts w:ascii="Times New Roman" w:eastAsia="Times New Roman" w:hAnsi="Times New Roman" w:cs="Times New Roman"/>
          <w:sz w:val="24"/>
          <w:szCs w:val="24"/>
        </w:rPr>
        <w:t>modelo</w:t>
      </w:r>
      <w:r>
        <w:rPr>
          <w:rFonts w:ascii="Times New Roman" w:eastAsia="Times New Roman" w:hAnsi="Times New Roman" w:cs="Times New Roman"/>
          <w:sz w:val="24"/>
          <w:szCs w:val="24"/>
        </w:rPr>
        <w:t xml:space="preserve"> multiportas</w:t>
      </w:r>
      <w:r w:rsidR="00981C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 âmbito dos conflitos </w:t>
      </w:r>
      <w:r w:rsidR="00126862">
        <w:rPr>
          <w:rFonts w:ascii="Times New Roman" w:eastAsia="Times New Roman" w:hAnsi="Times New Roman" w:cs="Times New Roman"/>
          <w:sz w:val="24"/>
          <w:szCs w:val="24"/>
        </w:rPr>
        <w:t xml:space="preserve">envolvendo </w:t>
      </w:r>
      <w:r>
        <w:rPr>
          <w:rFonts w:ascii="Times New Roman" w:eastAsia="Times New Roman" w:hAnsi="Times New Roman" w:cs="Times New Roman"/>
          <w:sz w:val="24"/>
          <w:szCs w:val="24"/>
        </w:rPr>
        <w:t>o Poder Público</w:t>
      </w:r>
      <w:r w:rsidR="001F75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24EA6">
        <w:rPr>
          <w:rFonts w:ascii="Times New Roman" w:eastAsia="Times New Roman" w:hAnsi="Times New Roman" w:cs="Times New Roman"/>
          <w:sz w:val="24"/>
          <w:szCs w:val="24"/>
        </w:rPr>
        <w:t xml:space="preserve">possui aderência direta </w:t>
      </w:r>
      <w:r w:rsidR="00352E82">
        <w:rPr>
          <w:rFonts w:ascii="Times New Roman" w:eastAsia="Times New Roman" w:hAnsi="Times New Roman" w:cs="Times New Roman"/>
          <w:sz w:val="24"/>
          <w:szCs w:val="24"/>
        </w:rPr>
        <w:t>com o</w:t>
      </w:r>
      <w:r>
        <w:rPr>
          <w:rFonts w:ascii="Times New Roman" w:eastAsia="Times New Roman" w:hAnsi="Times New Roman" w:cs="Times New Roman"/>
          <w:sz w:val="24"/>
          <w:szCs w:val="24"/>
        </w:rPr>
        <w:t xml:space="preserve"> ODS </w:t>
      </w:r>
      <w:r w:rsidR="00A24EA6">
        <w:rPr>
          <w:rFonts w:ascii="Times New Roman" w:eastAsia="Times New Roman" w:hAnsi="Times New Roman" w:cs="Times New Roman"/>
          <w:sz w:val="24"/>
          <w:szCs w:val="24"/>
        </w:rPr>
        <w:t xml:space="preserve">nº </w:t>
      </w:r>
      <w:r>
        <w:rPr>
          <w:rFonts w:ascii="Times New Roman" w:eastAsia="Times New Roman" w:hAnsi="Times New Roman" w:cs="Times New Roman"/>
          <w:sz w:val="24"/>
          <w:szCs w:val="24"/>
        </w:rPr>
        <w:t>16</w:t>
      </w:r>
      <w:r w:rsidR="001721DD">
        <w:rPr>
          <w:rFonts w:ascii="Times New Roman" w:eastAsia="Times New Roman" w:hAnsi="Times New Roman" w:cs="Times New Roman"/>
          <w:sz w:val="24"/>
          <w:szCs w:val="24"/>
        </w:rPr>
        <w:t>, especialmente com algumas metas específicas.</w:t>
      </w:r>
    </w:p>
    <w:p w14:paraId="473B6F32" w14:textId="53C2D76F" w:rsidR="00536B60" w:rsidRDefault="00536B60" w:rsidP="00EE07B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tanto, buscar-se-á demonstrar </w:t>
      </w:r>
      <w:r w:rsidR="00885CBD">
        <w:rPr>
          <w:rFonts w:ascii="Times New Roman" w:hAnsi="Times New Roman" w:cs="Times New Roman"/>
          <w:sz w:val="24"/>
          <w:szCs w:val="24"/>
        </w:rPr>
        <w:t xml:space="preserve">a existência do </w:t>
      </w:r>
      <w:r w:rsidR="00E70265">
        <w:rPr>
          <w:rFonts w:ascii="Times New Roman" w:hAnsi="Times New Roman" w:cs="Times New Roman"/>
          <w:sz w:val="24"/>
          <w:szCs w:val="24"/>
        </w:rPr>
        <w:t>“</w:t>
      </w:r>
      <w:r w:rsidR="00885CBD" w:rsidRPr="006B578D">
        <w:rPr>
          <w:rFonts w:ascii="Times New Roman" w:hAnsi="Times New Roman" w:cs="Times New Roman"/>
          <w:sz w:val="24"/>
          <w:szCs w:val="24"/>
        </w:rPr>
        <w:t xml:space="preserve">Microssistema </w:t>
      </w:r>
      <w:r w:rsidR="00E70265">
        <w:rPr>
          <w:rFonts w:ascii="Times New Roman" w:hAnsi="Times New Roman" w:cs="Times New Roman"/>
          <w:sz w:val="24"/>
          <w:szCs w:val="24"/>
        </w:rPr>
        <w:t>N</w:t>
      </w:r>
      <w:r w:rsidR="00885CBD" w:rsidRPr="006B578D">
        <w:rPr>
          <w:rFonts w:ascii="Times New Roman" w:hAnsi="Times New Roman" w:cs="Times New Roman"/>
          <w:sz w:val="24"/>
          <w:szCs w:val="24"/>
        </w:rPr>
        <w:t>ormativo de Métodos Adequados de Tratamento de Conflitos”</w:t>
      </w:r>
      <w:r w:rsidR="00E70265">
        <w:rPr>
          <w:rFonts w:ascii="Times New Roman" w:hAnsi="Times New Roman" w:cs="Times New Roman"/>
          <w:sz w:val="24"/>
          <w:szCs w:val="24"/>
        </w:rPr>
        <w:t>,</w:t>
      </w:r>
      <w:r>
        <w:rPr>
          <w:rFonts w:ascii="Times New Roman" w:hAnsi="Times New Roman" w:cs="Times New Roman"/>
          <w:sz w:val="24"/>
          <w:szCs w:val="24"/>
        </w:rPr>
        <w:t xml:space="preserve"> conjunto de normas que hoje </w:t>
      </w:r>
      <w:r w:rsidR="00E70265">
        <w:rPr>
          <w:rFonts w:ascii="Times New Roman" w:hAnsi="Times New Roman" w:cs="Times New Roman"/>
          <w:sz w:val="24"/>
          <w:szCs w:val="24"/>
        </w:rPr>
        <w:t>incentivam</w:t>
      </w:r>
      <w:r>
        <w:rPr>
          <w:rFonts w:ascii="Times New Roman" w:hAnsi="Times New Roman" w:cs="Times New Roman"/>
          <w:sz w:val="24"/>
          <w:szCs w:val="24"/>
        </w:rPr>
        <w:t xml:space="preserve"> e </w:t>
      </w:r>
      <w:r w:rsidR="00E70265">
        <w:rPr>
          <w:rFonts w:ascii="Times New Roman" w:hAnsi="Times New Roman" w:cs="Times New Roman"/>
          <w:sz w:val="24"/>
          <w:szCs w:val="24"/>
        </w:rPr>
        <w:t>legitimam</w:t>
      </w:r>
      <w:r>
        <w:rPr>
          <w:rFonts w:ascii="Times New Roman" w:hAnsi="Times New Roman" w:cs="Times New Roman"/>
          <w:sz w:val="24"/>
          <w:szCs w:val="24"/>
        </w:rPr>
        <w:t xml:space="preserve"> </w:t>
      </w:r>
      <w:r w:rsidR="00E70265">
        <w:rPr>
          <w:rFonts w:ascii="Times New Roman" w:hAnsi="Times New Roman" w:cs="Times New Roman"/>
          <w:sz w:val="24"/>
          <w:szCs w:val="24"/>
        </w:rPr>
        <w:t>o desenvolvimento d</w:t>
      </w:r>
      <w:r>
        <w:rPr>
          <w:rFonts w:ascii="Times New Roman" w:hAnsi="Times New Roman" w:cs="Times New Roman"/>
          <w:sz w:val="24"/>
          <w:szCs w:val="24"/>
        </w:rPr>
        <w:t>a autocomposição dos litígios no ordenamento brasileiro</w:t>
      </w:r>
      <w:r w:rsidRPr="006B578D">
        <w:rPr>
          <w:rFonts w:ascii="Times New Roman" w:hAnsi="Times New Roman" w:cs="Times New Roman"/>
          <w:sz w:val="24"/>
          <w:szCs w:val="24"/>
        </w:rPr>
        <w:t>,</w:t>
      </w:r>
      <w:r>
        <w:rPr>
          <w:rFonts w:ascii="Times New Roman" w:hAnsi="Times New Roman" w:cs="Times New Roman"/>
          <w:sz w:val="24"/>
          <w:szCs w:val="24"/>
        </w:rPr>
        <w:t xml:space="preserve"> </w:t>
      </w:r>
      <w:r w:rsidR="00C5013A">
        <w:rPr>
          <w:rFonts w:ascii="Times New Roman" w:hAnsi="Times New Roman" w:cs="Times New Roman"/>
          <w:sz w:val="24"/>
          <w:szCs w:val="24"/>
        </w:rPr>
        <w:t>abordando-se</w:t>
      </w:r>
      <w:r>
        <w:rPr>
          <w:rFonts w:ascii="Times New Roman" w:hAnsi="Times New Roman" w:cs="Times New Roman"/>
          <w:sz w:val="24"/>
          <w:szCs w:val="24"/>
        </w:rPr>
        <w:t>, especialmente, a implementação nas demandas titularizadas pela Administração Pública.</w:t>
      </w:r>
    </w:p>
    <w:p w14:paraId="0F448869" w14:textId="4B9EA19F" w:rsidR="00A829BF" w:rsidRDefault="004B1DE0" w:rsidP="00A829BF">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C</w:t>
      </w:r>
      <w:r w:rsidR="00DD1D9B">
        <w:rPr>
          <w:rFonts w:ascii="Times New Roman" w:hAnsi="Times New Roman" w:cs="Times New Roman"/>
          <w:sz w:val="24"/>
          <w:szCs w:val="24"/>
        </w:rPr>
        <w:t>onsiderando a</w:t>
      </w:r>
      <w:r w:rsidR="00A829BF" w:rsidRPr="00967607">
        <w:rPr>
          <w:rFonts w:ascii="Times New Roman" w:hAnsi="Times New Roman" w:cs="Times New Roman"/>
          <w:sz w:val="24"/>
          <w:szCs w:val="24"/>
        </w:rPr>
        <w:t xml:space="preserve"> notória crise</w:t>
      </w:r>
      <w:r w:rsidR="00DD1D9B">
        <w:rPr>
          <w:rFonts w:ascii="Times New Roman" w:hAnsi="Times New Roman" w:cs="Times New Roman"/>
          <w:sz w:val="24"/>
          <w:szCs w:val="24"/>
        </w:rPr>
        <w:t xml:space="preserve"> d</w:t>
      </w:r>
      <w:r w:rsidR="00A829BF" w:rsidRPr="00967607">
        <w:rPr>
          <w:rFonts w:ascii="Times New Roman" w:hAnsi="Times New Roman" w:cs="Times New Roman"/>
          <w:sz w:val="24"/>
          <w:szCs w:val="24"/>
        </w:rPr>
        <w:t>o contencioso tributário,</w:t>
      </w:r>
      <w:r w:rsidR="004423F2">
        <w:rPr>
          <w:rFonts w:ascii="Times New Roman" w:hAnsi="Times New Roman" w:cs="Times New Roman"/>
          <w:sz w:val="24"/>
          <w:szCs w:val="24"/>
        </w:rPr>
        <w:t xml:space="preserve"> que se mostra cada vez mais insustentável, </w:t>
      </w:r>
      <w:r w:rsidR="00583427">
        <w:rPr>
          <w:rFonts w:ascii="Times New Roman" w:hAnsi="Times New Roman" w:cs="Times New Roman"/>
          <w:sz w:val="24"/>
          <w:szCs w:val="24"/>
        </w:rPr>
        <w:t xml:space="preserve">será analisada a importância da transformação </w:t>
      </w:r>
      <w:r w:rsidR="00E3621E">
        <w:rPr>
          <w:rFonts w:ascii="Times New Roman" w:hAnsi="Times New Roman" w:cs="Times New Roman"/>
          <w:sz w:val="24"/>
          <w:szCs w:val="24"/>
        </w:rPr>
        <w:t>do tratamento</w:t>
      </w:r>
      <w:r w:rsidR="00306429">
        <w:rPr>
          <w:rFonts w:ascii="Times New Roman" w:hAnsi="Times New Roman" w:cs="Times New Roman"/>
          <w:sz w:val="24"/>
          <w:szCs w:val="24"/>
        </w:rPr>
        <w:t xml:space="preserve"> da alta litigiosidade fiscal, </w:t>
      </w:r>
      <w:r>
        <w:rPr>
          <w:rFonts w:ascii="Times New Roman" w:hAnsi="Times New Roman" w:cs="Times New Roman"/>
          <w:sz w:val="24"/>
          <w:szCs w:val="24"/>
        </w:rPr>
        <w:t xml:space="preserve">medida </w:t>
      </w:r>
      <w:r w:rsidR="00A829BF" w:rsidRPr="00967607">
        <w:rPr>
          <w:rFonts w:ascii="Times New Roman" w:hAnsi="Times New Roman" w:cs="Times New Roman"/>
          <w:sz w:val="24"/>
          <w:szCs w:val="24"/>
        </w:rPr>
        <w:t xml:space="preserve">determinante para o desenvolvimento de instituições eficazes e </w:t>
      </w:r>
      <w:r w:rsidR="00696684">
        <w:rPr>
          <w:rFonts w:ascii="Times New Roman" w:hAnsi="Times New Roman" w:cs="Times New Roman"/>
          <w:sz w:val="24"/>
          <w:szCs w:val="24"/>
        </w:rPr>
        <w:t xml:space="preserve">para </w:t>
      </w:r>
      <w:r w:rsidR="00A829BF" w:rsidRPr="00967607">
        <w:rPr>
          <w:rFonts w:ascii="Times New Roman" w:hAnsi="Times New Roman" w:cs="Times New Roman"/>
          <w:sz w:val="24"/>
          <w:szCs w:val="24"/>
        </w:rPr>
        <w:t>a reconstrução da função judicial do Estado enquanto pacificador de conflitos e provedor do acesso à justiça.</w:t>
      </w:r>
    </w:p>
    <w:p w14:paraId="1768A82A" w14:textId="2B05E155" w:rsidR="00536B60" w:rsidRDefault="003E2F10" w:rsidP="00696684">
      <w:pPr>
        <w:spacing w:before="120" w:after="120" w:line="360" w:lineRule="auto"/>
        <w:ind w:right="-2" w:firstLine="851"/>
        <w:jc w:val="both"/>
        <w:rPr>
          <w:rFonts w:ascii="Times New Roman" w:hAnsi="Times New Roman" w:cs="Times New Roman"/>
          <w:sz w:val="24"/>
          <w:szCs w:val="24"/>
        </w:rPr>
      </w:pPr>
      <w:r w:rsidRPr="003E2F10">
        <w:rPr>
          <w:rFonts w:ascii="Times New Roman" w:hAnsi="Times New Roman" w:cs="Times New Roman"/>
          <w:sz w:val="24"/>
          <w:szCs w:val="24"/>
        </w:rPr>
        <w:t>Este caminho tem o potencial de beneficiar</w:t>
      </w:r>
      <w:r w:rsidR="00B542BE">
        <w:rPr>
          <w:rFonts w:ascii="Times New Roman" w:hAnsi="Times New Roman" w:cs="Times New Roman"/>
          <w:sz w:val="24"/>
          <w:szCs w:val="24"/>
        </w:rPr>
        <w:t xml:space="preserve"> </w:t>
      </w:r>
      <w:r w:rsidRPr="003E2F10">
        <w:rPr>
          <w:rFonts w:ascii="Times New Roman" w:hAnsi="Times New Roman" w:cs="Times New Roman"/>
          <w:sz w:val="24"/>
          <w:szCs w:val="24"/>
        </w:rPr>
        <w:t>o Poder Judiciário, favorecendo o aumento da eficiência na entrega da tutela jurisdicional</w:t>
      </w:r>
      <w:r w:rsidR="00696684">
        <w:rPr>
          <w:rFonts w:ascii="Times New Roman" w:hAnsi="Times New Roman" w:cs="Times New Roman"/>
          <w:sz w:val="24"/>
          <w:szCs w:val="24"/>
        </w:rPr>
        <w:t>;</w:t>
      </w:r>
      <w:r w:rsidRPr="003E2F10">
        <w:rPr>
          <w:rFonts w:ascii="Times New Roman" w:hAnsi="Times New Roman" w:cs="Times New Roman"/>
          <w:sz w:val="24"/>
          <w:szCs w:val="24"/>
        </w:rPr>
        <w:t xml:space="preserve"> a Fazenda Pública, no que tange a otimização da recuperação </w:t>
      </w:r>
      <w:r w:rsidR="00B717AB">
        <w:rPr>
          <w:rFonts w:ascii="Times New Roman" w:hAnsi="Times New Roman" w:cs="Times New Roman"/>
          <w:sz w:val="24"/>
          <w:szCs w:val="24"/>
        </w:rPr>
        <w:t>fiscal</w:t>
      </w:r>
      <w:r w:rsidR="00696684">
        <w:rPr>
          <w:rFonts w:ascii="Times New Roman" w:hAnsi="Times New Roman" w:cs="Times New Roman"/>
          <w:sz w:val="24"/>
          <w:szCs w:val="24"/>
        </w:rPr>
        <w:t>;</w:t>
      </w:r>
      <w:r w:rsidRPr="003E2F10">
        <w:rPr>
          <w:rFonts w:ascii="Times New Roman" w:hAnsi="Times New Roman" w:cs="Times New Roman"/>
          <w:sz w:val="24"/>
          <w:szCs w:val="24"/>
        </w:rPr>
        <w:t xml:space="preserve"> </w:t>
      </w:r>
      <w:r w:rsidR="00B717AB">
        <w:rPr>
          <w:rFonts w:ascii="Times New Roman" w:hAnsi="Times New Roman" w:cs="Times New Roman"/>
          <w:sz w:val="24"/>
          <w:szCs w:val="24"/>
        </w:rPr>
        <w:t xml:space="preserve">e </w:t>
      </w:r>
      <w:r w:rsidRPr="003E2F10">
        <w:rPr>
          <w:rFonts w:ascii="Times New Roman" w:hAnsi="Times New Roman" w:cs="Times New Roman"/>
          <w:sz w:val="24"/>
          <w:szCs w:val="24"/>
        </w:rPr>
        <w:t>os contribuintes, por meio da reconstrução de uma relação de maior transparência, diálogo</w:t>
      </w:r>
      <w:r w:rsidR="009F0F7B">
        <w:rPr>
          <w:rFonts w:ascii="Times New Roman" w:hAnsi="Times New Roman" w:cs="Times New Roman"/>
          <w:sz w:val="24"/>
          <w:szCs w:val="24"/>
        </w:rPr>
        <w:t>, confiança</w:t>
      </w:r>
      <w:r w:rsidRPr="003E2F10">
        <w:rPr>
          <w:rFonts w:ascii="Times New Roman" w:hAnsi="Times New Roman" w:cs="Times New Roman"/>
          <w:sz w:val="24"/>
          <w:szCs w:val="24"/>
        </w:rPr>
        <w:t xml:space="preserve"> e cooperação</w:t>
      </w:r>
      <w:r w:rsidR="009F0F7B">
        <w:rPr>
          <w:rFonts w:ascii="Times New Roman" w:hAnsi="Times New Roman" w:cs="Times New Roman"/>
          <w:sz w:val="24"/>
          <w:szCs w:val="24"/>
        </w:rPr>
        <w:t xml:space="preserve"> com o Fisco</w:t>
      </w:r>
      <w:r w:rsidR="00536B60">
        <w:rPr>
          <w:rFonts w:ascii="Times New Roman" w:hAnsi="Times New Roman" w:cs="Times New Roman"/>
          <w:sz w:val="24"/>
          <w:szCs w:val="24"/>
        </w:rPr>
        <w:t>.</w:t>
      </w:r>
    </w:p>
    <w:p w14:paraId="25081F16" w14:textId="4843EFF8" w:rsidR="00536B60" w:rsidRDefault="00536B60" w:rsidP="00EE07B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proposição do trabalho, ao final, irá </w:t>
      </w:r>
      <w:r w:rsidR="0059798B">
        <w:rPr>
          <w:rFonts w:ascii="Times New Roman" w:hAnsi="Times New Roman" w:cs="Times New Roman"/>
          <w:sz w:val="24"/>
          <w:szCs w:val="24"/>
        </w:rPr>
        <w:t>passar</w:t>
      </w:r>
      <w:r>
        <w:rPr>
          <w:rFonts w:ascii="Times New Roman" w:hAnsi="Times New Roman" w:cs="Times New Roman"/>
          <w:sz w:val="24"/>
          <w:szCs w:val="24"/>
        </w:rPr>
        <w:t xml:space="preserve"> pelos principais</w:t>
      </w:r>
      <w:r w:rsidR="00FF2F06">
        <w:rPr>
          <w:rFonts w:ascii="Times New Roman" w:hAnsi="Times New Roman" w:cs="Times New Roman"/>
          <w:sz w:val="24"/>
          <w:szCs w:val="24"/>
        </w:rPr>
        <w:t xml:space="preserve"> instrumentos</w:t>
      </w:r>
      <w:r>
        <w:rPr>
          <w:rFonts w:ascii="Times New Roman" w:hAnsi="Times New Roman" w:cs="Times New Roman"/>
          <w:sz w:val="24"/>
          <w:szCs w:val="24"/>
        </w:rPr>
        <w:t xml:space="preserve"> </w:t>
      </w:r>
      <w:r w:rsidR="00752E0B">
        <w:rPr>
          <w:rFonts w:ascii="Times New Roman" w:hAnsi="Times New Roman" w:cs="Times New Roman"/>
          <w:sz w:val="24"/>
          <w:szCs w:val="24"/>
        </w:rPr>
        <w:t>de resolução extrajudicial d</w:t>
      </w:r>
      <w:r w:rsidR="0059798B">
        <w:rPr>
          <w:rFonts w:ascii="Times New Roman" w:hAnsi="Times New Roman" w:cs="Times New Roman"/>
          <w:sz w:val="24"/>
          <w:szCs w:val="24"/>
        </w:rPr>
        <w:t>e conflitos, aplicáveis às controvérsias fiscais</w:t>
      </w:r>
      <w:r>
        <w:rPr>
          <w:rFonts w:ascii="Times New Roman" w:hAnsi="Times New Roman" w:cs="Times New Roman"/>
          <w:sz w:val="24"/>
          <w:szCs w:val="24"/>
        </w:rPr>
        <w:t xml:space="preserve">, quais sejam, a </w:t>
      </w:r>
      <w:r w:rsidRPr="00AD0309">
        <w:rPr>
          <w:rFonts w:ascii="Times New Roman" w:hAnsi="Times New Roman" w:cs="Times New Roman"/>
          <w:sz w:val="24"/>
          <w:szCs w:val="24"/>
        </w:rPr>
        <w:t xml:space="preserve">transação tributária, </w:t>
      </w:r>
      <w:r w:rsidR="001A77F2">
        <w:rPr>
          <w:rFonts w:ascii="Times New Roman" w:hAnsi="Times New Roman" w:cs="Times New Roman"/>
          <w:sz w:val="24"/>
          <w:szCs w:val="24"/>
        </w:rPr>
        <w:t xml:space="preserve">a </w:t>
      </w:r>
      <w:r w:rsidRPr="00AD0309">
        <w:rPr>
          <w:rFonts w:ascii="Times New Roman" w:hAnsi="Times New Roman" w:cs="Times New Roman"/>
          <w:sz w:val="24"/>
          <w:szCs w:val="24"/>
        </w:rPr>
        <w:t>autocomposição</w:t>
      </w:r>
      <w:r w:rsidR="001A77F2">
        <w:rPr>
          <w:rFonts w:ascii="Times New Roman" w:hAnsi="Times New Roman" w:cs="Times New Roman"/>
          <w:sz w:val="24"/>
          <w:szCs w:val="24"/>
        </w:rPr>
        <w:t xml:space="preserve"> em matéria</w:t>
      </w:r>
      <w:r w:rsidRPr="00AD0309">
        <w:rPr>
          <w:rFonts w:ascii="Times New Roman" w:hAnsi="Times New Roman" w:cs="Times New Roman"/>
          <w:sz w:val="24"/>
          <w:szCs w:val="24"/>
        </w:rPr>
        <w:t xml:space="preserve"> fiscal e </w:t>
      </w:r>
      <w:r>
        <w:rPr>
          <w:rFonts w:ascii="Times New Roman" w:hAnsi="Times New Roman" w:cs="Times New Roman"/>
          <w:sz w:val="24"/>
          <w:szCs w:val="24"/>
        </w:rPr>
        <w:t xml:space="preserve">a </w:t>
      </w:r>
      <w:r w:rsidRPr="00AD0309">
        <w:rPr>
          <w:rFonts w:ascii="Times New Roman" w:hAnsi="Times New Roman" w:cs="Times New Roman"/>
          <w:sz w:val="24"/>
          <w:szCs w:val="24"/>
        </w:rPr>
        <w:t>arbitragem tributária</w:t>
      </w:r>
      <w:r>
        <w:rPr>
          <w:rFonts w:ascii="Times New Roman" w:hAnsi="Times New Roman" w:cs="Times New Roman"/>
          <w:sz w:val="24"/>
          <w:szCs w:val="24"/>
        </w:rPr>
        <w:t>, demonstrando-se</w:t>
      </w:r>
      <w:r w:rsidR="00CE4C91">
        <w:rPr>
          <w:rFonts w:ascii="Times New Roman" w:hAnsi="Times New Roman" w:cs="Times New Roman"/>
          <w:sz w:val="24"/>
          <w:szCs w:val="24"/>
        </w:rPr>
        <w:t xml:space="preserve"> </w:t>
      </w:r>
      <w:r w:rsidR="00F9309C">
        <w:rPr>
          <w:rFonts w:ascii="Times New Roman" w:hAnsi="Times New Roman" w:cs="Times New Roman"/>
          <w:sz w:val="24"/>
          <w:szCs w:val="24"/>
        </w:rPr>
        <w:t xml:space="preserve">o papel e </w:t>
      </w:r>
      <w:r w:rsidR="00CE4C91">
        <w:rPr>
          <w:rFonts w:ascii="Times New Roman" w:hAnsi="Times New Roman" w:cs="Times New Roman"/>
          <w:sz w:val="24"/>
          <w:szCs w:val="24"/>
        </w:rPr>
        <w:t>os</w:t>
      </w:r>
      <w:r>
        <w:rPr>
          <w:rFonts w:ascii="Times New Roman" w:hAnsi="Times New Roman" w:cs="Times New Roman"/>
          <w:sz w:val="24"/>
          <w:szCs w:val="24"/>
        </w:rPr>
        <w:t xml:space="preserve"> pontos elementares de funcionamento d</w:t>
      </w:r>
      <w:r w:rsidR="00F9309C">
        <w:rPr>
          <w:rFonts w:ascii="Times New Roman" w:hAnsi="Times New Roman" w:cs="Times New Roman"/>
          <w:sz w:val="24"/>
          <w:szCs w:val="24"/>
        </w:rPr>
        <w:t xml:space="preserve">e cada um destes </w:t>
      </w:r>
      <w:r>
        <w:rPr>
          <w:rFonts w:ascii="Times New Roman" w:hAnsi="Times New Roman" w:cs="Times New Roman"/>
          <w:sz w:val="24"/>
          <w:szCs w:val="24"/>
        </w:rPr>
        <w:t>institutos.</w:t>
      </w:r>
    </w:p>
    <w:p w14:paraId="35523522" w14:textId="77777777" w:rsidR="009D71C7" w:rsidRDefault="009D71C7" w:rsidP="00EE07B3">
      <w:pPr>
        <w:spacing w:after="0" w:line="360" w:lineRule="auto"/>
        <w:ind w:firstLine="851"/>
        <w:jc w:val="both"/>
        <w:rPr>
          <w:rFonts w:ascii="Times New Roman" w:hAnsi="Times New Roman" w:cs="Times New Roman"/>
          <w:sz w:val="24"/>
          <w:szCs w:val="24"/>
        </w:rPr>
      </w:pPr>
    </w:p>
    <w:p w14:paraId="26E3A29C" w14:textId="00AF534D" w:rsidR="5097C9EF" w:rsidRPr="00710C49" w:rsidRDefault="00204708" w:rsidP="00EE07B3">
      <w:pPr>
        <w:pStyle w:val="PargrafodaLista"/>
        <w:numPr>
          <w:ilvl w:val="0"/>
          <w:numId w:val="3"/>
        </w:numPr>
        <w:spacing w:before="120" w:after="120" w:line="360" w:lineRule="auto"/>
        <w:ind w:left="0" w:firstLine="851"/>
        <w:contextualSpacing w:val="0"/>
        <w:jc w:val="both"/>
        <w:rPr>
          <w:caps/>
        </w:rPr>
      </w:pPr>
      <w:r>
        <w:rPr>
          <w:rFonts w:ascii="Times New Roman" w:eastAsia="Times New Roman" w:hAnsi="Times New Roman" w:cs="Times New Roman"/>
          <w:b/>
          <w:bCs/>
          <w:caps/>
          <w:sz w:val="24"/>
          <w:szCs w:val="24"/>
        </w:rPr>
        <w:t xml:space="preserve">O </w:t>
      </w:r>
      <w:r w:rsidR="5097C9EF" w:rsidRPr="00204708">
        <w:rPr>
          <w:rFonts w:ascii="Times New Roman" w:eastAsia="Times New Roman" w:hAnsi="Times New Roman" w:cs="Times New Roman"/>
          <w:b/>
          <w:bCs/>
          <w:caps/>
          <w:sz w:val="24"/>
          <w:szCs w:val="24"/>
        </w:rPr>
        <w:t>Microssistema Normativo de Métodos Adequados de Tratamento de Conflito</w:t>
      </w:r>
      <w:r w:rsidR="00EB1B37">
        <w:rPr>
          <w:rFonts w:ascii="Times New Roman" w:eastAsia="Times New Roman" w:hAnsi="Times New Roman" w:cs="Times New Roman"/>
          <w:b/>
          <w:bCs/>
          <w:caps/>
          <w:sz w:val="24"/>
          <w:szCs w:val="24"/>
        </w:rPr>
        <w:t>S</w:t>
      </w:r>
      <w:r w:rsidR="5097C9EF" w:rsidRPr="00204708">
        <w:rPr>
          <w:rFonts w:ascii="Times New Roman" w:eastAsia="Times New Roman" w:hAnsi="Times New Roman" w:cs="Times New Roman"/>
          <w:b/>
          <w:bCs/>
          <w:caps/>
          <w:sz w:val="24"/>
          <w:szCs w:val="24"/>
        </w:rPr>
        <w:t xml:space="preserve"> e a Administração Pública</w:t>
      </w:r>
    </w:p>
    <w:p w14:paraId="2F69B72A" w14:textId="5D307311" w:rsidR="00AF4E73"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Entende-se como </w:t>
      </w:r>
      <w:r w:rsidRPr="00AB2D18">
        <w:rPr>
          <w:rFonts w:ascii="Times New Roman" w:eastAsia="Times New Roman" w:hAnsi="Times New Roman" w:cs="Times New Roman"/>
          <w:sz w:val="24"/>
          <w:szCs w:val="24"/>
        </w:rPr>
        <w:t>“Microssistema Normativo de Métodos Adequados de Tratamento de Conflitos”</w:t>
      </w:r>
      <w:r w:rsidRPr="5097C9EF">
        <w:rPr>
          <w:rFonts w:ascii="Times New Roman" w:eastAsia="Times New Roman" w:hAnsi="Times New Roman" w:cs="Times New Roman"/>
          <w:sz w:val="24"/>
          <w:szCs w:val="24"/>
        </w:rPr>
        <w:t xml:space="preserve"> o conjunto de normas que dispõem e estimulam a </w:t>
      </w:r>
      <w:r w:rsidR="0049660C">
        <w:rPr>
          <w:rFonts w:ascii="Times New Roman" w:eastAsia="Times New Roman" w:hAnsi="Times New Roman" w:cs="Times New Roman"/>
          <w:sz w:val="24"/>
          <w:szCs w:val="24"/>
        </w:rPr>
        <w:t>utilização d</w:t>
      </w:r>
      <w:r w:rsidR="000273E7">
        <w:rPr>
          <w:rFonts w:ascii="Times New Roman" w:eastAsia="Times New Roman" w:hAnsi="Times New Roman" w:cs="Times New Roman"/>
          <w:sz w:val="24"/>
          <w:szCs w:val="24"/>
        </w:rPr>
        <w:t xml:space="preserve">e instrumentos de consensualidade, </w:t>
      </w:r>
      <w:r w:rsidRPr="5097C9EF">
        <w:rPr>
          <w:rFonts w:ascii="Times New Roman" w:eastAsia="Times New Roman" w:hAnsi="Times New Roman" w:cs="Times New Roman"/>
          <w:sz w:val="24"/>
          <w:szCs w:val="24"/>
        </w:rPr>
        <w:t>com destaque para o Código de Processo Civil - CPC/15, a Lei de Mediação (Lei nº 13.140/2015) e a Lei de Arbitragem (Lei nº 9.307/1996).</w:t>
      </w:r>
    </w:p>
    <w:p w14:paraId="517E4CD6" w14:textId="36AFA428" w:rsidR="5097C9EF" w:rsidRPr="007A2E50" w:rsidRDefault="007B432B" w:rsidP="00EE07B3">
      <w:pPr>
        <w:spacing w:before="120" w:after="120" w:line="360" w:lineRule="auto"/>
        <w:ind w:firstLine="851"/>
        <w:jc w:val="both"/>
      </w:pPr>
      <w:r>
        <w:rPr>
          <w:rFonts w:ascii="Times New Roman" w:eastAsia="Times New Roman" w:hAnsi="Times New Roman" w:cs="Times New Roman"/>
          <w:sz w:val="24"/>
          <w:szCs w:val="24"/>
        </w:rPr>
        <w:t xml:space="preserve">O termo se relaciona com </w:t>
      </w:r>
      <w:r w:rsidR="5097C9EF" w:rsidRPr="5097C9EF">
        <w:rPr>
          <w:rFonts w:ascii="Times New Roman" w:eastAsia="Times New Roman" w:hAnsi="Times New Roman" w:cs="Times New Roman"/>
          <w:sz w:val="24"/>
          <w:szCs w:val="24"/>
        </w:rPr>
        <w:t xml:space="preserve">o conceito de </w:t>
      </w:r>
      <w:r w:rsidR="008E31A6" w:rsidRPr="008E31A6">
        <w:rPr>
          <w:rFonts w:ascii="Times New Roman" w:eastAsia="Times New Roman" w:hAnsi="Times New Roman" w:cs="Times New Roman"/>
          <w:i/>
          <w:iCs/>
          <w:sz w:val="24"/>
          <w:szCs w:val="24"/>
        </w:rPr>
        <w:t>justiça</w:t>
      </w:r>
      <w:r w:rsidR="006800D2">
        <w:rPr>
          <w:rFonts w:ascii="Times New Roman" w:eastAsia="Times New Roman" w:hAnsi="Times New Roman" w:cs="Times New Roman"/>
          <w:i/>
          <w:iCs/>
          <w:sz w:val="24"/>
          <w:szCs w:val="24"/>
        </w:rPr>
        <w:t xml:space="preserve"> </w:t>
      </w:r>
      <w:r w:rsidR="006800D2">
        <w:rPr>
          <w:rFonts w:ascii="Times New Roman" w:eastAsia="Times New Roman" w:hAnsi="Times New Roman" w:cs="Times New Roman"/>
          <w:sz w:val="24"/>
          <w:szCs w:val="24"/>
        </w:rPr>
        <w:t xml:space="preserve">ou </w:t>
      </w:r>
      <w:r w:rsidR="006800D2">
        <w:rPr>
          <w:rFonts w:ascii="Times New Roman" w:eastAsia="Times New Roman" w:hAnsi="Times New Roman" w:cs="Times New Roman"/>
          <w:i/>
          <w:iCs/>
          <w:sz w:val="24"/>
          <w:szCs w:val="24"/>
        </w:rPr>
        <w:t>tribunal</w:t>
      </w:r>
      <w:r w:rsidR="008E31A6" w:rsidRPr="008E31A6">
        <w:rPr>
          <w:rFonts w:ascii="Times New Roman" w:eastAsia="Times New Roman" w:hAnsi="Times New Roman" w:cs="Times New Roman"/>
          <w:i/>
          <w:iCs/>
          <w:sz w:val="24"/>
          <w:szCs w:val="24"/>
        </w:rPr>
        <w:t xml:space="preserve"> m</w:t>
      </w:r>
      <w:r w:rsidR="5097C9EF" w:rsidRPr="008E31A6">
        <w:rPr>
          <w:rFonts w:ascii="Times New Roman" w:eastAsia="Times New Roman" w:hAnsi="Times New Roman" w:cs="Times New Roman"/>
          <w:i/>
          <w:iCs/>
          <w:sz w:val="24"/>
          <w:szCs w:val="24"/>
        </w:rPr>
        <w:t>ultiportas,</w:t>
      </w:r>
      <w:r w:rsidR="5097C9EF" w:rsidRPr="5097C9EF">
        <w:rPr>
          <w:rFonts w:ascii="Times New Roman" w:eastAsia="Times New Roman" w:hAnsi="Times New Roman" w:cs="Times New Roman"/>
          <w:sz w:val="24"/>
          <w:szCs w:val="24"/>
        </w:rPr>
        <w:t xml:space="preserve"> </w:t>
      </w:r>
      <w:r w:rsidR="00FF6B97">
        <w:rPr>
          <w:rFonts w:ascii="Times New Roman" w:eastAsia="Times New Roman" w:hAnsi="Times New Roman" w:cs="Times New Roman"/>
          <w:sz w:val="24"/>
          <w:szCs w:val="24"/>
        </w:rPr>
        <w:t>desenvolvido originariamente</w:t>
      </w:r>
      <w:r w:rsidR="5097C9EF" w:rsidRPr="5097C9EF">
        <w:rPr>
          <w:rFonts w:ascii="Times New Roman" w:eastAsia="Times New Roman" w:hAnsi="Times New Roman" w:cs="Times New Roman"/>
          <w:sz w:val="24"/>
          <w:szCs w:val="24"/>
        </w:rPr>
        <w:t xml:space="preserve"> pelo professor alemão Frank Sander, da Universidade de Harvard, que no fim dos anos 1970 teria idealizado o chamado </w:t>
      </w:r>
      <w:r w:rsidR="007A2E50">
        <w:rPr>
          <w:rFonts w:ascii="Times New Roman" w:eastAsia="Times New Roman" w:hAnsi="Times New Roman" w:cs="Times New Roman"/>
          <w:i/>
          <w:iCs/>
          <w:sz w:val="24"/>
          <w:szCs w:val="24"/>
        </w:rPr>
        <w:t>m</w:t>
      </w:r>
      <w:r w:rsidR="5097C9EF" w:rsidRPr="5097C9EF">
        <w:rPr>
          <w:rFonts w:ascii="Times New Roman" w:eastAsia="Times New Roman" w:hAnsi="Times New Roman" w:cs="Times New Roman"/>
          <w:i/>
          <w:iCs/>
          <w:sz w:val="24"/>
          <w:szCs w:val="24"/>
        </w:rPr>
        <w:t>ulti-</w:t>
      </w:r>
      <w:r w:rsidR="007A2E50">
        <w:rPr>
          <w:rFonts w:ascii="Times New Roman" w:eastAsia="Times New Roman" w:hAnsi="Times New Roman" w:cs="Times New Roman"/>
          <w:i/>
          <w:iCs/>
          <w:sz w:val="24"/>
          <w:szCs w:val="24"/>
        </w:rPr>
        <w:t>d</w:t>
      </w:r>
      <w:r w:rsidR="5097C9EF" w:rsidRPr="5097C9EF">
        <w:rPr>
          <w:rFonts w:ascii="Times New Roman" w:eastAsia="Times New Roman" w:hAnsi="Times New Roman" w:cs="Times New Roman"/>
          <w:i/>
          <w:iCs/>
          <w:sz w:val="24"/>
          <w:szCs w:val="24"/>
        </w:rPr>
        <w:t xml:space="preserve">oor </w:t>
      </w:r>
      <w:r w:rsidR="007A2E50">
        <w:rPr>
          <w:rFonts w:ascii="Times New Roman" w:eastAsia="Times New Roman" w:hAnsi="Times New Roman" w:cs="Times New Roman"/>
          <w:i/>
          <w:iCs/>
          <w:sz w:val="24"/>
          <w:szCs w:val="24"/>
        </w:rPr>
        <w:t>c</w:t>
      </w:r>
      <w:r w:rsidR="5097C9EF" w:rsidRPr="5097C9EF">
        <w:rPr>
          <w:rFonts w:ascii="Times New Roman" w:eastAsia="Times New Roman" w:hAnsi="Times New Roman" w:cs="Times New Roman"/>
          <w:i/>
          <w:iCs/>
          <w:sz w:val="24"/>
          <w:szCs w:val="24"/>
        </w:rPr>
        <w:t>ourthouse</w:t>
      </w:r>
      <w:r w:rsidR="00C17900">
        <w:rPr>
          <w:rStyle w:val="Refdenotaderodap"/>
          <w:rFonts w:ascii="Times New Roman" w:eastAsia="Times New Roman" w:hAnsi="Times New Roman" w:cs="Times New Roman"/>
          <w:i/>
          <w:iCs/>
          <w:sz w:val="24"/>
          <w:szCs w:val="24"/>
        </w:rPr>
        <w:footnoteReference w:id="3"/>
      </w:r>
      <w:r w:rsidR="5097C9EF" w:rsidRPr="5097C9EF">
        <w:rPr>
          <w:rFonts w:ascii="Times New Roman" w:eastAsia="Times New Roman" w:hAnsi="Times New Roman" w:cs="Times New Roman"/>
          <w:i/>
          <w:iCs/>
          <w:sz w:val="24"/>
          <w:szCs w:val="24"/>
        </w:rPr>
        <w:t>,</w:t>
      </w:r>
      <w:r w:rsidR="5097C9EF" w:rsidRPr="5097C9EF">
        <w:rPr>
          <w:rFonts w:ascii="Times New Roman" w:eastAsia="Times New Roman" w:hAnsi="Times New Roman" w:cs="Times New Roman"/>
          <w:sz w:val="24"/>
          <w:szCs w:val="24"/>
        </w:rPr>
        <w:t xml:space="preserve"> proposta que, segundo Carlos </w:t>
      </w:r>
      <w:r w:rsidR="5097C9EF" w:rsidRPr="00C17900">
        <w:rPr>
          <w:rFonts w:ascii="Times New Roman" w:eastAsia="Times New Roman" w:hAnsi="Times New Roman" w:cs="Times New Roman"/>
          <w:sz w:val="24"/>
          <w:szCs w:val="24"/>
        </w:rPr>
        <w:lastRenderedPageBreak/>
        <w:t>Machado</w:t>
      </w:r>
      <w:r w:rsidR="00C17900">
        <w:rPr>
          <w:rStyle w:val="Refdenotaderodap"/>
          <w:rFonts w:ascii="Times New Roman" w:eastAsia="Times New Roman" w:hAnsi="Times New Roman" w:cs="Times New Roman"/>
          <w:sz w:val="24"/>
          <w:szCs w:val="24"/>
        </w:rPr>
        <w:footnoteReference w:id="4"/>
      </w:r>
      <w:r w:rsidR="5097C9EF" w:rsidRPr="5097C9EF">
        <w:rPr>
          <w:rFonts w:ascii="Times New Roman" w:eastAsia="Times New Roman" w:hAnsi="Times New Roman" w:cs="Times New Roman"/>
          <w:i/>
          <w:iCs/>
          <w:sz w:val="24"/>
          <w:szCs w:val="24"/>
        </w:rPr>
        <w:t xml:space="preserve"> </w:t>
      </w:r>
      <w:r w:rsidR="5097C9EF" w:rsidRPr="007A2E50">
        <w:rPr>
          <w:rFonts w:ascii="Times New Roman" w:eastAsia="Times New Roman" w:hAnsi="Times New Roman" w:cs="Times New Roman"/>
          <w:sz w:val="24"/>
          <w:szCs w:val="24"/>
        </w:rPr>
        <w:t>“tratou de implementar um modelo inclusivo de solução de problemas (...), objetivando o direcionamento dos processos que chegassem aos tribunais para as vias mais adequadas de resolução dos conflitos”.</w:t>
      </w:r>
    </w:p>
    <w:p w14:paraId="0DD9C6E5" w14:textId="78194AE4"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Com o alastramento d</w:t>
      </w:r>
      <w:r w:rsidR="00EE17C0">
        <w:rPr>
          <w:rFonts w:ascii="Times New Roman" w:eastAsia="Times New Roman" w:hAnsi="Times New Roman" w:cs="Times New Roman"/>
          <w:sz w:val="24"/>
          <w:szCs w:val="24"/>
        </w:rPr>
        <w:t xml:space="preserve">o conceito </w:t>
      </w:r>
      <w:r w:rsidR="009D170D">
        <w:rPr>
          <w:rFonts w:ascii="Times New Roman" w:eastAsia="Times New Roman" w:hAnsi="Times New Roman" w:cs="Times New Roman"/>
          <w:sz w:val="24"/>
          <w:szCs w:val="24"/>
        </w:rPr>
        <w:t xml:space="preserve">pelo </w:t>
      </w:r>
      <w:r w:rsidRPr="5097C9EF">
        <w:rPr>
          <w:rFonts w:ascii="Times New Roman" w:eastAsia="Times New Roman" w:hAnsi="Times New Roman" w:cs="Times New Roman"/>
          <w:sz w:val="24"/>
          <w:szCs w:val="24"/>
        </w:rPr>
        <w:t>mundo, a ideia fora ampliada, de modo que, atualmente,</w:t>
      </w:r>
      <w:r w:rsidR="00EE17C0">
        <w:rPr>
          <w:rFonts w:ascii="Times New Roman" w:eastAsia="Times New Roman" w:hAnsi="Times New Roman" w:cs="Times New Roman"/>
          <w:sz w:val="24"/>
          <w:szCs w:val="24"/>
        </w:rPr>
        <w:t xml:space="preserve"> esta noção</w:t>
      </w:r>
      <w:r w:rsidRPr="5097C9EF">
        <w:rPr>
          <w:rFonts w:ascii="Times New Roman" w:eastAsia="Times New Roman" w:hAnsi="Times New Roman" w:cs="Times New Roman"/>
          <w:sz w:val="24"/>
          <w:szCs w:val="24"/>
        </w:rPr>
        <w:t xml:space="preserve"> se mostra mais abrangente e diz respeito ao conjunto de técnicas/instrumentos legítimos e adequados de resolução de conflitos, que se tem à disposição de forma complementar ao processo judicial tradicional</w:t>
      </w:r>
      <w:r w:rsidR="00A91914">
        <w:rPr>
          <w:rFonts w:ascii="Times New Roman" w:eastAsia="Times New Roman" w:hAnsi="Times New Roman" w:cs="Times New Roman"/>
          <w:sz w:val="24"/>
          <w:szCs w:val="24"/>
        </w:rPr>
        <w:t>, visto como</w:t>
      </w:r>
      <w:r w:rsidR="00EE17C0">
        <w:rPr>
          <w:rFonts w:ascii="Times New Roman" w:eastAsia="Times New Roman" w:hAnsi="Times New Roman" w:cs="Times New Roman"/>
          <w:sz w:val="24"/>
          <w:szCs w:val="24"/>
        </w:rPr>
        <w:t xml:space="preserve"> </w:t>
      </w:r>
      <w:r w:rsidRPr="001B001C">
        <w:rPr>
          <w:rFonts w:ascii="Times New Roman" w:eastAsia="Times New Roman" w:hAnsi="Times New Roman" w:cs="Times New Roman"/>
          <w:i/>
          <w:iCs/>
          <w:sz w:val="24"/>
          <w:szCs w:val="24"/>
        </w:rPr>
        <w:t>“</w:t>
      </w:r>
      <w:r w:rsidR="00A91914">
        <w:rPr>
          <w:rFonts w:ascii="Times New Roman" w:eastAsia="Times New Roman" w:hAnsi="Times New Roman" w:cs="Times New Roman"/>
          <w:i/>
          <w:iCs/>
          <w:sz w:val="24"/>
          <w:szCs w:val="24"/>
        </w:rPr>
        <w:t>uma das portas</w:t>
      </w:r>
      <w:r w:rsidRPr="001B001C">
        <w:rPr>
          <w:rFonts w:ascii="Times New Roman" w:eastAsia="Times New Roman" w:hAnsi="Times New Roman" w:cs="Times New Roman"/>
          <w:i/>
          <w:iCs/>
          <w:sz w:val="24"/>
          <w:szCs w:val="24"/>
        </w:rPr>
        <w:t>”.</w:t>
      </w:r>
    </w:p>
    <w:p w14:paraId="440DD6EF" w14:textId="5A7B5EC4" w:rsidR="004635FB" w:rsidRDefault="004635FB"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Importante esclarecer que, no presente trabalho, </w:t>
      </w:r>
      <w:r w:rsidR="00B437D9">
        <w:rPr>
          <w:rFonts w:ascii="Times New Roman" w:eastAsia="Times New Roman" w:hAnsi="Times New Roman" w:cs="Times New Roman"/>
          <w:sz w:val="24"/>
          <w:szCs w:val="24"/>
        </w:rPr>
        <w:t>optamos por priorizar</w:t>
      </w:r>
      <w:r w:rsidR="001907DF">
        <w:rPr>
          <w:rFonts w:ascii="Times New Roman" w:eastAsia="Times New Roman" w:hAnsi="Times New Roman" w:cs="Times New Roman"/>
          <w:sz w:val="24"/>
          <w:szCs w:val="24"/>
        </w:rPr>
        <w:t>, sempre que possível,</w:t>
      </w:r>
      <w:r w:rsidR="00B437D9">
        <w:rPr>
          <w:rFonts w:ascii="Times New Roman" w:eastAsia="Times New Roman" w:hAnsi="Times New Roman" w:cs="Times New Roman"/>
          <w:sz w:val="24"/>
          <w:szCs w:val="24"/>
        </w:rPr>
        <w:t xml:space="preserve"> o termo </w:t>
      </w:r>
      <w:r w:rsidR="00B437D9">
        <w:rPr>
          <w:rFonts w:ascii="Times New Roman" w:eastAsia="Times New Roman" w:hAnsi="Times New Roman" w:cs="Times New Roman"/>
          <w:i/>
          <w:iCs/>
          <w:sz w:val="24"/>
          <w:szCs w:val="24"/>
        </w:rPr>
        <w:t>multiportas</w:t>
      </w:r>
      <w:r w:rsidR="00B437D9">
        <w:rPr>
          <w:rFonts w:ascii="Times New Roman" w:eastAsia="Times New Roman" w:hAnsi="Times New Roman" w:cs="Times New Roman"/>
          <w:sz w:val="24"/>
          <w:szCs w:val="24"/>
        </w:rPr>
        <w:t xml:space="preserve">, pois este abrange tanto os </w:t>
      </w:r>
      <w:r w:rsidR="00E95E76">
        <w:rPr>
          <w:rFonts w:ascii="Times New Roman" w:eastAsia="Times New Roman" w:hAnsi="Times New Roman" w:cs="Times New Roman"/>
          <w:sz w:val="24"/>
          <w:szCs w:val="24"/>
        </w:rPr>
        <w:t>instrumentos de</w:t>
      </w:r>
      <w:r w:rsidR="00B437D9">
        <w:rPr>
          <w:rFonts w:ascii="Times New Roman" w:eastAsia="Times New Roman" w:hAnsi="Times New Roman" w:cs="Times New Roman"/>
          <w:sz w:val="24"/>
          <w:szCs w:val="24"/>
        </w:rPr>
        <w:t xml:space="preserve"> autocomposi</w:t>
      </w:r>
      <w:r w:rsidR="00E95E76">
        <w:rPr>
          <w:rFonts w:ascii="Times New Roman" w:eastAsia="Times New Roman" w:hAnsi="Times New Roman" w:cs="Times New Roman"/>
          <w:sz w:val="24"/>
          <w:szCs w:val="24"/>
        </w:rPr>
        <w:t xml:space="preserve">ção </w:t>
      </w:r>
      <w:r w:rsidR="00B437D9">
        <w:rPr>
          <w:rFonts w:ascii="Times New Roman" w:eastAsia="Times New Roman" w:hAnsi="Times New Roman" w:cs="Times New Roman"/>
          <w:sz w:val="24"/>
          <w:szCs w:val="24"/>
        </w:rPr>
        <w:t xml:space="preserve">(ex: conciliação e mediação) como os </w:t>
      </w:r>
      <w:r w:rsidR="00E95E76">
        <w:rPr>
          <w:rFonts w:ascii="Times New Roman" w:eastAsia="Times New Roman" w:hAnsi="Times New Roman" w:cs="Times New Roman"/>
          <w:sz w:val="24"/>
          <w:szCs w:val="24"/>
        </w:rPr>
        <w:t xml:space="preserve">de </w:t>
      </w:r>
      <w:r w:rsidR="00B437D9">
        <w:rPr>
          <w:rFonts w:ascii="Times New Roman" w:eastAsia="Times New Roman" w:hAnsi="Times New Roman" w:cs="Times New Roman"/>
          <w:sz w:val="24"/>
          <w:szCs w:val="24"/>
        </w:rPr>
        <w:t>heterocomposi</w:t>
      </w:r>
      <w:r w:rsidR="00E95E76">
        <w:rPr>
          <w:rFonts w:ascii="Times New Roman" w:eastAsia="Times New Roman" w:hAnsi="Times New Roman" w:cs="Times New Roman"/>
          <w:sz w:val="24"/>
          <w:szCs w:val="24"/>
        </w:rPr>
        <w:t>ção</w:t>
      </w:r>
      <w:r w:rsidR="00B437D9">
        <w:rPr>
          <w:rFonts w:ascii="Times New Roman" w:eastAsia="Times New Roman" w:hAnsi="Times New Roman" w:cs="Times New Roman"/>
          <w:sz w:val="24"/>
          <w:szCs w:val="24"/>
        </w:rPr>
        <w:t xml:space="preserve"> </w:t>
      </w:r>
      <w:r w:rsidR="001907DF">
        <w:rPr>
          <w:rFonts w:ascii="Times New Roman" w:eastAsia="Times New Roman" w:hAnsi="Times New Roman" w:cs="Times New Roman"/>
          <w:sz w:val="24"/>
          <w:szCs w:val="24"/>
        </w:rPr>
        <w:t xml:space="preserve">(ex: arbitragem), sendo, portanto, mais </w:t>
      </w:r>
      <w:r w:rsidR="00BD53B7">
        <w:rPr>
          <w:rFonts w:ascii="Times New Roman" w:eastAsia="Times New Roman" w:hAnsi="Times New Roman" w:cs="Times New Roman"/>
          <w:sz w:val="24"/>
          <w:szCs w:val="24"/>
        </w:rPr>
        <w:t>abrangente</w:t>
      </w:r>
      <w:r w:rsidR="001907DF">
        <w:rPr>
          <w:rFonts w:ascii="Times New Roman" w:eastAsia="Times New Roman" w:hAnsi="Times New Roman" w:cs="Times New Roman"/>
          <w:sz w:val="24"/>
          <w:szCs w:val="24"/>
        </w:rPr>
        <w:t xml:space="preserve"> que</w:t>
      </w:r>
      <w:r w:rsidR="005F4446">
        <w:rPr>
          <w:rFonts w:ascii="Times New Roman" w:eastAsia="Times New Roman" w:hAnsi="Times New Roman" w:cs="Times New Roman"/>
          <w:sz w:val="24"/>
          <w:szCs w:val="24"/>
        </w:rPr>
        <w:t xml:space="preserve"> os conceitos de </w:t>
      </w:r>
      <w:r w:rsidR="005F4446">
        <w:rPr>
          <w:rFonts w:ascii="Times New Roman" w:eastAsia="Times New Roman" w:hAnsi="Times New Roman" w:cs="Times New Roman"/>
          <w:i/>
          <w:iCs/>
          <w:sz w:val="24"/>
          <w:szCs w:val="24"/>
        </w:rPr>
        <w:t>consensualidade</w:t>
      </w:r>
      <w:r w:rsidR="001C20B2">
        <w:rPr>
          <w:rFonts w:ascii="Times New Roman" w:eastAsia="Times New Roman" w:hAnsi="Times New Roman" w:cs="Times New Roman"/>
          <w:sz w:val="24"/>
          <w:szCs w:val="24"/>
        </w:rPr>
        <w:t xml:space="preserve"> e de</w:t>
      </w:r>
      <w:r w:rsidR="001C20B2" w:rsidRPr="001C20B2">
        <w:rPr>
          <w:rFonts w:ascii="Times New Roman" w:eastAsia="Times New Roman" w:hAnsi="Times New Roman" w:cs="Times New Roman"/>
          <w:i/>
          <w:iCs/>
          <w:sz w:val="24"/>
          <w:szCs w:val="24"/>
        </w:rPr>
        <w:t xml:space="preserve"> </w:t>
      </w:r>
      <w:r w:rsidR="001C20B2">
        <w:rPr>
          <w:rFonts w:ascii="Times New Roman" w:eastAsia="Times New Roman" w:hAnsi="Times New Roman" w:cs="Times New Roman"/>
          <w:i/>
          <w:iCs/>
          <w:sz w:val="24"/>
          <w:szCs w:val="24"/>
        </w:rPr>
        <w:t>autocomposição</w:t>
      </w:r>
      <w:r w:rsidR="005F4446">
        <w:rPr>
          <w:rFonts w:ascii="Times New Roman" w:eastAsia="Times New Roman" w:hAnsi="Times New Roman" w:cs="Times New Roman"/>
          <w:sz w:val="24"/>
          <w:szCs w:val="24"/>
        </w:rPr>
        <w:t xml:space="preserve">, embora estas ideias também </w:t>
      </w:r>
      <w:r w:rsidR="007A257D">
        <w:rPr>
          <w:rFonts w:ascii="Times New Roman" w:eastAsia="Times New Roman" w:hAnsi="Times New Roman" w:cs="Times New Roman"/>
          <w:sz w:val="24"/>
          <w:szCs w:val="24"/>
        </w:rPr>
        <w:t>sejam extremamente importante</w:t>
      </w:r>
      <w:r w:rsidR="00B41959">
        <w:rPr>
          <w:rFonts w:ascii="Times New Roman" w:eastAsia="Times New Roman" w:hAnsi="Times New Roman" w:cs="Times New Roman"/>
          <w:sz w:val="24"/>
          <w:szCs w:val="24"/>
        </w:rPr>
        <w:t>s</w:t>
      </w:r>
      <w:r w:rsidR="007A257D">
        <w:rPr>
          <w:rFonts w:ascii="Times New Roman" w:eastAsia="Times New Roman" w:hAnsi="Times New Roman" w:cs="Times New Roman"/>
          <w:sz w:val="24"/>
          <w:szCs w:val="24"/>
        </w:rPr>
        <w:t xml:space="preserve"> </w:t>
      </w:r>
      <w:r w:rsidR="00F948BC">
        <w:rPr>
          <w:rFonts w:ascii="Times New Roman" w:eastAsia="Times New Roman" w:hAnsi="Times New Roman" w:cs="Times New Roman"/>
          <w:sz w:val="24"/>
          <w:szCs w:val="24"/>
        </w:rPr>
        <w:t>dentro da pretendida mudança de cultura e de paradigma.</w:t>
      </w:r>
    </w:p>
    <w:p w14:paraId="59E9CEE7" w14:textId="29313E6C" w:rsidR="003867DF" w:rsidRDefault="00D422EF"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interessante artigo a respeito</w:t>
      </w:r>
      <w:r w:rsidR="007E7D31">
        <w:rPr>
          <w:rFonts w:ascii="Times New Roman" w:eastAsia="Times New Roman" w:hAnsi="Times New Roman" w:cs="Times New Roman"/>
          <w:sz w:val="24"/>
          <w:szCs w:val="24"/>
        </w:rPr>
        <w:t xml:space="preserve"> </w:t>
      </w:r>
      <w:r w:rsidR="00A334A8">
        <w:rPr>
          <w:rFonts w:ascii="Times New Roman" w:eastAsia="Times New Roman" w:hAnsi="Times New Roman" w:cs="Times New Roman"/>
          <w:sz w:val="24"/>
          <w:szCs w:val="24"/>
        </w:rPr>
        <w:t>do</w:t>
      </w:r>
      <w:r w:rsidR="007E7D31">
        <w:rPr>
          <w:rFonts w:ascii="Times New Roman" w:eastAsia="Times New Roman" w:hAnsi="Times New Roman" w:cs="Times New Roman"/>
          <w:sz w:val="24"/>
          <w:szCs w:val="24"/>
        </w:rPr>
        <w:t xml:space="preserve"> tema,</w:t>
      </w:r>
      <w:r w:rsidR="0094064E">
        <w:rPr>
          <w:rFonts w:ascii="Times New Roman" w:eastAsia="Times New Roman" w:hAnsi="Times New Roman" w:cs="Times New Roman"/>
          <w:sz w:val="24"/>
          <w:szCs w:val="24"/>
        </w:rPr>
        <w:t xml:space="preserve"> Fredie Didier</w:t>
      </w:r>
      <w:r w:rsidR="00ED7DE1">
        <w:rPr>
          <w:rStyle w:val="Refdenotaderodap"/>
          <w:rFonts w:ascii="Times New Roman" w:eastAsia="Times New Roman" w:hAnsi="Times New Roman" w:cs="Times New Roman"/>
          <w:sz w:val="24"/>
          <w:szCs w:val="24"/>
        </w:rPr>
        <w:footnoteReference w:id="5"/>
      </w:r>
      <w:r w:rsidR="008454CE">
        <w:rPr>
          <w:rFonts w:ascii="Times New Roman" w:eastAsia="Times New Roman" w:hAnsi="Times New Roman" w:cs="Times New Roman"/>
          <w:sz w:val="24"/>
          <w:szCs w:val="24"/>
        </w:rPr>
        <w:t xml:space="preserve"> </w:t>
      </w:r>
      <w:r w:rsidR="003867DF">
        <w:rPr>
          <w:rFonts w:ascii="Times New Roman" w:eastAsia="Times New Roman" w:hAnsi="Times New Roman" w:cs="Times New Roman"/>
          <w:sz w:val="24"/>
          <w:szCs w:val="24"/>
        </w:rPr>
        <w:t>aprofunda</w:t>
      </w:r>
      <w:r w:rsidR="008454CE">
        <w:rPr>
          <w:rFonts w:ascii="Times New Roman" w:eastAsia="Times New Roman" w:hAnsi="Times New Roman" w:cs="Times New Roman"/>
          <w:sz w:val="24"/>
          <w:szCs w:val="24"/>
        </w:rPr>
        <w:t xml:space="preserve"> a noção d</w:t>
      </w:r>
      <w:r w:rsidR="007E7D31">
        <w:rPr>
          <w:rFonts w:ascii="Times New Roman" w:eastAsia="Times New Roman" w:hAnsi="Times New Roman" w:cs="Times New Roman"/>
          <w:sz w:val="24"/>
          <w:szCs w:val="24"/>
        </w:rPr>
        <w:t>o sistema multiportas brasileiro</w:t>
      </w:r>
      <w:r w:rsidR="00B449F9">
        <w:rPr>
          <w:rFonts w:ascii="Times New Roman" w:eastAsia="Times New Roman" w:hAnsi="Times New Roman" w:cs="Times New Roman"/>
          <w:sz w:val="24"/>
          <w:szCs w:val="24"/>
        </w:rPr>
        <w:t>:</w:t>
      </w:r>
    </w:p>
    <w:p w14:paraId="5E67013A" w14:textId="32599EFA" w:rsidR="003867DF" w:rsidRPr="003867DF" w:rsidRDefault="003867DF" w:rsidP="003867DF">
      <w:pPr>
        <w:spacing w:before="120" w:after="120" w:line="240" w:lineRule="auto"/>
        <w:ind w:left="2268"/>
        <w:jc w:val="both"/>
        <w:rPr>
          <w:rFonts w:ascii="Times New Roman" w:eastAsia="Times New Roman" w:hAnsi="Times New Roman" w:cs="Times New Roman"/>
          <w:sz w:val="20"/>
          <w:szCs w:val="20"/>
        </w:rPr>
      </w:pPr>
      <w:r w:rsidRPr="003867DF">
        <w:rPr>
          <w:rFonts w:ascii="Times New Roman" w:eastAsia="Times New Roman" w:hAnsi="Times New Roman" w:cs="Times New Roman"/>
          <w:sz w:val="20"/>
          <w:szCs w:val="20"/>
        </w:rPr>
        <w:t>Sistemas auto-organizados são caracterizados por sua capacidade de estruturação</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e reorganização a partir da interação dos seus elementos integrantes, com crescimento</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não linear, mas em condições variáveis e progressivamente mais complexas. Essa</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complexidade pode decorrer dos efeitos recíprocos originados do contato entre seus</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elementos constitutivos, da agregação de novas partes componentes, da evolução do</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contexto em que se situa o sistema e da eventual atuação de um supervisor sujeito que</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pode interferir na conformação do sistema, mas não a determina. Sistemas com essa</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natureza nunca são um resultado consolidado, mas necessariamente um processo em</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desenvolvimento</w:t>
      </w:r>
      <w:r>
        <w:rPr>
          <w:rFonts w:ascii="Times New Roman" w:eastAsia="Times New Roman" w:hAnsi="Times New Roman" w:cs="Times New Roman"/>
          <w:sz w:val="20"/>
          <w:szCs w:val="20"/>
        </w:rPr>
        <w:t>.</w:t>
      </w:r>
    </w:p>
    <w:p w14:paraId="0023C531" w14:textId="087C7425" w:rsidR="003867DF" w:rsidRDefault="003867DF" w:rsidP="003867DF">
      <w:pPr>
        <w:spacing w:before="120" w:after="120" w:line="240" w:lineRule="auto"/>
        <w:ind w:left="2268"/>
        <w:jc w:val="both"/>
        <w:rPr>
          <w:rFonts w:ascii="Times New Roman" w:eastAsia="Times New Roman" w:hAnsi="Times New Roman" w:cs="Times New Roman"/>
          <w:sz w:val="20"/>
          <w:szCs w:val="20"/>
        </w:rPr>
      </w:pPr>
      <w:r w:rsidRPr="003867DF">
        <w:rPr>
          <w:rFonts w:ascii="Times New Roman" w:eastAsia="Times New Roman" w:hAnsi="Times New Roman" w:cs="Times New Roman"/>
          <w:sz w:val="20"/>
          <w:szCs w:val="20"/>
        </w:rPr>
        <w:t>Dito de outro modo, um sistema auto-organizado, como o sistema brasileiro de justiça</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multiportas, é marcado por uma construção paulatina, progressiva e sem planejamento.</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Inicialmente limitado, de modo quase exclusivo, à atuação do Poder Judiciário, o</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sistema expandiu-se com a agregação de figuras como o agente fiduciário (arts. 31 a 37,</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Decreto-lei n. 70/1966), o árbitro e as câmaras arbitrais (Lei n. 9.307/1996), os tribunais</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administrativos, o conciliador e o mediador (Lei n. 13.140/2015), o Conselho Nacional</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de Justiça e, mais recentemente, as instituições responsáveis pela manutenção de</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Online Dispute Resolution ODR’s. Sujeitos cuja função já estava diretamente associada</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à administração da justiça também tiveram, ao longo do tempo, suas atribuições</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reconfiguradas, permitindo mais facilmente sua visualização como elementos integrantes</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do sistema, a exemplo do Ministério Público (Resolução n. 118/2014 do CNMP), da</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Advocacia Pública (art. 19, Lei n. 10.522/2002) e das serventias extrajudiciais.</w:t>
      </w:r>
    </w:p>
    <w:p w14:paraId="3D4FDD80" w14:textId="3F28E3EB" w:rsidR="003867DF" w:rsidRPr="003867DF" w:rsidRDefault="003867DF" w:rsidP="00B207AE">
      <w:pPr>
        <w:spacing w:before="120" w:after="120" w:line="240" w:lineRule="auto"/>
        <w:ind w:left="2268"/>
        <w:jc w:val="both"/>
        <w:rPr>
          <w:rFonts w:ascii="Times New Roman" w:eastAsia="Times New Roman" w:hAnsi="Times New Roman" w:cs="Times New Roman"/>
          <w:sz w:val="20"/>
          <w:szCs w:val="20"/>
        </w:rPr>
      </w:pPr>
      <w:r w:rsidRPr="003867DF">
        <w:rPr>
          <w:rFonts w:ascii="Times New Roman" w:eastAsia="Times New Roman" w:hAnsi="Times New Roman" w:cs="Times New Roman"/>
          <w:sz w:val="20"/>
          <w:szCs w:val="20"/>
        </w:rPr>
        <w:t>Sujeitos privados</w:t>
      </w:r>
      <w:r w:rsidR="00754F3F">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 xml:space="preserve"> também podem solucionar</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problemas jurídicos por meio de um processo, que igualmente terá caráter privado</w:t>
      </w:r>
      <w:r w:rsidR="008D1797">
        <w:rPr>
          <w:rFonts w:ascii="Times New Roman" w:eastAsia="Times New Roman" w:hAnsi="Times New Roman" w:cs="Times New Roman"/>
          <w:sz w:val="20"/>
          <w:szCs w:val="20"/>
        </w:rPr>
        <w:t xml:space="preserve"> (...).</w:t>
      </w:r>
      <w:r w:rsidR="004B62C6">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Nessas</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circunstâncias, tais entes podem ser compreendidos como portas de acesso à justiça.</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 xml:space="preserve">Aqui, é relevante perceber que a </w:t>
      </w:r>
      <w:r w:rsidRPr="003867DF">
        <w:rPr>
          <w:rFonts w:ascii="Times New Roman" w:eastAsia="Times New Roman" w:hAnsi="Times New Roman" w:cs="Times New Roman"/>
          <w:sz w:val="20"/>
          <w:szCs w:val="20"/>
        </w:rPr>
        <w:lastRenderedPageBreak/>
        <w:t>possibilidade de questionamento das deliberações</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perante o Judiciário não afasta seu reconhecimento como ambientes apropriados à</w:t>
      </w:r>
      <w:r>
        <w:rPr>
          <w:rFonts w:ascii="Times New Roman" w:eastAsia="Times New Roman" w:hAnsi="Times New Roman" w:cs="Times New Roman"/>
          <w:sz w:val="20"/>
          <w:szCs w:val="20"/>
        </w:rPr>
        <w:t xml:space="preserve"> </w:t>
      </w:r>
      <w:r w:rsidRPr="003867DF">
        <w:rPr>
          <w:rFonts w:ascii="Times New Roman" w:eastAsia="Times New Roman" w:hAnsi="Times New Roman" w:cs="Times New Roman"/>
          <w:sz w:val="20"/>
          <w:szCs w:val="20"/>
        </w:rPr>
        <w:t>solução de problemas jurídicos.</w:t>
      </w:r>
    </w:p>
    <w:p w14:paraId="3E2F3901" w14:textId="78167870"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Diante do complexo normativo atual que estimula a consensualidade,</w:t>
      </w:r>
      <w:r w:rsidR="00EF48D7">
        <w:rPr>
          <w:rFonts w:ascii="Times New Roman" w:eastAsia="Times New Roman" w:hAnsi="Times New Roman" w:cs="Times New Roman"/>
          <w:sz w:val="24"/>
          <w:szCs w:val="24"/>
        </w:rPr>
        <w:t xml:space="preserve"> o mesmo autor</w:t>
      </w:r>
      <w:r w:rsidR="00C17900">
        <w:rPr>
          <w:rStyle w:val="Refdenotaderodap"/>
          <w:rFonts w:ascii="Times New Roman" w:eastAsia="Times New Roman" w:hAnsi="Times New Roman" w:cs="Times New Roman"/>
          <w:sz w:val="24"/>
          <w:szCs w:val="24"/>
        </w:rPr>
        <w:footnoteReference w:id="6"/>
      </w:r>
      <w:r w:rsidRPr="5097C9EF">
        <w:rPr>
          <w:rFonts w:ascii="Times New Roman" w:eastAsia="Times New Roman" w:hAnsi="Times New Roman" w:cs="Times New Roman"/>
          <w:sz w:val="24"/>
          <w:szCs w:val="24"/>
        </w:rPr>
        <w:t xml:space="preserve"> advoga pela existência do princípio ao estímulo da solução por autocomposição e do princípio do respeito ao autorregramento da vontade no processo civil.</w:t>
      </w:r>
    </w:p>
    <w:p w14:paraId="049D7F85" w14:textId="0661E168" w:rsidR="00EF6DDA" w:rsidRPr="00C10438" w:rsidRDefault="00210554" w:rsidP="00EE07B3">
      <w:pPr>
        <w:spacing w:before="120" w:after="120" w:line="360" w:lineRule="auto"/>
        <w:ind w:firstLine="851"/>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Um dos </w:t>
      </w:r>
      <w:r w:rsidR="00F12471">
        <w:rPr>
          <w:rFonts w:ascii="Times New Roman" w:eastAsia="Times New Roman" w:hAnsi="Times New Roman" w:cs="Times New Roman"/>
          <w:sz w:val="24"/>
          <w:szCs w:val="24"/>
        </w:rPr>
        <w:t xml:space="preserve">primeiros atos normativos do microssistema, </w:t>
      </w:r>
      <w:r w:rsidR="5097C9EF" w:rsidRPr="5097C9EF">
        <w:rPr>
          <w:rFonts w:ascii="Times New Roman" w:eastAsia="Times New Roman" w:hAnsi="Times New Roman" w:cs="Times New Roman"/>
          <w:sz w:val="24"/>
          <w:szCs w:val="24"/>
        </w:rPr>
        <w:t>a Resolução nº 125/2010 do Conselho Nacional do Justiça - CNJ (institui a “Política Judiciária Nacional de tratamento adequado dos conflitos de interesses no âmbito do Poder Judiciário”)</w:t>
      </w:r>
      <w:r w:rsidR="00F12471">
        <w:rPr>
          <w:rFonts w:ascii="Times New Roman" w:eastAsia="Times New Roman" w:hAnsi="Times New Roman" w:cs="Times New Roman"/>
          <w:sz w:val="24"/>
          <w:szCs w:val="24"/>
        </w:rPr>
        <w:t xml:space="preserve"> prevê, </w:t>
      </w:r>
      <w:r w:rsidR="002A52A5">
        <w:rPr>
          <w:rFonts w:ascii="Times New Roman" w:eastAsia="Times New Roman" w:hAnsi="Times New Roman" w:cs="Times New Roman"/>
          <w:sz w:val="24"/>
          <w:szCs w:val="24"/>
        </w:rPr>
        <w:t>em seu</w:t>
      </w:r>
      <w:r w:rsidR="00F12471" w:rsidRPr="5097C9EF">
        <w:rPr>
          <w:rFonts w:ascii="Times New Roman" w:eastAsia="Times New Roman" w:hAnsi="Times New Roman" w:cs="Times New Roman"/>
          <w:sz w:val="24"/>
          <w:szCs w:val="24"/>
        </w:rPr>
        <w:t xml:space="preserve"> art. 1º, parágrafo único,</w:t>
      </w:r>
      <w:r w:rsidR="002A52A5">
        <w:rPr>
          <w:rFonts w:ascii="Times New Roman" w:eastAsia="Times New Roman" w:hAnsi="Times New Roman" w:cs="Times New Roman"/>
          <w:sz w:val="24"/>
          <w:szCs w:val="24"/>
        </w:rPr>
        <w:t xml:space="preserve"> que incumbe aos órgãos judiciários</w:t>
      </w:r>
      <w:r w:rsidR="00C10438">
        <w:rPr>
          <w:rFonts w:ascii="Times New Roman" w:eastAsia="Times New Roman" w:hAnsi="Times New Roman" w:cs="Times New Roman"/>
          <w:sz w:val="24"/>
          <w:szCs w:val="24"/>
        </w:rPr>
        <w:t>,</w:t>
      </w:r>
      <w:r w:rsidR="00F12471" w:rsidRPr="5097C9EF">
        <w:rPr>
          <w:rFonts w:ascii="Times New Roman" w:eastAsia="Times New Roman" w:hAnsi="Times New Roman" w:cs="Times New Roman"/>
          <w:sz w:val="24"/>
          <w:szCs w:val="24"/>
        </w:rPr>
        <w:t xml:space="preserve"> </w:t>
      </w:r>
      <w:r w:rsidR="00C10438" w:rsidRPr="00C10438">
        <w:rPr>
          <w:rFonts w:ascii="Times New Roman" w:eastAsia="Times New Roman" w:hAnsi="Times New Roman" w:cs="Times New Roman"/>
          <w:i/>
          <w:iCs/>
          <w:sz w:val="24"/>
          <w:szCs w:val="24"/>
        </w:rPr>
        <w:t>“antes da solução adjudicada mediante sentença, oferecer outros mecanismos de soluções de controvérsias, em especial os chamados meios consensuais, como a mediação e a conciliação, bem assim prestar atendimento e orientação ao cidadão”.</w:t>
      </w:r>
    </w:p>
    <w:p w14:paraId="161BFB27" w14:textId="6E82C187" w:rsidR="5097C9EF" w:rsidRDefault="00E319EB" w:rsidP="00EE07B3">
      <w:pPr>
        <w:spacing w:before="120" w:after="120" w:line="360" w:lineRule="auto"/>
        <w:ind w:firstLine="851"/>
        <w:jc w:val="both"/>
      </w:pPr>
      <w:r>
        <w:rPr>
          <w:rFonts w:ascii="Times New Roman" w:eastAsia="Times New Roman" w:hAnsi="Times New Roman" w:cs="Times New Roman"/>
          <w:sz w:val="24"/>
          <w:szCs w:val="24"/>
        </w:rPr>
        <w:t>Já o</w:t>
      </w:r>
      <w:r w:rsidR="5097C9EF" w:rsidRPr="5097C9EF">
        <w:rPr>
          <w:rFonts w:ascii="Times New Roman" w:eastAsia="Times New Roman" w:hAnsi="Times New Roman" w:cs="Times New Roman"/>
          <w:sz w:val="24"/>
          <w:szCs w:val="24"/>
        </w:rPr>
        <w:t xml:space="preserve"> CPC, </w:t>
      </w:r>
      <w:r w:rsidR="00C10438">
        <w:rPr>
          <w:rFonts w:ascii="Times New Roman" w:eastAsia="Times New Roman" w:hAnsi="Times New Roman" w:cs="Times New Roman"/>
          <w:sz w:val="24"/>
          <w:szCs w:val="24"/>
        </w:rPr>
        <w:t>considerad</w:t>
      </w:r>
      <w:r w:rsidR="0008349E">
        <w:rPr>
          <w:rFonts w:ascii="Times New Roman" w:eastAsia="Times New Roman" w:hAnsi="Times New Roman" w:cs="Times New Roman"/>
          <w:sz w:val="24"/>
          <w:szCs w:val="24"/>
        </w:rPr>
        <w:t>o</w:t>
      </w:r>
      <w:r w:rsidR="00C10438">
        <w:rPr>
          <w:rFonts w:ascii="Times New Roman" w:eastAsia="Times New Roman" w:hAnsi="Times New Roman" w:cs="Times New Roman"/>
          <w:sz w:val="24"/>
          <w:szCs w:val="24"/>
        </w:rPr>
        <w:t xml:space="preserve"> </w:t>
      </w:r>
      <w:r w:rsidR="00015697">
        <w:rPr>
          <w:rFonts w:ascii="Times New Roman" w:eastAsia="Times New Roman" w:hAnsi="Times New Roman" w:cs="Times New Roman"/>
          <w:sz w:val="24"/>
          <w:szCs w:val="24"/>
        </w:rPr>
        <w:t>norma</w:t>
      </w:r>
      <w:r w:rsidR="5097C9EF" w:rsidRPr="5097C9EF">
        <w:rPr>
          <w:rFonts w:ascii="Times New Roman" w:eastAsia="Times New Roman" w:hAnsi="Times New Roman" w:cs="Times New Roman"/>
          <w:sz w:val="24"/>
          <w:szCs w:val="24"/>
        </w:rPr>
        <w:t xml:space="preserve"> central do sistema, praticamente estabeleceu uma nova lógica de acesso à justiça, não só estimulando a solução consensual (art. 3º, §3º), mas consolidando a transmutação da função jurisdicional, ao prever a obrigação do Estado em promover a consensualidade, sempre que possível (art. 3º, §2º), e inserir a autocomposição como fase formal do processo, estruturando sua aplicação (art. 334 e artigos 165 a 175)</w:t>
      </w:r>
      <w:r w:rsidR="007863EC">
        <w:rPr>
          <w:rStyle w:val="Refdenotaderodap"/>
          <w:rFonts w:ascii="Times New Roman" w:eastAsia="Times New Roman" w:hAnsi="Times New Roman" w:cs="Times New Roman"/>
          <w:sz w:val="24"/>
          <w:szCs w:val="24"/>
        </w:rPr>
        <w:footnoteReference w:id="7"/>
      </w:r>
      <w:r w:rsidR="5097C9EF" w:rsidRPr="5097C9EF">
        <w:rPr>
          <w:rFonts w:ascii="Times New Roman" w:eastAsia="Times New Roman" w:hAnsi="Times New Roman" w:cs="Times New Roman"/>
          <w:sz w:val="24"/>
          <w:szCs w:val="24"/>
        </w:rPr>
        <w:t>.</w:t>
      </w:r>
    </w:p>
    <w:p w14:paraId="28C81FA3" w14:textId="340E7653" w:rsidR="5097C9EF" w:rsidRDefault="007E3981" w:rsidP="00EE07B3">
      <w:pPr>
        <w:spacing w:before="120" w:after="120" w:line="360" w:lineRule="auto"/>
        <w:ind w:firstLine="851"/>
        <w:jc w:val="both"/>
      </w:pPr>
      <w:r>
        <w:rPr>
          <w:rFonts w:ascii="Times New Roman" w:eastAsia="Times New Roman" w:hAnsi="Times New Roman" w:cs="Times New Roman"/>
          <w:sz w:val="24"/>
          <w:szCs w:val="24"/>
        </w:rPr>
        <w:t>O estímulo à</w:t>
      </w:r>
      <w:r w:rsidR="009E1A46">
        <w:rPr>
          <w:rFonts w:ascii="Times New Roman" w:eastAsia="Times New Roman" w:hAnsi="Times New Roman" w:cs="Times New Roman"/>
          <w:sz w:val="24"/>
          <w:szCs w:val="24"/>
        </w:rPr>
        <w:t xml:space="preserve"> </w:t>
      </w:r>
      <w:r w:rsidR="5097C9EF" w:rsidRPr="5097C9EF">
        <w:rPr>
          <w:rFonts w:ascii="Times New Roman" w:eastAsia="Times New Roman" w:hAnsi="Times New Roman" w:cs="Times New Roman"/>
          <w:sz w:val="24"/>
          <w:szCs w:val="24"/>
        </w:rPr>
        <w:t xml:space="preserve">consensualidade se </w:t>
      </w:r>
      <w:r w:rsidR="009E1A46">
        <w:rPr>
          <w:rFonts w:ascii="Times New Roman" w:eastAsia="Times New Roman" w:hAnsi="Times New Roman" w:cs="Times New Roman"/>
          <w:sz w:val="24"/>
          <w:szCs w:val="24"/>
        </w:rPr>
        <w:t>verifica</w:t>
      </w:r>
      <w:r w:rsidR="5097C9EF" w:rsidRPr="5097C9EF">
        <w:rPr>
          <w:rFonts w:ascii="Times New Roman" w:eastAsia="Times New Roman" w:hAnsi="Times New Roman" w:cs="Times New Roman"/>
          <w:sz w:val="24"/>
          <w:szCs w:val="24"/>
        </w:rPr>
        <w:t xml:space="preserve"> ainda no art. 190, </w:t>
      </w:r>
      <w:r w:rsidR="5097C9EF" w:rsidRPr="5097C9EF">
        <w:rPr>
          <w:rFonts w:ascii="Times New Roman" w:eastAsia="Times New Roman" w:hAnsi="Times New Roman" w:cs="Times New Roman"/>
          <w:i/>
          <w:iCs/>
          <w:sz w:val="24"/>
          <w:szCs w:val="24"/>
        </w:rPr>
        <w:t>caput</w:t>
      </w:r>
      <w:r w:rsidR="5097C9EF" w:rsidRPr="5097C9EF">
        <w:rPr>
          <w:rFonts w:ascii="Times New Roman" w:eastAsia="Times New Roman" w:hAnsi="Times New Roman" w:cs="Times New Roman"/>
          <w:sz w:val="24"/>
          <w:szCs w:val="24"/>
        </w:rPr>
        <w:t xml:space="preserve">, com a </w:t>
      </w:r>
      <w:r>
        <w:rPr>
          <w:rFonts w:ascii="Times New Roman" w:eastAsia="Times New Roman" w:hAnsi="Times New Roman" w:cs="Times New Roman"/>
          <w:sz w:val="24"/>
          <w:szCs w:val="24"/>
        </w:rPr>
        <w:t>previsão</w:t>
      </w:r>
      <w:r w:rsidR="5097C9EF" w:rsidRPr="5097C9EF">
        <w:rPr>
          <w:rFonts w:ascii="Times New Roman" w:eastAsia="Times New Roman" w:hAnsi="Times New Roman" w:cs="Times New Roman"/>
          <w:sz w:val="24"/>
          <w:szCs w:val="24"/>
        </w:rPr>
        <w:t xml:space="preserve"> dos negócios jurídicos processuais</w:t>
      </w:r>
      <w:r w:rsidR="00171BAA">
        <w:rPr>
          <w:rFonts w:ascii="Times New Roman" w:eastAsia="Times New Roman" w:hAnsi="Times New Roman" w:cs="Times New Roman"/>
          <w:sz w:val="24"/>
          <w:szCs w:val="24"/>
        </w:rPr>
        <w:t xml:space="preserve"> (NJP)</w:t>
      </w:r>
      <w:r w:rsidR="00B4316C">
        <w:rPr>
          <w:rStyle w:val="Refdenotaderodap"/>
          <w:rFonts w:ascii="Times New Roman" w:eastAsia="Times New Roman" w:hAnsi="Times New Roman" w:cs="Times New Roman"/>
          <w:sz w:val="24"/>
          <w:szCs w:val="24"/>
        </w:rPr>
        <w:footnoteReference w:id="8"/>
      </w:r>
      <w:r w:rsidR="5097C9EF" w:rsidRPr="5097C9EF">
        <w:rPr>
          <w:rFonts w:ascii="Times New Roman" w:eastAsia="Times New Roman" w:hAnsi="Times New Roman" w:cs="Times New Roman"/>
          <w:sz w:val="24"/>
          <w:szCs w:val="24"/>
        </w:rPr>
        <w:t>, ao dispor que</w:t>
      </w:r>
      <w:r w:rsidR="003204BA">
        <w:rPr>
          <w:rFonts w:ascii="Times New Roman" w:eastAsia="Times New Roman" w:hAnsi="Times New Roman" w:cs="Times New Roman"/>
          <w:sz w:val="24"/>
          <w:szCs w:val="24"/>
        </w:rPr>
        <w:t>, nos processos que envolvam direitos que a</w:t>
      </w:r>
      <w:r w:rsidR="00EF5105">
        <w:rPr>
          <w:rFonts w:ascii="Times New Roman" w:eastAsia="Times New Roman" w:hAnsi="Times New Roman" w:cs="Times New Roman"/>
          <w:sz w:val="24"/>
          <w:szCs w:val="24"/>
        </w:rPr>
        <w:t>d</w:t>
      </w:r>
      <w:r w:rsidR="003204BA">
        <w:rPr>
          <w:rFonts w:ascii="Times New Roman" w:eastAsia="Times New Roman" w:hAnsi="Times New Roman" w:cs="Times New Roman"/>
          <w:sz w:val="24"/>
          <w:szCs w:val="24"/>
        </w:rPr>
        <w:t>mitam a autocomposição</w:t>
      </w:r>
      <w:r w:rsidR="5097C9EF" w:rsidRPr="5097C9EF">
        <w:rPr>
          <w:rFonts w:ascii="Times New Roman" w:eastAsia="Times New Roman" w:hAnsi="Times New Roman" w:cs="Times New Roman"/>
          <w:sz w:val="24"/>
          <w:szCs w:val="24"/>
        </w:rPr>
        <w:t xml:space="preserve"> </w:t>
      </w:r>
      <w:r w:rsidR="5097C9EF" w:rsidRPr="5097C9EF">
        <w:rPr>
          <w:rFonts w:ascii="Times New Roman" w:eastAsia="Times New Roman" w:hAnsi="Times New Roman" w:cs="Times New Roman"/>
          <w:i/>
          <w:iCs/>
          <w:sz w:val="24"/>
          <w:szCs w:val="24"/>
        </w:rPr>
        <w:t>“é lícito às partes plenamente capazes estipular mudanças no procedimento para ajustá-lo às especificidades da causa e convencionar sobre os seus ônus, poderes, faculdades e deveres processuais, antes ou durante o processo.”</w:t>
      </w:r>
    </w:p>
    <w:p w14:paraId="3BA1D55C" w14:textId="4480F904" w:rsidR="005B7B1A" w:rsidRDefault="00BA4687" w:rsidP="00EE07B3">
      <w:pPr>
        <w:spacing w:before="120" w:after="120" w:line="360" w:lineRule="auto"/>
        <w:ind w:firstLine="851"/>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Com relação à autocomposição</w:t>
      </w:r>
      <w:r w:rsidR="5097C9EF" w:rsidRPr="5097C9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5097C9EF" w:rsidRPr="5097C9EF">
        <w:rPr>
          <w:rFonts w:ascii="Times New Roman" w:eastAsia="Times New Roman" w:hAnsi="Times New Roman" w:cs="Times New Roman"/>
          <w:sz w:val="24"/>
          <w:szCs w:val="24"/>
        </w:rPr>
        <w:t xml:space="preserve">a Administração Pública, o art. 174 do Código dispõe que </w:t>
      </w:r>
      <w:r w:rsidR="5097C9EF" w:rsidRPr="00913782">
        <w:rPr>
          <w:rFonts w:ascii="Times New Roman" w:eastAsia="Times New Roman" w:hAnsi="Times New Roman" w:cs="Times New Roman"/>
          <w:sz w:val="24"/>
          <w:szCs w:val="24"/>
        </w:rPr>
        <w:t>“a União, os Estados, o Distrito Federal e os Municípios criarão câmaras de mediação e conciliação, com atribuições relacionadas à solução consensual de conflitos no âmbito administrativo”,</w:t>
      </w:r>
      <w:r w:rsidR="5097C9EF" w:rsidRPr="5097C9EF">
        <w:rPr>
          <w:rFonts w:ascii="Times New Roman" w:eastAsia="Times New Roman" w:hAnsi="Times New Roman" w:cs="Times New Roman"/>
          <w:i/>
          <w:iCs/>
          <w:sz w:val="24"/>
          <w:szCs w:val="24"/>
        </w:rPr>
        <w:t xml:space="preserve"> </w:t>
      </w:r>
      <w:r w:rsidR="5097C9EF" w:rsidRPr="003334B5">
        <w:rPr>
          <w:rFonts w:ascii="Times New Roman" w:eastAsia="Times New Roman" w:hAnsi="Times New Roman" w:cs="Times New Roman"/>
          <w:sz w:val="24"/>
          <w:szCs w:val="24"/>
        </w:rPr>
        <w:t>com a atribuição de</w:t>
      </w:r>
      <w:r w:rsidR="005B7B1A">
        <w:rPr>
          <w:rFonts w:ascii="Times New Roman" w:eastAsia="Times New Roman" w:hAnsi="Times New Roman" w:cs="Times New Roman"/>
          <w:sz w:val="24"/>
          <w:szCs w:val="24"/>
        </w:rPr>
        <w:t>:</w:t>
      </w:r>
      <w:r w:rsidR="5097C9EF" w:rsidRPr="5097C9EF">
        <w:rPr>
          <w:rFonts w:ascii="Times New Roman" w:eastAsia="Times New Roman" w:hAnsi="Times New Roman" w:cs="Times New Roman"/>
          <w:i/>
          <w:iCs/>
          <w:sz w:val="24"/>
          <w:szCs w:val="24"/>
        </w:rPr>
        <w:t xml:space="preserve"> </w:t>
      </w:r>
    </w:p>
    <w:p w14:paraId="4A1CD6F6" w14:textId="6AE77793" w:rsidR="005B7B1A" w:rsidRPr="00FD75D8" w:rsidRDefault="5097C9EF" w:rsidP="00E227FA">
      <w:pPr>
        <w:spacing w:before="120" w:after="120" w:line="240" w:lineRule="auto"/>
        <w:ind w:left="2268"/>
        <w:jc w:val="both"/>
        <w:rPr>
          <w:rFonts w:ascii="Times New Roman" w:eastAsia="Times New Roman" w:hAnsi="Times New Roman" w:cs="Times New Roman"/>
          <w:sz w:val="20"/>
          <w:szCs w:val="20"/>
        </w:rPr>
      </w:pPr>
      <w:r w:rsidRPr="00FD75D8">
        <w:rPr>
          <w:rFonts w:ascii="Times New Roman" w:eastAsia="Times New Roman" w:hAnsi="Times New Roman" w:cs="Times New Roman"/>
          <w:sz w:val="20"/>
          <w:szCs w:val="20"/>
        </w:rPr>
        <w:t xml:space="preserve">I - dirimir conflitos envolvendo órgãos e entidades da administração pública; </w:t>
      </w:r>
    </w:p>
    <w:p w14:paraId="02F8B808" w14:textId="77777777" w:rsidR="005B7B1A" w:rsidRPr="00FD75D8" w:rsidRDefault="5097C9EF" w:rsidP="00E227FA">
      <w:pPr>
        <w:spacing w:before="120" w:after="120" w:line="240" w:lineRule="auto"/>
        <w:ind w:left="2268"/>
        <w:jc w:val="both"/>
        <w:rPr>
          <w:rFonts w:ascii="Times New Roman" w:eastAsia="Times New Roman" w:hAnsi="Times New Roman" w:cs="Times New Roman"/>
          <w:sz w:val="20"/>
          <w:szCs w:val="20"/>
        </w:rPr>
      </w:pPr>
      <w:r w:rsidRPr="00FD75D8">
        <w:rPr>
          <w:rFonts w:ascii="Times New Roman" w:eastAsia="Times New Roman" w:hAnsi="Times New Roman" w:cs="Times New Roman"/>
          <w:sz w:val="20"/>
          <w:szCs w:val="20"/>
        </w:rPr>
        <w:lastRenderedPageBreak/>
        <w:t xml:space="preserve">II - avaliar a admissibilidade dos pedidos de resolução de conflitos, por meio de conciliação, no âmbito da administração pública; </w:t>
      </w:r>
    </w:p>
    <w:p w14:paraId="32040153" w14:textId="4CE320E3" w:rsidR="00174CF3" w:rsidRPr="00FD75D8" w:rsidRDefault="5097C9EF" w:rsidP="00E227FA">
      <w:pPr>
        <w:spacing w:before="120" w:after="120" w:line="360" w:lineRule="auto"/>
        <w:ind w:left="2268"/>
        <w:jc w:val="both"/>
        <w:rPr>
          <w:rFonts w:ascii="Times New Roman" w:eastAsia="Times New Roman" w:hAnsi="Times New Roman" w:cs="Times New Roman"/>
          <w:sz w:val="20"/>
          <w:szCs w:val="20"/>
        </w:rPr>
      </w:pPr>
      <w:r w:rsidRPr="00FD75D8">
        <w:rPr>
          <w:rFonts w:ascii="Times New Roman" w:eastAsia="Times New Roman" w:hAnsi="Times New Roman" w:cs="Times New Roman"/>
          <w:sz w:val="20"/>
          <w:szCs w:val="20"/>
        </w:rPr>
        <w:t>III - promover, quando couber, a celebração de termo de ajustamento de conduta.</w:t>
      </w:r>
    </w:p>
    <w:p w14:paraId="01033A2B" w14:textId="1F9C9D41" w:rsidR="5097C9EF" w:rsidRDefault="00E319EB"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caso da</w:t>
      </w:r>
      <w:r w:rsidR="5097C9EF" w:rsidRPr="5097C9EF">
        <w:rPr>
          <w:rFonts w:ascii="Times New Roman" w:eastAsia="Times New Roman" w:hAnsi="Times New Roman" w:cs="Times New Roman"/>
          <w:sz w:val="24"/>
          <w:szCs w:val="24"/>
        </w:rPr>
        <w:t xml:space="preserve"> Lei d</w:t>
      </w:r>
      <w:r>
        <w:rPr>
          <w:rFonts w:ascii="Times New Roman" w:eastAsia="Times New Roman" w:hAnsi="Times New Roman" w:cs="Times New Roman"/>
          <w:sz w:val="24"/>
          <w:szCs w:val="24"/>
        </w:rPr>
        <w:t>e</w:t>
      </w:r>
      <w:r w:rsidR="5097C9EF" w:rsidRPr="5097C9EF">
        <w:rPr>
          <w:rFonts w:ascii="Times New Roman" w:eastAsia="Times New Roman" w:hAnsi="Times New Roman" w:cs="Times New Roman"/>
          <w:sz w:val="24"/>
          <w:szCs w:val="24"/>
        </w:rPr>
        <w:t xml:space="preserve"> Mediação (Lei 13.140/2015), há um capítulo próprio destinado à Fazenda Pública, </w:t>
      </w:r>
      <w:r w:rsidR="00863909">
        <w:rPr>
          <w:rFonts w:ascii="Times New Roman" w:eastAsia="Times New Roman" w:hAnsi="Times New Roman" w:cs="Times New Roman"/>
          <w:sz w:val="24"/>
          <w:szCs w:val="24"/>
        </w:rPr>
        <w:t xml:space="preserve">nominado </w:t>
      </w:r>
      <w:r>
        <w:rPr>
          <w:rFonts w:ascii="Times New Roman" w:eastAsia="Times New Roman" w:hAnsi="Times New Roman" w:cs="Times New Roman"/>
          <w:i/>
          <w:iCs/>
          <w:sz w:val="24"/>
          <w:szCs w:val="24"/>
        </w:rPr>
        <w:t>“</w:t>
      </w:r>
      <w:r w:rsidR="5097C9EF" w:rsidRPr="5097C9EF">
        <w:rPr>
          <w:rFonts w:ascii="Times New Roman" w:eastAsia="Times New Roman" w:hAnsi="Times New Roman" w:cs="Times New Roman"/>
          <w:i/>
          <w:iCs/>
          <w:sz w:val="24"/>
          <w:szCs w:val="24"/>
        </w:rPr>
        <w:t>da autocomposição de conflitos em que for parte pessoa jurídica de direito público”</w:t>
      </w:r>
      <w:r w:rsidR="00863909">
        <w:rPr>
          <w:rFonts w:ascii="Times New Roman" w:eastAsia="Times New Roman" w:hAnsi="Times New Roman" w:cs="Times New Roman"/>
          <w:sz w:val="24"/>
          <w:szCs w:val="24"/>
        </w:rPr>
        <w:t>. L</w:t>
      </w:r>
      <w:r w:rsidR="5097C9EF" w:rsidRPr="5097C9EF">
        <w:rPr>
          <w:rFonts w:ascii="Times New Roman" w:eastAsia="Times New Roman" w:hAnsi="Times New Roman" w:cs="Times New Roman"/>
          <w:sz w:val="24"/>
          <w:szCs w:val="24"/>
        </w:rPr>
        <w:t>ogo em seu primeiro dispositivo (art. 32), direciona a União, os Estados e os Municípios</w:t>
      </w:r>
      <w:r w:rsidR="001B0A92">
        <w:rPr>
          <w:rFonts w:ascii="Times New Roman" w:eastAsia="Times New Roman" w:hAnsi="Times New Roman" w:cs="Times New Roman"/>
          <w:sz w:val="24"/>
          <w:szCs w:val="24"/>
        </w:rPr>
        <w:t xml:space="preserve"> </w:t>
      </w:r>
      <w:r w:rsidR="5097C9EF" w:rsidRPr="5097C9EF">
        <w:rPr>
          <w:rFonts w:ascii="Times New Roman" w:eastAsia="Times New Roman" w:hAnsi="Times New Roman" w:cs="Times New Roman"/>
          <w:sz w:val="24"/>
          <w:szCs w:val="24"/>
        </w:rPr>
        <w:t>a criarem câmaras de prevenção e resolução administrativa de conflitos no âmbito dos respectivos órgãos da Advocacia Pública, apontando para o protagonismo que os órgãos jurídicos dos entes federativos devem assumir n</w:t>
      </w:r>
      <w:r w:rsidR="00F76758">
        <w:rPr>
          <w:rFonts w:ascii="Times New Roman" w:eastAsia="Times New Roman" w:hAnsi="Times New Roman" w:cs="Times New Roman"/>
          <w:sz w:val="24"/>
          <w:szCs w:val="24"/>
        </w:rPr>
        <w:t>o esforço</w:t>
      </w:r>
      <w:r w:rsidR="002546E5">
        <w:rPr>
          <w:rFonts w:ascii="Times New Roman" w:eastAsia="Times New Roman" w:hAnsi="Times New Roman" w:cs="Times New Roman"/>
          <w:sz w:val="24"/>
          <w:szCs w:val="24"/>
        </w:rPr>
        <w:t xml:space="preserve"> pela</w:t>
      </w:r>
      <w:r w:rsidR="5097C9EF" w:rsidRPr="5097C9EF">
        <w:rPr>
          <w:rFonts w:ascii="Times New Roman" w:eastAsia="Times New Roman" w:hAnsi="Times New Roman" w:cs="Times New Roman"/>
          <w:sz w:val="24"/>
          <w:szCs w:val="24"/>
        </w:rPr>
        <w:t xml:space="preserve"> autocomposição d</w:t>
      </w:r>
      <w:r w:rsidR="002546E5">
        <w:rPr>
          <w:rFonts w:ascii="Times New Roman" w:eastAsia="Times New Roman" w:hAnsi="Times New Roman" w:cs="Times New Roman"/>
          <w:sz w:val="24"/>
          <w:szCs w:val="24"/>
        </w:rPr>
        <w:t>e seu</w:t>
      </w:r>
      <w:r w:rsidR="5097C9EF" w:rsidRPr="5097C9EF">
        <w:rPr>
          <w:rFonts w:ascii="Times New Roman" w:eastAsia="Times New Roman" w:hAnsi="Times New Roman" w:cs="Times New Roman"/>
          <w:sz w:val="24"/>
          <w:szCs w:val="24"/>
        </w:rPr>
        <w:t xml:space="preserve">s </w:t>
      </w:r>
      <w:r w:rsidR="00F76758">
        <w:rPr>
          <w:rFonts w:ascii="Times New Roman" w:eastAsia="Times New Roman" w:hAnsi="Times New Roman" w:cs="Times New Roman"/>
          <w:sz w:val="24"/>
          <w:szCs w:val="24"/>
        </w:rPr>
        <w:t xml:space="preserve">próprios </w:t>
      </w:r>
      <w:r w:rsidR="5097C9EF" w:rsidRPr="5097C9EF">
        <w:rPr>
          <w:rFonts w:ascii="Times New Roman" w:eastAsia="Times New Roman" w:hAnsi="Times New Roman" w:cs="Times New Roman"/>
          <w:sz w:val="24"/>
          <w:szCs w:val="24"/>
        </w:rPr>
        <w:t>litígios.</w:t>
      </w:r>
    </w:p>
    <w:p w14:paraId="742BE94E" w14:textId="46615416" w:rsidR="009D615C" w:rsidRPr="00D129CC" w:rsidRDefault="00D129CC" w:rsidP="009D615C">
      <w:pPr>
        <w:spacing w:before="120" w:after="120" w:line="360" w:lineRule="auto"/>
        <w:ind w:firstLine="851"/>
        <w:jc w:val="both"/>
        <w:rPr>
          <w:rFonts w:ascii="Times New Roman" w:eastAsia="Times New Roman" w:hAnsi="Times New Roman" w:cs="Times New Roman"/>
          <w:sz w:val="24"/>
          <w:szCs w:val="24"/>
        </w:rPr>
      </w:pPr>
      <w:r w:rsidRPr="00D129CC">
        <w:rPr>
          <w:rFonts w:ascii="Times New Roman" w:eastAsia="Times New Roman" w:hAnsi="Times New Roman" w:cs="Times New Roman"/>
          <w:sz w:val="24"/>
          <w:szCs w:val="24"/>
        </w:rPr>
        <w:t>Neste sentido, consid</w:t>
      </w:r>
      <w:r w:rsidR="00F33B02">
        <w:rPr>
          <w:rFonts w:ascii="Times New Roman" w:eastAsia="Times New Roman" w:hAnsi="Times New Roman" w:cs="Times New Roman"/>
          <w:sz w:val="24"/>
          <w:szCs w:val="24"/>
        </w:rPr>
        <w:t>erando</w:t>
      </w:r>
      <w:r w:rsidR="009D615C" w:rsidRPr="009D615C">
        <w:rPr>
          <w:rFonts w:ascii="Times New Roman" w:eastAsia="Times New Roman" w:hAnsi="Times New Roman" w:cs="Times New Roman"/>
          <w:sz w:val="24"/>
          <w:szCs w:val="24"/>
        </w:rPr>
        <w:t xml:space="preserve"> a novidade e dinamismo do tema, relevante</w:t>
      </w:r>
      <w:r w:rsidR="00F33B02">
        <w:rPr>
          <w:rFonts w:ascii="Times New Roman" w:eastAsia="Times New Roman" w:hAnsi="Times New Roman" w:cs="Times New Roman"/>
          <w:sz w:val="24"/>
          <w:szCs w:val="24"/>
        </w:rPr>
        <w:t>s</w:t>
      </w:r>
      <w:r w:rsidR="009D615C" w:rsidRPr="009D615C">
        <w:rPr>
          <w:rFonts w:ascii="Times New Roman" w:eastAsia="Times New Roman" w:hAnsi="Times New Roman" w:cs="Times New Roman"/>
          <w:sz w:val="24"/>
          <w:szCs w:val="24"/>
        </w:rPr>
        <w:t xml:space="preserve"> serão as discussões a serem desenvolvidas no FONACASC (Fórum de Coordenadores das Câmaras de Conciliação), órgão técnico do CONPEG (Colégio Nacional de Procuradores-Gerais dos Estados e do Distrito Federal), que tem debatido, em reuniões periódicas, a estrutura adequada, as soluções existentes, as dúvidas, polêmicas, enfim, toda a legitimidade e </w:t>
      </w:r>
      <w:r w:rsidR="00AD41D7">
        <w:rPr>
          <w:rFonts w:ascii="Times New Roman" w:eastAsia="Times New Roman" w:hAnsi="Times New Roman" w:cs="Times New Roman"/>
          <w:sz w:val="24"/>
          <w:szCs w:val="24"/>
        </w:rPr>
        <w:t>estrutura adequada</w:t>
      </w:r>
      <w:r w:rsidR="009D615C" w:rsidRPr="009D615C">
        <w:rPr>
          <w:rFonts w:ascii="Times New Roman" w:eastAsia="Times New Roman" w:hAnsi="Times New Roman" w:cs="Times New Roman"/>
          <w:sz w:val="24"/>
          <w:szCs w:val="24"/>
        </w:rPr>
        <w:t xml:space="preserve"> do modelo multiportas nos conflitos envolvendo a Administração Pública.</w:t>
      </w:r>
    </w:p>
    <w:p w14:paraId="67ADAAC7" w14:textId="08D9812D" w:rsidR="009D615C" w:rsidRDefault="002B06AB" w:rsidP="009D615C">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levantamento </w:t>
      </w:r>
      <w:r w:rsidR="00E45098">
        <w:rPr>
          <w:rFonts w:ascii="Times New Roman" w:eastAsia="Times New Roman" w:hAnsi="Times New Roman" w:cs="Times New Roman"/>
          <w:sz w:val="24"/>
          <w:szCs w:val="24"/>
        </w:rPr>
        <w:t>preliminar</w:t>
      </w:r>
      <w:r>
        <w:rPr>
          <w:rFonts w:ascii="Times New Roman" w:eastAsia="Times New Roman" w:hAnsi="Times New Roman" w:cs="Times New Roman"/>
          <w:sz w:val="24"/>
          <w:szCs w:val="24"/>
        </w:rPr>
        <w:t xml:space="preserve"> </w:t>
      </w:r>
      <w:r w:rsidR="00BA65B6">
        <w:rPr>
          <w:rFonts w:ascii="Times New Roman" w:eastAsia="Times New Roman" w:hAnsi="Times New Roman" w:cs="Times New Roman"/>
          <w:sz w:val="24"/>
          <w:szCs w:val="24"/>
        </w:rPr>
        <w:t xml:space="preserve">realizado no referido </w:t>
      </w:r>
      <w:r w:rsidR="00857711" w:rsidRPr="00857711">
        <w:rPr>
          <w:rFonts w:ascii="Times New Roman" w:eastAsia="Times New Roman" w:hAnsi="Times New Roman" w:cs="Times New Roman"/>
          <w:sz w:val="24"/>
          <w:szCs w:val="24"/>
        </w:rPr>
        <w:t>Fórum,</w:t>
      </w:r>
      <w:r w:rsidR="00090071">
        <w:rPr>
          <w:rFonts w:ascii="Times New Roman" w:eastAsia="Times New Roman" w:hAnsi="Times New Roman" w:cs="Times New Roman"/>
          <w:sz w:val="24"/>
          <w:szCs w:val="24"/>
        </w:rPr>
        <w:t xml:space="preserve"> </w:t>
      </w:r>
      <w:r w:rsidR="00BF1E7C">
        <w:rPr>
          <w:rFonts w:ascii="Times New Roman" w:eastAsia="Times New Roman" w:hAnsi="Times New Roman" w:cs="Times New Roman"/>
          <w:sz w:val="24"/>
          <w:szCs w:val="24"/>
        </w:rPr>
        <w:t xml:space="preserve">ao que parece, </w:t>
      </w:r>
      <w:r w:rsidR="005206FA">
        <w:rPr>
          <w:rFonts w:ascii="Times New Roman" w:eastAsia="Times New Roman" w:hAnsi="Times New Roman" w:cs="Times New Roman"/>
          <w:sz w:val="24"/>
          <w:szCs w:val="24"/>
        </w:rPr>
        <w:t>mais da metade dos estados-membros</w:t>
      </w:r>
      <w:r w:rsidR="005206FA">
        <w:rPr>
          <w:rStyle w:val="Refdenotaderodap"/>
          <w:rFonts w:ascii="Times New Roman" w:eastAsia="Times New Roman" w:hAnsi="Times New Roman" w:cs="Times New Roman"/>
          <w:sz w:val="24"/>
          <w:szCs w:val="24"/>
        </w:rPr>
        <w:footnoteReference w:id="9"/>
      </w:r>
      <w:r w:rsidR="00C55772">
        <w:rPr>
          <w:rFonts w:ascii="Times New Roman" w:eastAsia="Times New Roman" w:hAnsi="Times New Roman" w:cs="Times New Roman"/>
          <w:sz w:val="24"/>
          <w:szCs w:val="24"/>
        </w:rPr>
        <w:t xml:space="preserve"> </w:t>
      </w:r>
      <w:r w:rsidR="00BF1E7C">
        <w:rPr>
          <w:rFonts w:ascii="Times New Roman" w:eastAsia="Times New Roman" w:hAnsi="Times New Roman" w:cs="Times New Roman"/>
          <w:sz w:val="24"/>
          <w:szCs w:val="24"/>
        </w:rPr>
        <w:t xml:space="preserve">já </w:t>
      </w:r>
      <w:r w:rsidR="00857711">
        <w:rPr>
          <w:rFonts w:ascii="Times New Roman" w:eastAsia="Times New Roman" w:hAnsi="Times New Roman" w:cs="Times New Roman"/>
          <w:sz w:val="24"/>
          <w:szCs w:val="24"/>
        </w:rPr>
        <w:t xml:space="preserve">possuem </w:t>
      </w:r>
      <w:r w:rsidR="00C55772">
        <w:rPr>
          <w:rFonts w:ascii="Times New Roman" w:eastAsia="Times New Roman" w:hAnsi="Times New Roman" w:cs="Times New Roman"/>
          <w:sz w:val="24"/>
          <w:szCs w:val="24"/>
        </w:rPr>
        <w:t>C</w:t>
      </w:r>
      <w:r w:rsidR="00857711">
        <w:rPr>
          <w:rFonts w:ascii="Times New Roman" w:eastAsia="Times New Roman" w:hAnsi="Times New Roman" w:cs="Times New Roman"/>
          <w:sz w:val="24"/>
          <w:szCs w:val="24"/>
        </w:rPr>
        <w:t xml:space="preserve">âmaras de </w:t>
      </w:r>
      <w:r w:rsidR="00C55772">
        <w:rPr>
          <w:rFonts w:ascii="Times New Roman" w:eastAsia="Times New Roman" w:hAnsi="Times New Roman" w:cs="Times New Roman"/>
          <w:sz w:val="24"/>
          <w:szCs w:val="24"/>
        </w:rPr>
        <w:t>Autocomposição</w:t>
      </w:r>
      <w:r w:rsidR="00857711">
        <w:rPr>
          <w:rFonts w:ascii="Times New Roman" w:eastAsia="Times New Roman" w:hAnsi="Times New Roman" w:cs="Times New Roman"/>
          <w:sz w:val="24"/>
          <w:szCs w:val="24"/>
        </w:rPr>
        <w:t xml:space="preserve"> instauradas</w:t>
      </w:r>
      <w:r w:rsidR="005206FA">
        <w:rPr>
          <w:rFonts w:ascii="Times New Roman" w:eastAsia="Times New Roman" w:hAnsi="Times New Roman" w:cs="Times New Roman"/>
          <w:sz w:val="24"/>
          <w:szCs w:val="24"/>
        </w:rPr>
        <w:t xml:space="preserve"> em suas</w:t>
      </w:r>
      <w:r w:rsidR="00857711">
        <w:rPr>
          <w:rFonts w:ascii="Times New Roman" w:eastAsia="Times New Roman" w:hAnsi="Times New Roman" w:cs="Times New Roman"/>
          <w:sz w:val="24"/>
          <w:szCs w:val="24"/>
        </w:rPr>
        <w:t xml:space="preserve"> procuradorias estaduais.</w:t>
      </w:r>
    </w:p>
    <w:p w14:paraId="4113D1A5" w14:textId="4B0A5D64"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Observa-se que alguns entes federativos foram além da mera criação das câmaras de </w:t>
      </w:r>
      <w:r w:rsidR="00F76758">
        <w:rPr>
          <w:rFonts w:ascii="Times New Roman" w:eastAsia="Times New Roman" w:hAnsi="Times New Roman" w:cs="Times New Roman"/>
          <w:sz w:val="24"/>
          <w:szCs w:val="24"/>
        </w:rPr>
        <w:t xml:space="preserve">autocomposição </w:t>
      </w:r>
      <w:r w:rsidRPr="5097C9EF">
        <w:rPr>
          <w:rFonts w:ascii="Times New Roman" w:eastAsia="Times New Roman" w:hAnsi="Times New Roman" w:cs="Times New Roman"/>
          <w:sz w:val="24"/>
          <w:szCs w:val="24"/>
        </w:rPr>
        <w:t>e instituíram verdadeiras políticas de resolução alternativa de conflitos, com vistas a estimular a consensualidade frente aos litígios administrativos.</w:t>
      </w:r>
    </w:p>
    <w:p w14:paraId="5135B18B" w14:textId="16168308" w:rsidR="5097C9EF" w:rsidRPr="00137EEF" w:rsidRDefault="5097C9EF" w:rsidP="00EE07B3">
      <w:pPr>
        <w:spacing w:before="120" w:after="120" w:line="360" w:lineRule="auto"/>
        <w:ind w:firstLine="851"/>
        <w:jc w:val="both"/>
        <w:rPr>
          <w:i/>
          <w:iCs/>
        </w:rPr>
      </w:pPr>
      <w:r w:rsidRPr="5097C9EF">
        <w:rPr>
          <w:rFonts w:ascii="Times New Roman" w:eastAsia="Times New Roman" w:hAnsi="Times New Roman" w:cs="Times New Roman"/>
          <w:sz w:val="24"/>
          <w:szCs w:val="24"/>
        </w:rPr>
        <w:t>É o caso do Município de São Paulo, por meio da Lei nº 17.324</w:t>
      </w:r>
      <w:r w:rsidR="00187707">
        <w:rPr>
          <w:rFonts w:ascii="Times New Roman" w:eastAsia="Times New Roman" w:hAnsi="Times New Roman" w:cs="Times New Roman"/>
          <w:sz w:val="24"/>
          <w:szCs w:val="24"/>
        </w:rPr>
        <w:t>/2020</w:t>
      </w:r>
      <w:r w:rsidRPr="5097C9EF">
        <w:rPr>
          <w:rFonts w:ascii="Times New Roman" w:eastAsia="Times New Roman" w:hAnsi="Times New Roman" w:cs="Times New Roman"/>
          <w:sz w:val="24"/>
          <w:szCs w:val="24"/>
        </w:rPr>
        <w:t xml:space="preserve">, que </w:t>
      </w:r>
      <w:r w:rsidRPr="5097C9EF">
        <w:rPr>
          <w:rFonts w:ascii="Times New Roman" w:eastAsia="Times New Roman" w:hAnsi="Times New Roman" w:cs="Times New Roman"/>
          <w:i/>
          <w:iCs/>
          <w:sz w:val="24"/>
          <w:szCs w:val="24"/>
        </w:rPr>
        <w:t>“institui a Política de Desjudicialização no âmbito da Administração Pública Municipal Direta e Indireta”</w:t>
      </w:r>
      <w:r w:rsidR="00187707">
        <w:rPr>
          <w:rFonts w:ascii="Times New Roman" w:eastAsia="Times New Roman" w:hAnsi="Times New Roman" w:cs="Times New Roman"/>
          <w:i/>
          <w:iCs/>
          <w:sz w:val="24"/>
          <w:szCs w:val="24"/>
        </w:rPr>
        <w:t>,</w:t>
      </w:r>
      <w:r w:rsidRPr="5097C9EF">
        <w:rPr>
          <w:rFonts w:ascii="Times New Roman" w:eastAsia="Times New Roman" w:hAnsi="Times New Roman" w:cs="Times New Roman"/>
          <w:sz w:val="24"/>
          <w:szCs w:val="24"/>
        </w:rPr>
        <w:t xml:space="preserve"> do Estado de Santa Catarina, que editou a Lei nº 18.302</w:t>
      </w:r>
      <w:r w:rsidR="00187707">
        <w:rPr>
          <w:rFonts w:ascii="Times New Roman" w:eastAsia="Times New Roman" w:hAnsi="Times New Roman" w:cs="Times New Roman"/>
          <w:sz w:val="24"/>
          <w:szCs w:val="24"/>
        </w:rPr>
        <w:t>/2021</w:t>
      </w:r>
      <w:r w:rsidRPr="5097C9EF">
        <w:rPr>
          <w:rFonts w:ascii="Times New Roman" w:eastAsia="Times New Roman" w:hAnsi="Times New Roman" w:cs="Times New Roman"/>
          <w:sz w:val="24"/>
          <w:szCs w:val="24"/>
        </w:rPr>
        <w:t xml:space="preserve">, instituindo </w:t>
      </w:r>
      <w:r w:rsidRPr="5097C9EF">
        <w:rPr>
          <w:rFonts w:ascii="Times New Roman" w:eastAsia="Times New Roman" w:hAnsi="Times New Roman" w:cs="Times New Roman"/>
          <w:i/>
          <w:iCs/>
          <w:sz w:val="24"/>
          <w:szCs w:val="24"/>
        </w:rPr>
        <w:t>“o Programa de Incentivo à Desjudicialização e ao Êxito Processual (PRODEX), no âmbito do Poder Executivo”</w:t>
      </w:r>
      <w:r w:rsidR="0031584A">
        <w:rPr>
          <w:rFonts w:ascii="Times New Roman" w:eastAsia="Times New Roman" w:hAnsi="Times New Roman" w:cs="Times New Roman"/>
          <w:sz w:val="24"/>
          <w:szCs w:val="24"/>
        </w:rPr>
        <w:t xml:space="preserve"> e o Estado o Espírito Santo, com a publicação da Lei </w:t>
      </w:r>
      <w:r w:rsidR="00FF1E82">
        <w:rPr>
          <w:rFonts w:ascii="Times New Roman" w:eastAsia="Times New Roman" w:hAnsi="Times New Roman" w:cs="Times New Roman"/>
          <w:sz w:val="24"/>
          <w:szCs w:val="24"/>
        </w:rPr>
        <w:t xml:space="preserve">Complementar nº 1.011/2022, </w:t>
      </w:r>
      <w:r w:rsidR="00137EEF">
        <w:rPr>
          <w:rFonts w:ascii="Times New Roman" w:eastAsia="Times New Roman" w:hAnsi="Times New Roman" w:cs="Times New Roman"/>
          <w:sz w:val="24"/>
          <w:szCs w:val="24"/>
        </w:rPr>
        <w:t xml:space="preserve">que </w:t>
      </w:r>
      <w:r w:rsidR="00CD72C0">
        <w:rPr>
          <w:rFonts w:ascii="Times New Roman" w:eastAsia="Times New Roman" w:hAnsi="Times New Roman" w:cs="Times New Roman"/>
          <w:sz w:val="24"/>
          <w:szCs w:val="24"/>
        </w:rPr>
        <w:t xml:space="preserve">institui </w:t>
      </w:r>
      <w:r w:rsidR="00CD72C0" w:rsidRPr="00CD72C0">
        <w:rPr>
          <w:rFonts w:ascii="Times New Roman" w:eastAsia="Times New Roman" w:hAnsi="Times New Roman" w:cs="Times New Roman"/>
          <w:sz w:val="24"/>
          <w:szCs w:val="24"/>
        </w:rPr>
        <w:t>a</w:t>
      </w:r>
      <w:r w:rsidR="00CD72C0">
        <w:rPr>
          <w:rFonts w:ascii="Times New Roman" w:eastAsia="Times New Roman" w:hAnsi="Times New Roman" w:cs="Times New Roman"/>
          <w:i/>
          <w:iCs/>
          <w:sz w:val="24"/>
          <w:szCs w:val="24"/>
        </w:rPr>
        <w:t xml:space="preserve"> </w:t>
      </w:r>
      <w:r w:rsidR="00CD72C0" w:rsidRPr="00CD72C0">
        <w:rPr>
          <w:rFonts w:ascii="Times New Roman" w:eastAsia="Times New Roman" w:hAnsi="Times New Roman" w:cs="Times New Roman"/>
          <w:i/>
          <w:iCs/>
          <w:sz w:val="24"/>
          <w:szCs w:val="24"/>
        </w:rPr>
        <w:t>“Política de Consensualidade no âmbito da Administração Pública Estadual Direta e Indireta; cria a Câmara de Prevenção e Resolução Administrativa de Conflitos do Espírito Santo - CPRACES; moderniza a Procuradoria-Geral do Estado e dá outras providências</w:t>
      </w:r>
      <w:r w:rsidR="000052F5">
        <w:rPr>
          <w:rFonts w:ascii="Times New Roman" w:eastAsia="Times New Roman" w:hAnsi="Times New Roman" w:cs="Times New Roman"/>
          <w:i/>
          <w:iCs/>
          <w:sz w:val="24"/>
          <w:szCs w:val="24"/>
        </w:rPr>
        <w:t>”</w:t>
      </w:r>
      <w:r w:rsidR="00CD72C0" w:rsidRPr="00CD72C0">
        <w:rPr>
          <w:rFonts w:ascii="Times New Roman" w:eastAsia="Times New Roman" w:hAnsi="Times New Roman" w:cs="Times New Roman"/>
          <w:i/>
          <w:iCs/>
          <w:sz w:val="24"/>
          <w:szCs w:val="24"/>
        </w:rPr>
        <w:t>.</w:t>
      </w:r>
    </w:p>
    <w:p w14:paraId="0FC0A77E" w14:textId="6F0604EF"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lastRenderedPageBreak/>
        <w:t>Os objetivos dessas políticas constam de forma expressa nos</w:t>
      </w:r>
      <w:r w:rsidR="00207AD8">
        <w:rPr>
          <w:rFonts w:ascii="Times New Roman" w:eastAsia="Times New Roman" w:hAnsi="Times New Roman" w:cs="Times New Roman"/>
          <w:sz w:val="24"/>
          <w:szCs w:val="24"/>
        </w:rPr>
        <w:t xml:space="preserve"> respectivos</w:t>
      </w:r>
      <w:r w:rsidRPr="5097C9EF">
        <w:rPr>
          <w:rFonts w:ascii="Times New Roman" w:eastAsia="Times New Roman" w:hAnsi="Times New Roman" w:cs="Times New Roman"/>
          <w:sz w:val="24"/>
          <w:szCs w:val="24"/>
        </w:rPr>
        <w:t xml:space="preserve"> diplomas legislativos e estão ligados à redução da litigiosidade, </w:t>
      </w:r>
      <w:r w:rsidR="00CE2F28">
        <w:rPr>
          <w:rFonts w:ascii="Times New Roman" w:eastAsia="Times New Roman" w:hAnsi="Times New Roman" w:cs="Times New Roman"/>
          <w:sz w:val="24"/>
          <w:szCs w:val="24"/>
        </w:rPr>
        <w:t xml:space="preserve">ao </w:t>
      </w:r>
      <w:r w:rsidRPr="5097C9EF">
        <w:rPr>
          <w:rFonts w:ascii="Times New Roman" w:eastAsia="Times New Roman" w:hAnsi="Times New Roman" w:cs="Times New Roman"/>
          <w:sz w:val="24"/>
          <w:szCs w:val="24"/>
        </w:rPr>
        <w:t xml:space="preserve">estímulo à solução adequada das controvérsias, </w:t>
      </w:r>
      <w:r w:rsidR="00CE2F28">
        <w:rPr>
          <w:rFonts w:ascii="Times New Roman" w:eastAsia="Times New Roman" w:hAnsi="Times New Roman" w:cs="Times New Roman"/>
          <w:sz w:val="24"/>
          <w:szCs w:val="24"/>
        </w:rPr>
        <w:t xml:space="preserve">à </w:t>
      </w:r>
      <w:r w:rsidRPr="5097C9EF">
        <w:rPr>
          <w:rFonts w:ascii="Times New Roman" w:eastAsia="Times New Roman" w:hAnsi="Times New Roman" w:cs="Times New Roman"/>
          <w:sz w:val="24"/>
          <w:szCs w:val="24"/>
        </w:rPr>
        <w:t>promoção da solução consensual dos conflitos</w:t>
      </w:r>
      <w:r w:rsidR="00843835">
        <w:rPr>
          <w:rFonts w:ascii="Times New Roman" w:eastAsia="Times New Roman" w:hAnsi="Times New Roman" w:cs="Times New Roman"/>
          <w:sz w:val="24"/>
          <w:szCs w:val="24"/>
        </w:rPr>
        <w:t xml:space="preserve"> e ao</w:t>
      </w:r>
      <w:r w:rsidRPr="5097C9EF">
        <w:rPr>
          <w:rFonts w:ascii="Times New Roman" w:eastAsia="Times New Roman" w:hAnsi="Times New Roman" w:cs="Times New Roman"/>
          <w:sz w:val="24"/>
          <w:szCs w:val="24"/>
        </w:rPr>
        <w:t xml:space="preserve"> gerenciamento das demandas administrativas e judiciais, dentre outros.</w:t>
      </w:r>
    </w:p>
    <w:p w14:paraId="1BF71A51" w14:textId="294ECFF6" w:rsidR="00B0649C" w:rsidRDefault="009A6792"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w:t>
      </w:r>
      <w:r w:rsidR="5097C9EF" w:rsidRPr="5097C9EF">
        <w:rPr>
          <w:rFonts w:ascii="Times New Roman" w:eastAsia="Times New Roman" w:hAnsi="Times New Roman" w:cs="Times New Roman"/>
          <w:sz w:val="24"/>
          <w:szCs w:val="24"/>
        </w:rPr>
        <w:t xml:space="preserve"> </w:t>
      </w:r>
      <w:r w:rsidR="00843835">
        <w:rPr>
          <w:rFonts w:ascii="Times New Roman" w:eastAsia="Times New Roman" w:hAnsi="Times New Roman" w:cs="Times New Roman"/>
          <w:sz w:val="24"/>
          <w:szCs w:val="24"/>
        </w:rPr>
        <w:t>a</w:t>
      </w:r>
      <w:r w:rsidR="5097C9EF" w:rsidRPr="5097C9EF">
        <w:rPr>
          <w:rFonts w:ascii="Times New Roman" w:eastAsia="Times New Roman" w:hAnsi="Times New Roman" w:cs="Times New Roman"/>
          <w:sz w:val="24"/>
          <w:szCs w:val="24"/>
        </w:rPr>
        <w:t xml:space="preserve"> consolidação do tema na Administração Pública</w:t>
      </w:r>
      <w:r>
        <w:rPr>
          <w:rFonts w:ascii="Times New Roman" w:eastAsia="Times New Roman" w:hAnsi="Times New Roman" w:cs="Times New Roman"/>
          <w:sz w:val="24"/>
          <w:szCs w:val="24"/>
        </w:rPr>
        <w:t>,</w:t>
      </w:r>
      <w:r w:rsidR="5097C9EF" w:rsidRPr="5097C9EF">
        <w:rPr>
          <w:rFonts w:ascii="Times New Roman" w:eastAsia="Times New Roman" w:hAnsi="Times New Roman" w:cs="Times New Roman"/>
          <w:sz w:val="24"/>
          <w:szCs w:val="24"/>
        </w:rPr>
        <w:t xml:space="preserve"> </w:t>
      </w:r>
      <w:r w:rsidR="0083189A">
        <w:rPr>
          <w:rFonts w:ascii="Times New Roman" w:eastAsia="Times New Roman" w:hAnsi="Times New Roman" w:cs="Times New Roman"/>
          <w:sz w:val="24"/>
          <w:szCs w:val="24"/>
        </w:rPr>
        <w:t xml:space="preserve">também importante </w:t>
      </w:r>
      <w:r w:rsidR="5097C9EF" w:rsidRPr="5097C9EF">
        <w:rPr>
          <w:rFonts w:ascii="Times New Roman" w:eastAsia="Times New Roman" w:hAnsi="Times New Roman" w:cs="Times New Roman"/>
          <w:sz w:val="24"/>
          <w:szCs w:val="24"/>
        </w:rPr>
        <w:t>o conteúdo do art. 26 do Decreto-Lei nº 4.657/1942 (</w:t>
      </w:r>
      <w:r w:rsidR="00207AD8">
        <w:rPr>
          <w:rFonts w:ascii="Times New Roman" w:eastAsia="Times New Roman" w:hAnsi="Times New Roman" w:cs="Times New Roman"/>
          <w:sz w:val="24"/>
          <w:szCs w:val="24"/>
        </w:rPr>
        <w:t>“</w:t>
      </w:r>
      <w:r w:rsidR="5097C9EF" w:rsidRPr="5097C9EF">
        <w:rPr>
          <w:rFonts w:ascii="Times New Roman" w:eastAsia="Times New Roman" w:hAnsi="Times New Roman" w:cs="Times New Roman"/>
          <w:sz w:val="24"/>
          <w:szCs w:val="24"/>
        </w:rPr>
        <w:t>Lei de Introdução às normas do Direito Brasileiro</w:t>
      </w:r>
      <w:r w:rsidR="00207AD8">
        <w:rPr>
          <w:rFonts w:ascii="Times New Roman" w:eastAsia="Times New Roman" w:hAnsi="Times New Roman" w:cs="Times New Roman"/>
          <w:sz w:val="24"/>
          <w:szCs w:val="24"/>
        </w:rPr>
        <w:t>”</w:t>
      </w:r>
      <w:r w:rsidR="5097C9EF" w:rsidRPr="5097C9EF">
        <w:rPr>
          <w:rFonts w:ascii="Times New Roman" w:eastAsia="Times New Roman" w:hAnsi="Times New Roman" w:cs="Times New Roman"/>
          <w:sz w:val="24"/>
          <w:szCs w:val="24"/>
        </w:rPr>
        <w:t>), incluído pela Lei nº 13.655/2018, ao prever que</w:t>
      </w:r>
      <w:r w:rsidR="00B0649C">
        <w:rPr>
          <w:rFonts w:ascii="Times New Roman" w:eastAsia="Times New Roman" w:hAnsi="Times New Roman" w:cs="Times New Roman"/>
          <w:sz w:val="24"/>
          <w:szCs w:val="24"/>
        </w:rPr>
        <w:t>:</w:t>
      </w:r>
    </w:p>
    <w:p w14:paraId="5761A512" w14:textId="5FD1C77C" w:rsidR="5097C9EF" w:rsidRPr="00FD75D8" w:rsidRDefault="5097C9EF" w:rsidP="00E227FA">
      <w:pPr>
        <w:spacing w:before="120" w:after="120" w:line="240" w:lineRule="auto"/>
        <w:ind w:left="2268"/>
        <w:jc w:val="both"/>
        <w:rPr>
          <w:rFonts w:ascii="Times New Roman" w:eastAsia="Times New Roman" w:hAnsi="Times New Roman" w:cs="Times New Roman"/>
          <w:sz w:val="20"/>
          <w:szCs w:val="20"/>
        </w:rPr>
      </w:pPr>
      <w:r w:rsidRPr="00FD75D8">
        <w:rPr>
          <w:rFonts w:ascii="Times New Roman" w:eastAsia="Times New Roman" w:hAnsi="Times New Roman" w:cs="Times New Roman"/>
          <w:sz w:val="20"/>
          <w:szCs w:val="20"/>
        </w:rPr>
        <w:t>para eliminar irregularidade, incerteza jurídica ou situação contenciosa na aplicação do direito público, inclusive no caso de expedição de licença, a autoridade administrativa poderá, após oitiva do órgão jurídico e, quando for o caso, após realização de consulta pública, e presentes razões de relevante interesse geral, celebrar compromisso com os interessados, observada a legislação aplicável, o qual só produzirá efeitos a partir de sua publicação oficial.</w:t>
      </w:r>
    </w:p>
    <w:p w14:paraId="63F090E2" w14:textId="11E083A4"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A autocomposição também é estimulada na nova Lei de Licitações (Lei nº 14.133/2021) de forma expressa no art. 151, o qual dispõe que </w:t>
      </w:r>
      <w:r w:rsidRPr="5097C9EF">
        <w:rPr>
          <w:rFonts w:ascii="Times New Roman" w:eastAsia="Times New Roman" w:hAnsi="Times New Roman" w:cs="Times New Roman"/>
          <w:i/>
          <w:iCs/>
          <w:sz w:val="24"/>
          <w:szCs w:val="24"/>
        </w:rPr>
        <w:t>“poderão ser utilizados meios alternativos de prevenção e resolução de controvérsias, notadamente a conciliação, a mediação, o comitê de resolução de disputas e a arbitragem”</w:t>
      </w:r>
      <w:r w:rsidRPr="5097C9EF">
        <w:rPr>
          <w:rFonts w:ascii="Times New Roman" w:eastAsia="Times New Roman" w:hAnsi="Times New Roman" w:cs="Times New Roman"/>
          <w:sz w:val="24"/>
          <w:szCs w:val="24"/>
        </w:rPr>
        <w:t xml:space="preserve">, havendo ainda autorização para a extinção de contratos pela via consensual (art. 138, II) e </w:t>
      </w:r>
      <w:r w:rsidR="00207AD8">
        <w:rPr>
          <w:rFonts w:ascii="Times New Roman" w:eastAsia="Times New Roman" w:hAnsi="Times New Roman" w:cs="Times New Roman"/>
          <w:sz w:val="24"/>
          <w:szCs w:val="24"/>
        </w:rPr>
        <w:t xml:space="preserve">para a </w:t>
      </w:r>
      <w:r w:rsidRPr="5097C9EF">
        <w:rPr>
          <w:rFonts w:ascii="Times New Roman" w:eastAsia="Times New Roman" w:hAnsi="Times New Roman" w:cs="Times New Roman"/>
          <w:sz w:val="24"/>
          <w:szCs w:val="24"/>
        </w:rPr>
        <w:t>realização de aditivos pelos meios compositivos (art. 153).</w:t>
      </w:r>
    </w:p>
    <w:p w14:paraId="2DD9A3BA" w14:textId="6DD12BCD"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Ao fazer a análise dos aspectos aqui tratados na Administração Pública, assim discorre Diogo de Figueiredo Moreira Neto</w:t>
      </w:r>
      <w:r w:rsidR="00387699">
        <w:rPr>
          <w:rStyle w:val="Refdenotaderodap"/>
          <w:rFonts w:ascii="Times New Roman" w:eastAsia="Times New Roman" w:hAnsi="Times New Roman" w:cs="Times New Roman"/>
          <w:sz w:val="24"/>
          <w:szCs w:val="24"/>
        </w:rPr>
        <w:footnoteReference w:id="10"/>
      </w:r>
      <w:r w:rsidRPr="5097C9EF">
        <w:rPr>
          <w:rFonts w:ascii="Times New Roman" w:eastAsia="Times New Roman" w:hAnsi="Times New Roman" w:cs="Times New Roman"/>
          <w:sz w:val="24"/>
          <w:szCs w:val="24"/>
        </w:rPr>
        <w:t>:</w:t>
      </w:r>
    </w:p>
    <w:p w14:paraId="4A908574" w14:textId="3D00E964" w:rsidR="5097C9EF" w:rsidRPr="00B20875" w:rsidRDefault="5097C9EF" w:rsidP="00E227FA">
      <w:pPr>
        <w:spacing w:before="120" w:after="120" w:line="240" w:lineRule="auto"/>
        <w:ind w:left="2268"/>
        <w:jc w:val="both"/>
        <w:rPr>
          <w:rFonts w:ascii="Times New Roman" w:eastAsia="Times New Roman" w:hAnsi="Times New Roman" w:cs="Times New Roman"/>
          <w:sz w:val="20"/>
          <w:szCs w:val="20"/>
        </w:rPr>
      </w:pPr>
      <w:r w:rsidRPr="00B20875">
        <w:rPr>
          <w:rFonts w:ascii="Times New Roman" w:eastAsia="Times New Roman" w:hAnsi="Times New Roman" w:cs="Times New Roman"/>
          <w:sz w:val="20"/>
          <w:szCs w:val="20"/>
        </w:rPr>
        <w:t>A consensualidade, por certo, não estará destinada a substituir as formas tradicionais de ação imperativa do Estado, mas, sem dúvida, representa uma mudança substancial em suas prioridades de atuação, prestigiando o que hoje se vem denominando parceria com a sociedade.</w:t>
      </w:r>
    </w:p>
    <w:p w14:paraId="56E1D56A" w14:textId="6706892D" w:rsidR="5097C9EF" w:rsidRPr="00B20875" w:rsidRDefault="5097C9EF" w:rsidP="00E227FA">
      <w:pPr>
        <w:spacing w:before="120" w:after="120" w:line="240" w:lineRule="auto"/>
        <w:ind w:left="2268"/>
        <w:jc w:val="both"/>
        <w:rPr>
          <w:rFonts w:ascii="Times New Roman" w:eastAsia="Times New Roman" w:hAnsi="Times New Roman" w:cs="Times New Roman"/>
          <w:sz w:val="20"/>
          <w:szCs w:val="20"/>
        </w:rPr>
      </w:pPr>
      <w:r w:rsidRPr="00B20875">
        <w:rPr>
          <w:rFonts w:ascii="Times New Roman" w:eastAsia="Times New Roman" w:hAnsi="Times New Roman" w:cs="Times New Roman"/>
          <w:sz w:val="20"/>
          <w:szCs w:val="20"/>
        </w:rPr>
        <w:t>Todas essas tendências atuam no sentido de despojar-se a Administração Pública das características burocráticas que assumiram nos países de tradição jurídica continental europeia, na linha do Direito Administrativo gerado pela Revolução Francesa, e, de certa forma, agravadas e desvirtuadas pela herança ibérica colonial de cunho patrimonialista, e de aproximá-las de modelos mais pragmáticos, como anglo-saxões, que prestigiam o administrado.</w:t>
      </w:r>
    </w:p>
    <w:p w14:paraId="0A394886" w14:textId="42FFD610"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 </w:t>
      </w:r>
      <w:r w:rsidR="00CD45F0">
        <w:rPr>
          <w:rFonts w:ascii="Times New Roman" w:eastAsia="Times New Roman" w:hAnsi="Times New Roman" w:cs="Times New Roman"/>
          <w:sz w:val="24"/>
          <w:szCs w:val="24"/>
        </w:rPr>
        <w:t>A</w:t>
      </w:r>
      <w:r w:rsidRPr="5097C9EF">
        <w:rPr>
          <w:rFonts w:ascii="Times New Roman" w:eastAsia="Times New Roman" w:hAnsi="Times New Roman" w:cs="Times New Roman"/>
          <w:sz w:val="24"/>
          <w:szCs w:val="24"/>
        </w:rPr>
        <w:t xml:space="preserve"> efetiva adoção da consensualidade em conflitos administrativos envolve uma releitura acerca dos elementos que sustentam o direito </w:t>
      </w:r>
      <w:r w:rsidR="003540A8">
        <w:rPr>
          <w:rFonts w:ascii="Times New Roman" w:eastAsia="Times New Roman" w:hAnsi="Times New Roman" w:cs="Times New Roman"/>
          <w:sz w:val="24"/>
          <w:szCs w:val="24"/>
        </w:rPr>
        <w:t>público</w:t>
      </w:r>
      <w:r w:rsidRPr="5097C9EF">
        <w:rPr>
          <w:rFonts w:ascii="Times New Roman" w:eastAsia="Times New Roman" w:hAnsi="Times New Roman" w:cs="Times New Roman"/>
          <w:sz w:val="24"/>
          <w:szCs w:val="24"/>
        </w:rPr>
        <w:t xml:space="preserve">, afastando intepretações intransigentes sobre o princípio da legalidade, ou mesmo da primazia e indisponibilidade do interesse público, com a consequente prevalência das ideias de eficiência, vantajosidade e pragmatismo.  </w:t>
      </w:r>
    </w:p>
    <w:p w14:paraId="756539C8" w14:textId="70B558C6"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lastRenderedPageBreak/>
        <w:t>Deveras, a própria lógica do princípio da supremacia do interesse público nem sempre pode ser interpretada de forma conflituosa aos interesses privados, considerando a função estatal de promover o bem comum e a fixação do indivíduo com</w:t>
      </w:r>
      <w:r w:rsidR="002F1760">
        <w:rPr>
          <w:rFonts w:ascii="Times New Roman" w:eastAsia="Times New Roman" w:hAnsi="Times New Roman" w:cs="Times New Roman"/>
          <w:sz w:val="24"/>
          <w:szCs w:val="24"/>
        </w:rPr>
        <w:t>o</w:t>
      </w:r>
      <w:r w:rsidRPr="5097C9EF">
        <w:rPr>
          <w:rFonts w:ascii="Times New Roman" w:eastAsia="Times New Roman" w:hAnsi="Times New Roman" w:cs="Times New Roman"/>
          <w:sz w:val="24"/>
          <w:szCs w:val="24"/>
        </w:rPr>
        <w:t xml:space="preserve"> centro da ordem constitucional. </w:t>
      </w:r>
    </w:p>
    <w:p w14:paraId="3F8C9A48" w14:textId="3EC654C0" w:rsidR="005842A5" w:rsidRDefault="5097C9EF" w:rsidP="00EE07B3">
      <w:pPr>
        <w:spacing w:before="120" w:after="120" w:line="360" w:lineRule="auto"/>
        <w:ind w:firstLine="851"/>
        <w:jc w:val="both"/>
        <w:rPr>
          <w:rFonts w:ascii="Times New Roman" w:eastAsia="Times New Roman" w:hAnsi="Times New Roman" w:cs="Times New Roman"/>
          <w:i/>
          <w:iCs/>
          <w:sz w:val="24"/>
          <w:szCs w:val="24"/>
        </w:rPr>
      </w:pPr>
      <w:r w:rsidRPr="5097C9EF">
        <w:rPr>
          <w:rFonts w:ascii="Times New Roman" w:eastAsia="Times New Roman" w:hAnsi="Times New Roman" w:cs="Times New Roman"/>
          <w:sz w:val="24"/>
          <w:szCs w:val="24"/>
        </w:rPr>
        <w:t>Como destaca Bruno Dubeux</w:t>
      </w:r>
      <w:r w:rsidR="00387699">
        <w:rPr>
          <w:rStyle w:val="Refdenotaderodap"/>
          <w:rFonts w:ascii="Times New Roman" w:eastAsia="Times New Roman" w:hAnsi="Times New Roman" w:cs="Times New Roman"/>
          <w:sz w:val="24"/>
          <w:szCs w:val="24"/>
        </w:rPr>
        <w:footnoteReference w:id="11"/>
      </w:r>
      <w:r w:rsidR="00014D99">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w:t>
      </w:r>
    </w:p>
    <w:p w14:paraId="3F64EA73" w14:textId="100C128D" w:rsidR="5097C9EF" w:rsidRPr="005842A5" w:rsidRDefault="5097C9EF" w:rsidP="00E227FA">
      <w:pPr>
        <w:spacing w:before="120" w:after="120" w:line="240" w:lineRule="auto"/>
        <w:ind w:left="2268"/>
        <w:jc w:val="both"/>
        <w:rPr>
          <w:rFonts w:ascii="Times New Roman" w:eastAsia="Times New Roman" w:hAnsi="Times New Roman" w:cs="Times New Roman"/>
          <w:sz w:val="20"/>
          <w:szCs w:val="20"/>
        </w:rPr>
      </w:pPr>
      <w:r w:rsidRPr="005842A5">
        <w:rPr>
          <w:rFonts w:ascii="Times New Roman" w:eastAsia="Times New Roman" w:hAnsi="Times New Roman" w:cs="Times New Roman"/>
          <w:sz w:val="20"/>
          <w:szCs w:val="20"/>
        </w:rPr>
        <w:t>verifica-se, nesse sentido, que o dogma da supremacia do interesse público sob o privado foi sofrendo mutações ao longo das últimas décadas, de modo a permitir, no caso concreto e observados os limites constitucionais e legais, a sua disponibilidade e, portanto, a possibilidade da Administração Pública celebrar acordos para, conciliando interesses, resolver conflitos com terceiros.</w:t>
      </w:r>
    </w:p>
    <w:p w14:paraId="2D68BCC4" w14:textId="48D7869F"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Buscando trazer elementos objetivos que contribuem na análise da vantajosidade para fins autocomposição, o mesmo autor leciona: </w:t>
      </w:r>
    </w:p>
    <w:p w14:paraId="469D081A" w14:textId="2F58D8F5" w:rsidR="5097C9EF" w:rsidRPr="00D6734C" w:rsidRDefault="5097C9EF" w:rsidP="00E227FA">
      <w:pPr>
        <w:spacing w:before="120" w:after="120" w:line="240" w:lineRule="auto"/>
        <w:ind w:left="2268"/>
        <w:jc w:val="both"/>
        <w:rPr>
          <w:rFonts w:ascii="Times New Roman" w:eastAsia="Times New Roman" w:hAnsi="Times New Roman" w:cs="Times New Roman"/>
          <w:sz w:val="20"/>
          <w:szCs w:val="20"/>
        </w:rPr>
      </w:pPr>
      <w:r w:rsidRPr="00D6734C">
        <w:rPr>
          <w:rFonts w:ascii="Times New Roman" w:eastAsia="Times New Roman" w:hAnsi="Times New Roman" w:cs="Times New Roman"/>
          <w:sz w:val="20"/>
          <w:szCs w:val="20"/>
        </w:rPr>
        <w:t>Fatores com o aspecto da questão jurídica envolvida e sua intepretação pelo Poder Judiciário, a análise econômica do direito, o aspecto temporal envolvendo o litígio judicial e o grau de recuperabilidade do crédito, o comportamento, a solvabilidade e a capacidade de pagamento do devedor, bem como o próprio custo da máquina administrativa e judicial podem auxiliar na busca pela melhor fundamentação do acordo a ser celebrado pela Administração Pública.</w:t>
      </w:r>
    </w:p>
    <w:p w14:paraId="686AB433" w14:textId="36D7B903" w:rsidR="5097C9EF" w:rsidRDefault="5097C9EF" w:rsidP="00EE07B3">
      <w:pPr>
        <w:spacing w:before="120" w:after="120" w:line="360" w:lineRule="auto"/>
        <w:ind w:firstLine="851"/>
        <w:jc w:val="both"/>
        <w:rPr>
          <w:rFonts w:ascii="Times New Roman" w:eastAsia="Times New Roman" w:hAnsi="Times New Roman" w:cs="Times New Roman"/>
          <w:sz w:val="24"/>
          <w:szCs w:val="24"/>
        </w:rPr>
      </w:pPr>
      <w:r w:rsidRPr="5097C9EF">
        <w:rPr>
          <w:rFonts w:ascii="Times New Roman" w:eastAsia="Times New Roman" w:hAnsi="Times New Roman" w:cs="Times New Roman"/>
          <w:sz w:val="24"/>
          <w:szCs w:val="24"/>
        </w:rPr>
        <w:t>É certo, portanto, que os instrumentos de autocomposição aplicados aos conflitos que envolvem a Fazenda Pública</w:t>
      </w:r>
      <w:r w:rsidR="00011EBF">
        <w:rPr>
          <w:rFonts w:ascii="Times New Roman" w:eastAsia="Times New Roman" w:hAnsi="Times New Roman" w:cs="Times New Roman"/>
          <w:sz w:val="24"/>
          <w:szCs w:val="24"/>
        </w:rPr>
        <w:t xml:space="preserve"> estão em plena ascensão e consolidação</w:t>
      </w:r>
      <w:r w:rsidRPr="5097C9EF">
        <w:rPr>
          <w:rFonts w:ascii="Times New Roman" w:eastAsia="Times New Roman" w:hAnsi="Times New Roman" w:cs="Times New Roman"/>
          <w:sz w:val="24"/>
          <w:szCs w:val="24"/>
        </w:rPr>
        <w:t xml:space="preserve">, </w:t>
      </w:r>
      <w:r w:rsidR="0052325E">
        <w:rPr>
          <w:rFonts w:ascii="Times New Roman" w:eastAsia="Times New Roman" w:hAnsi="Times New Roman" w:cs="Times New Roman"/>
          <w:sz w:val="24"/>
          <w:szCs w:val="24"/>
        </w:rPr>
        <w:t xml:space="preserve">impondo-se uma nova realidade </w:t>
      </w:r>
      <w:r w:rsidR="00E42659">
        <w:rPr>
          <w:rFonts w:ascii="Times New Roman" w:eastAsia="Times New Roman" w:hAnsi="Times New Roman" w:cs="Times New Roman"/>
          <w:sz w:val="24"/>
          <w:szCs w:val="24"/>
        </w:rPr>
        <w:t>no</w:t>
      </w:r>
      <w:r w:rsidR="00B01AAA">
        <w:rPr>
          <w:rFonts w:ascii="Times New Roman" w:eastAsia="Times New Roman" w:hAnsi="Times New Roman" w:cs="Times New Roman"/>
          <w:sz w:val="24"/>
          <w:szCs w:val="24"/>
        </w:rPr>
        <w:t xml:space="preserve"> tratamento d</w:t>
      </w:r>
      <w:r w:rsidR="00011EBF">
        <w:rPr>
          <w:rFonts w:ascii="Times New Roman" w:eastAsia="Times New Roman" w:hAnsi="Times New Roman" w:cs="Times New Roman"/>
          <w:sz w:val="24"/>
          <w:szCs w:val="24"/>
        </w:rPr>
        <w:t>e</w:t>
      </w:r>
      <w:r w:rsidR="00B01AAA">
        <w:rPr>
          <w:rFonts w:ascii="Times New Roman" w:eastAsia="Times New Roman" w:hAnsi="Times New Roman" w:cs="Times New Roman"/>
          <w:sz w:val="24"/>
          <w:szCs w:val="24"/>
        </w:rPr>
        <w:t xml:space="preserve"> litígio</w:t>
      </w:r>
      <w:r w:rsidR="00011EBF">
        <w:rPr>
          <w:rFonts w:ascii="Times New Roman" w:eastAsia="Times New Roman" w:hAnsi="Times New Roman" w:cs="Times New Roman"/>
          <w:sz w:val="24"/>
          <w:szCs w:val="24"/>
        </w:rPr>
        <w:t>s</w:t>
      </w:r>
      <w:r w:rsidR="00B01AAA">
        <w:rPr>
          <w:rFonts w:ascii="Times New Roman" w:eastAsia="Times New Roman" w:hAnsi="Times New Roman" w:cs="Times New Roman"/>
          <w:sz w:val="24"/>
          <w:szCs w:val="24"/>
        </w:rPr>
        <w:t xml:space="preserve"> </w:t>
      </w:r>
      <w:r w:rsidR="00E42659">
        <w:rPr>
          <w:rFonts w:ascii="Times New Roman" w:eastAsia="Times New Roman" w:hAnsi="Times New Roman" w:cs="Times New Roman"/>
          <w:sz w:val="24"/>
          <w:szCs w:val="24"/>
        </w:rPr>
        <w:t>pela</w:t>
      </w:r>
      <w:r w:rsidR="00B01AAA">
        <w:rPr>
          <w:rFonts w:ascii="Times New Roman" w:eastAsia="Times New Roman" w:hAnsi="Times New Roman" w:cs="Times New Roman"/>
          <w:sz w:val="24"/>
          <w:szCs w:val="24"/>
        </w:rPr>
        <w:t xml:space="preserve"> Advocacia Pública, </w:t>
      </w:r>
      <w:r w:rsidR="00180F32">
        <w:rPr>
          <w:rFonts w:ascii="Times New Roman" w:eastAsia="Times New Roman" w:hAnsi="Times New Roman" w:cs="Times New Roman"/>
          <w:sz w:val="24"/>
          <w:szCs w:val="24"/>
        </w:rPr>
        <w:t>além de</w:t>
      </w:r>
      <w:r w:rsidR="00B01AAA">
        <w:rPr>
          <w:rFonts w:ascii="Times New Roman" w:eastAsia="Times New Roman" w:hAnsi="Times New Roman" w:cs="Times New Roman"/>
          <w:sz w:val="24"/>
          <w:szCs w:val="24"/>
        </w:rPr>
        <w:t xml:space="preserve"> uma releitura </w:t>
      </w:r>
      <w:r w:rsidR="00180F32">
        <w:rPr>
          <w:rFonts w:ascii="Times New Roman" w:eastAsia="Times New Roman" w:hAnsi="Times New Roman" w:cs="Times New Roman"/>
          <w:sz w:val="24"/>
          <w:szCs w:val="24"/>
        </w:rPr>
        <w:t>dos</w:t>
      </w:r>
      <w:r w:rsidR="00B01AAA">
        <w:rPr>
          <w:rFonts w:ascii="Times New Roman" w:eastAsia="Times New Roman" w:hAnsi="Times New Roman" w:cs="Times New Roman"/>
          <w:sz w:val="24"/>
          <w:szCs w:val="24"/>
        </w:rPr>
        <w:t xml:space="preserve"> princípios estruturantes do direito administrativo.</w:t>
      </w:r>
    </w:p>
    <w:p w14:paraId="50DF7237" w14:textId="77777777" w:rsidR="00FF623B" w:rsidRPr="00FF623B" w:rsidRDefault="00FF623B" w:rsidP="00EE07B3">
      <w:pPr>
        <w:spacing w:before="120" w:after="120" w:line="360" w:lineRule="auto"/>
        <w:ind w:firstLine="851"/>
        <w:jc w:val="both"/>
        <w:rPr>
          <w:i/>
          <w:iCs/>
          <w:color w:val="FF0000"/>
        </w:rPr>
      </w:pPr>
    </w:p>
    <w:p w14:paraId="6368DC4B" w14:textId="4488B422" w:rsidR="5097C9EF" w:rsidRPr="00FF623B" w:rsidRDefault="5097C9EF" w:rsidP="00EE07B3">
      <w:pPr>
        <w:pStyle w:val="PargrafodaLista"/>
        <w:numPr>
          <w:ilvl w:val="0"/>
          <w:numId w:val="3"/>
        </w:numPr>
        <w:spacing w:before="120" w:after="120" w:line="360" w:lineRule="auto"/>
        <w:ind w:left="0" w:firstLine="851"/>
        <w:contextualSpacing w:val="0"/>
        <w:jc w:val="both"/>
        <w:rPr>
          <w:caps/>
        </w:rPr>
      </w:pPr>
      <w:r w:rsidRPr="00FF623B">
        <w:rPr>
          <w:rFonts w:ascii="Times New Roman" w:eastAsia="Times New Roman" w:hAnsi="Times New Roman" w:cs="Times New Roman"/>
          <w:b/>
          <w:bCs/>
          <w:caps/>
          <w:sz w:val="24"/>
          <w:szCs w:val="24"/>
        </w:rPr>
        <w:t>O O</w:t>
      </w:r>
      <w:r w:rsidR="00FF623B">
        <w:rPr>
          <w:rFonts w:ascii="Times New Roman" w:eastAsia="Times New Roman" w:hAnsi="Times New Roman" w:cs="Times New Roman"/>
          <w:b/>
          <w:bCs/>
          <w:caps/>
          <w:sz w:val="24"/>
          <w:szCs w:val="24"/>
        </w:rPr>
        <w:t xml:space="preserve">bjetivo </w:t>
      </w:r>
      <w:r w:rsidR="00D448F1">
        <w:rPr>
          <w:rFonts w:ascii="Times New Roman" w:eastAsia="Times New Roman" w:hAnsi="Times New Roman" w:cs="Times New Roman"/>
          <w:b/>
          <w:bCs/>
          <w:caps/>
          <w:sz w:val="24"/>
          <w:szCs w:val="24"/>
        </w:rPr>
        <w:t>PARA O</w:t>
      </w:r>
      <w:r w:rsidR="00FF623B">
        <w:rPr>
          <w:rFonts w:ascii="Times New Roman" w:eastAsia="Times New Roman" w:hAnsi="Times New Roman" w:cs="Times New Roman"/>
          <w:b/>
          <w:bCs/>
          <w:caps/>
          <w:sz w:val="24"/>
          <w:szCs w:val="24"/>
        </w:rPr>
        <w:t xml:space="preserve"> </w:t>
      </w:r>
      <w:r w:rsidRPr="00FF623B">
        <w:rPr>
          <w:rFonts w:ascii="Times New Roman" w:eastAsia="Times New Roman" w:hAnsi="Times New Roman" w:cs="Times New Roman"/>
          <w:b/>
          <w:bCs/>
          <w:caps/>
          <w:sz w:val="24"/>
          <w:szCs w:val="24"/>
        </w:rPr>
        <w:t>D</w:t>
      </w:r>
      <w:r w:rsidR="00FF623B">
        <w:rPr>
          <w:rFonts w:ascii="Times New Roman" w:eastAsia="Times New Roman" w:hAnsi="Times New Roman" w:cs="Times New Roman"/>
          <w:b/>
          <w:bCs/>
          <w:caps/>
          <w:sz w:val="24"/>
          <w:szCs w:val="24"/>
        </w:rPr>
        <w:t>esenvolvimento sustentável</w:t>
      </w:r>
      <w:r w:rsidRPr="00FF623B">
        <w:rPr>
          <w:rFonts w:ascii="Times New Roman" w:eastAsia="Times New Roman" w:hAnsi="Times New Roman" w:cs="Times New Roman"/>
          <w:b/>
          <w:bCs/>
          <w:caps/>
          <w:sz w:val="24"/>
          <w:szCs w:val="24"/>
        </w:rPr>
        <w:t xml:space="preserve"> </w:t>
      </w:r>
      <w:r w:rsidR="00D448F1">
        <w:rPr>
          <w:rFonts w:ascii="Times New Roman" w:eastAsia="Times New Roman" w:hAnsi="Times New Roman" w:cs="Times New Roman"/>
          <w:b/>
          <w:bCs/>
          <w:caps/>
          <w:sz w:val="24"/>
          <w:szCs w:val="24"/>
        </w:rPr>
        <w:t xml:space="preserve">(ODS) </w:t>
      </w:r>
      <w:r w:rsidRPr="00FF623B">
        <w:rPr>
          <w:rFonts w:ascii="Times New Roman" w:eastAsia="Times New Roman" w:hAnsi="Times New Roman" w:cs="Times New Roman"/>
          <w:b/>
          <w:bCs/>
          <w:caps/>
          <w:sz w:val="24"/>
          <w:szCs w:val="24"/>
        </w:rPr>
        <w:t>nº 16</w:t>
      </w:r>
      <w:r w:rsidR="00FF623B">
        <w:rPr>
          <w:rFonts w:ascii="Times New Roman" w:eastAsia="Times New Roman" w:hAnsi="Times New Roman" w:cs="Times New Roman"/>
          <w:b/>
          <w:bCs/>
          <w:caps/>
          <w:sz w:val="24"/>
          <w:szCs w:val="24"/>
        </w:rPr>
        <w:t xml:space="preserve"> do programa das nações unid</w:t>
      </w:r>
      <w:r w:rsidR="00DE397F">
        <w:rPr>
          <w:rFonts w:ascii="Times New Roman" w:eastAsia="Times New Roman" w:hAnsi="Times New Roman" w:cs="Times New Roman"/>
          <w:b/>
          <w:bCs/>
          <w:caps/>
          <w:sz w:val="24"/>
          <w:szCs w:val="24"/>
        </w:rPr>
        <w:t xml:space="preserve">as para </w:t>
      </w:r>
      <w:r w:rsidR="00F07B9B">
        <w:rPr>
          <w:rFonts w:ascii="Times New Roman" w:eastAsia="Times New Roman" w:hAnsi="Times New Roman" w:cs="Times New Roman"/>
          <w:b/>
          <w:bCs/>
          <w:caps/>
          <w:sz w:val="24"/>
          <w:szCs w:val="24"/>
        </w:rPr>
        <w:t xml:space="preserve">O </w:t>
      </w:r>
      <w:r w:rsidR="00DE397F">
        <w:rPr>
          <w:rFonts w:ascii="Times New Roman" w:eastAsia="Times New Roman" w:hAnsi="Times New Roman" w:cs="Times New Roman"/>
          <w:b/>
          <w:bCs/>
          <w:caps/>
          <w:sz w:val="24"/>
          <w:szCs w:val="24"/>
        </w:rPr>
        <w:t xml:space="preserve">desenvolvimento </w:t>
      </w:r>
      <w:r w:rsidR="00360635">
        <w:rPr>
          <w:rFonts w:ascii="Times New Roman" w:eastAsia="Times New Roman" w:hAnsi="Times New Roman" w:cs="Times New Roman"/>
          <w:b/>
          <w:bCs/>
          <w:caps/>
          <w:sz w:val="24"/>
          <w:szCs w:val="24"/>
        </w:rPr>
        <w:t>(PNUD</w:t>
      </w:r>
      <w:r w:rsidR="006310D7">
        <w:rPr>
          <w:rFonts w:ascii="Times New Roman" w:eastAsia="Times New Roman" w:hAnsi="Times New Roman" w:cs="Times New Roman"/>
          <w:b/>
          <w:bCs/>
          <w:caps/>
          <w:sz w:val="24"/>
          <w:szCs w:val="24"/>
        </w:rPr>
        <w:t xml:space="preserve">) </w:t>
      </w:r>
      <w:r w:rsidRPr="00FF623B">
        <w:rPr>
          <w:rFonts w:ascii="Times New Roman" w:eastAsia="Times New Roman" w:hAnsi="Times New Roman" w:cs="Times New Roman"/>
          <w:b/>
          <w:bCs/>
          <w:caps/>
          <w:sz w:val="24"/>
          <w:szCs w:val="24"/>
        </w:rPr>
        <w:t xml:space="preserve">e </w:t>
      </w:r>
      <w:r w:rsidR="00BB799A">
        <w:rPr>
          <w:rFonts w:ascii="Times New Roman" w:eastAsia="Times New Roman" w:hAnsi="Times New Roman" w:cs="Times New Roman"/>
          <w:b/>
          <w:bCs/>
          <w:caps/>
          <w:sz w:val="24"/>
          <w:szCs w:val="24"/>
        </w:rPr>
        <w:t>o</w:t>
      </w:r>
      <w:r w:rsidRPr="00FF623B">
        <w:rPr>
          <w:rFonts w:ascii="Times New Roman" w:eastAsia="Times New Roman" w:hAnsi="Times New Roman" w:cs="Times New Roman"/>
          <w:b/>
          <w:bCs/>
          <w:caps/>
          <w:sz w:val="24"/>
          <w:szCs w:val="24"/>
        </w:rPr>
        <w:t xml:space="preserve"> </w:t>
      </w:r>
      <w:r w:rsidR="006310D7">
        <w:rPr>
          <w:rFonts w:ascii="Times New Roman" w:eastAsia="Times New Roman" w:hAnsi="Times New Roman" w:cs="Times New Roman"/>
          <w:b/>
          <w:bCs/>
          <w:caps/>
          <w:sz w:val="24"/>
          <w:szCs w:val="24"/>
        </w:rPr>
        <w:t>SISTEMA MULTIPORTAS</w:t>
      </w:r>
      <w:r w:rsidR="00BB799A">
        <w:rPr>
          <w:rFonts w:ascii="Times New Roman" w:eastAsia="Times New Roman" w:hAnsi="Times New Roman" w:cs="Times New Roman"/>
          <w:b/>
          <w:bCs/>
          <w:caps/>
          <w:sz w:val="24"/>
          <w:szCs w:val="24"/>
        </w:rPr>
        <w:t xml:space="preserve"> </w:t>
      </w:r>
      <w:r w:rsidRPr="00FF623B">
        <w:rPr>
          <w:rFonts w:ascii="Times New Roman" w:eastAsia="Times New Roman" w:hAnsi="Times New Roman" w:cs="Times New Roman"/>
          <w:b/>
          <w:bCs/>
          <w:caps/>
          <w:sz w:val="24"/>
          <w:szCs w:val="24"/>
        </w:rPr>
        <w:t>na Administração Pública</w:t>
      </w:r>
    </w:p>
    <w:p w14:paraId="13D3E275" w14:textId="7B5A6EED" w:rsidR="5097C9EF" w:rsidRDefault="5097C9EF" w:rsidP="00A97F60">
      <w:pPr>
        <w:spacing w:before="120" w:after="120" w:line="360" w:lineRule="auto"/>
        <w:ind w:firstLine="851"/>
        <w:jc w:val="both"/>
      </w:pPr>
      <w:r w:rsidRPr="5097C9EF">
        <w:rPr>
          <w:rFonts w:ascii="Times New Roman" w:eastAsia="Times New Roman" w:hAnsi="Times New Roman" w:cs="Times New Roman"/>
          <w:sz w:val="24"/>
          <w:szCs w:val="24"/>
        </w:rPr>
        <w:t xml:space="preserve">Adotada durante a Cúpula das Nações Unidas sobre o Desenvolvimento Sustentável, realizada </w:t>
      </w:r>
      <w:r w:rsidR="00D61EAB">
        <w:rPr>
          <w:rFonts w:ascii="Times New Roman" w:eastAsia="Times New Roman" w:hAnsi="Times New Roman" w:cs="Times New Roman"/>
          <w:sz w:val="24"/>
          <w:szCs w:val="24"/>
        </w:rPr>
        <w:t>em</w:t>
      </w:r>
      <w:r w:rsidRPr="5097C9EF">
        <w:rPr>
          <w:rFonts w:ascii="Times New Roman" w:eastAsia="Times New Roman" w:hAnsi="Times New Roman" w:cs="Times New Roman"/>
          <w:sz w:val="24"/>
          <w:szCs w:val="24"/>
        </w:rPr>
        <w:t xml:space="preserve"> 2015</w:t>
      </w:r>
      <w:r w:rsidR="00D61EAB">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a Agenda 2030 representa um marco ambicioso que visa enfrentar os desafios globais mais prementes e alcançar um futuro mais sustentável e inclusivo para todos</w:t>
      </w:r>
      <w:r w:rsidR="00A97F60">
        <w:rPr>
          <w:rFonts w:ascii="Times New Roman" w:eastAsia="Times New Roman" w:hAnsi="Times New Roman" w:cs="Times New Roman"/>
          <w:sz w:val="24"/>
          <w:szCs w:val="24"/>
        </w:rPr>
        <w:t>, sendo</w:t>
      </w:r>
      <w:r w:rsidR="002979CB">
        <w:rPr>
          <w:rFonts w:ascii="Times New Roman" w:eastAsia="Times New Roman" w:hAnsi="Times New Roman" w:cs="Times New Roman"/>
          <w:sz w:val="24"/>
          <w:szCs w:val="24"/>
        </w:rPr>
        <w:t xml:space="preserve"> </w:t>
      </w:r>
      <w:r w:rsidRPr="5097C9EF">
        <w:rPr>
          <w:rFonts w:ascii="Times New Roman" w:eastAsia="Times New Roman" w:hAnsi="Times New Roman" w:cs="Times New Roman"/>
          <w:sz w:val="24"/>
          <w:szCs w:val="24"/>
        </w:rPr>
        <w:t>composta por 17 Objetivos para o Desenvolvimento Sustentável (ODS) e 169 metas específicas</w:t>
      </w:r>
      <w:r w:rsidR="00111CD6">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a serem alcançadas até o ano de 2030. </w:t>
      </w:r>
    </w:p>
    <w:p w14:paraId="6526C0F5" w14:textId="3AA1D8F1" w:rsidR="5097C9EF" w:rsidRPr="00964CDD" w:rsidRDefault="003F1C0A" w:rsidP="00964CDD">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uma</w:t>
      </w:r>
      <w:r w:rsidR="5097C9EF" w:rsidRPr="5097C9EF">
        <w:rPr>
          <w:rFonts w:ascii="Times New Roman" w:eastAsia="Times New Roman" w:hAnsi="Times New Roman" w:cs="Times New Roman"/>
          <w:sz w:val="24"/>
          <w:szCs w:val="24"/>
        </w:rPr>
        <w:t xml:space="preserve"> lista de </w:t>
      </w:r>
      <w:r w:rsidR="00284558">
        <w:rPr>
          <w:rFonts w:ascii="Times New Roman" w:eastAsia="Times New Roman" w:hAnsi="Times New Roman" w:cs="Times New Roman"/>
          <w:sz w:val="24"/>
          <w:szCs w:val="24"/>
        </w:rPr>
        <w:t>objetivos</w:t>
      </w:r>
      <w:r w:rsidR="5097C9EF" w:rsidRPr="5097C9EF">
        <w:rPr>
          <w:rFonts w:ascii="Times New Roman" w:eastAsia="Times New Roman" w:hAnsi="Times New Roman" w:cs="Times New Roman"/>
          <w:sz w:val="24"/>
          <w:szCs w:val="24"/>
        </w:rPr>
        <w:t xml:space="preserve"> universais estabelecidas pela ONU para abordar as questões socioeconômicas e ambientais urgentes</w:t>
      </w:r>
      <w:r w:rsidR="000570AC">
        <w:rPr>
          <w:rFonts w:ascii="Times New Roman" w:eastAsia="Times New Roman" w:hAnsi="Times New Roman" w:cs="Times New Roman"/>
          <w:sz w:val="24"/>
          <w:szCs w:val="24"/>
        </w:rPr>
        <w:t>, representando</w:t>
      </w:r>
      <w:r w:rsidR="5097C9EF" w:rsidRPr="5097C9EF">
        <w:rPr>
          <w:rFonts w:ascii="Times New Roman" w:eastAsia="Times New Roman" w:hAnsi="Times New Roman" w:cs="Times New Roman"/>
          <w:sz w:val="24"/>
          <w:szCs w:val="24"/>
        </w:rPr>
        <w:t xml:space="preserve"> um apelo à ação coletiva e engajamento de todos os países, setores da sociedade e indivíduos para transformar </w:t>
      </w:r>
      <w:r w:rsidR="000570AC">
        <w:rPr>
          <w:rFonts w:ascii="Times New Roman" w:eastAsia="Times New Roman" w:hAnsi="Times New Roman" w:cs="Times New Roman"/>
          <w:sz w:val="24"/>
          <w:szCs w:val="24"/>
        </w:rPr>
        <w:t>o</w:t>
      </w:r>
      <w:r w:rsidR="5097C9EF" w:rsidRPr="5097C9EF">
        <w:rPr>
          <w:rFonts w:ascii="Times New Roman" w:eastAsia="Times New Roman" w:hAnsi="Times New Roman" w:cs="Times New Roman"/>
          <w:sz w:val="24"/>
          <w:szCs w:val="24"/>
        </w:rPr>
        <w:t xml:space="preserve"> planeta e </w:t>
      </w:r>
      <w:r w:rsidR="5097C9EF" w:rsidRPr="5097C9EF">
        <w:rPr>
          <w:rFonts w:ascii="Times New Roman" w:eastAsia="Times New Roman" w:hAnsi="Times New Roman" w:cs="Times New Roman"/>
          <w:sz w:val="24"/>
          <w:szCs w:val="24"/>
        </w:rPr>
        <w:lastRenderedPageBreak/>
        <w:t xml:space="preserve">melhorar a qualidade de vida </w:t>
      </w:r>
      <w:r w:rsidR="000570AC">
        <w:rPr>
          <w:rFonts w:ascii="Times New Roman" w:eastAsia="Times New Roman" w:hAnsi="Times New Roman" w:cs="Times New Roman"/>
          <w:sz w:val="24"/>
          <w:szCs w:val="24"/>
        </w:rPr>
        <w:t>das</w:t>
      </w:r>
      <w:r w:rsidR="5097C9EF" w:rsidRPr="5097C9EF">
        <w:rPr>
          <w:rFonts w:ascii="Times New Roman" w:eastAsia="Times New Roman" w:hAnsi="Times New Roman" w:cs="Times New Roman"/>
          <w:sz w:val="24"/>
          <w:szCs w:val="24"/>
        </w:rPr>
        <w:t xml:space="preserve"> pessoas</w:t>
      </w:r>
      <w:r w:rsidR="00964CDD">
        <w:rPr>
          <w:rFonts w:ascii="Times New Roman" w:eastAsia="Times New Roman" w:hAnsi="Times New Roman" w:cs="Times New Roman"/>
          <w:sz w:val="24"/>
          <w:szCs w:val="24"/>
        </w:rPr>
        <w:t xml:space="preserve">, com ampla </w:t>
      </w:r>
      <w:r w:rsidR="000570AC">
        <w:rPr>
          <w:rFonts w:ascii="Times New Roman" w:eastAsia="Times New Roman" w:hAnsi="Times New Roman" w:cs="Times New Roman"/>
          <w:sz w:val="24"/>
          <w:szCs w:val="24"/>
        </w:rPr>
        <w:t>abrangência</w:t>
      </w:r>
      <w:r w:rsidR="5097C9EF" w:rsidRPr="5097C9EF">
        <w:rPr>
          <w:rFonts w:ascii="Times New Roman" w:eastAsia="Times New Roman" w:hAnsi="Times New Roman" w:cs="Times New Roman"/>
          <w:sz w:val="24"/>
          <w:szCs w:val="24"/>
        </w:rPr>
        <w:t>,</w:t>
      </w:r>
      <w:r w:rsidR="00964CDD">
        <w:rPr>
          <w:rFonts w:ascii="Times New Roman" w:eastAsia="Times New Roman" w:hAnsi="Times New Roman" w:cs="Times New Roman"/>
          <w:sz w:val="24"/>
          <w:szCs w:val="24"/>
        </w:rPr>
        <w:t xml:space="preserve"> desde</w:t>
      </w:r>
      <w:r w:rsidR="5097C9EF" w:rsidRPr="5097C9EF">
        <w:rPr>
          <w:rFonts w:ascii="Times New Roman" w:eastAsia="Times New Roman" w:hAnsi="Times New Roman" w:cs="Times New Roman"/>
          <w:sz w:val="24"/>
          <w:szCs w:val="24"/>
        </w:rPr>
        <w:t xml:space="preserve"> a erradicação da pobreza</w:t>
      </w:r>
      <w:r w:rsidR="00137437">
        <w:rPr>
          <w:rFonts w:ascii="Times New Roman" w:eastAsia="Times New Roman" w:hAnsi="Times New Roman" w:cs="Times New Roman"/>
          <w:sz w:val="24"/>
          <w:szCs w:val="24"/>
        </w:rPr>
        <w:t xml:space="preserve"> e da</w:t>
      </w:r>
      <w:r w:rsidR="5097C9EF" w:rsidRPr="5097C9EF">
        <w:rPr>
          <w:rFonts w:ascii="Times New Roman" w:eastAsia="Times New Roman" w:hAnsi="Times New Roman" w:cs="Times New Roman"/>
          <w:sz w:val="24"/>
          <w:szCs w:val="24"/>
        </w:rPr>
        <w:t xml:space="preserve"> fome,</w:t>
      </w:r>
      <w:r w:rsidR="00366B0A">
        <w:rPr>
          <w:rFonts w:ascii="Times New Roman" w:eastAsia="Times New Roman" w:hAnsi="Times New Roman" w:cs="Times New Roman"/>
          <w:sz w:val="24"/>
          <w:szCs w:val="24"/>
        </w:rPr>
        <w:t xml:space="preserve"> até a promoção da </w:t>
      </w:r>
      <w:r w:rsidR="5097C9EF" w:rsidRPr="5097C9EF">
        <w:rPr>
          <w:rFonts w:ascii="Times New Roman" w:eastAsia="Times New Roman" w:hAnsi="Times New Roman" w:cs="Times New Roman"/>
          <w:sz w:val="24"/>
          <w:szCs w:val="24"/>
        </w:rPr>
        <w:t xml:space="preserve">paz, justiça e instituições </w:t>
      </w:r>
      <w:r>
        <w:rPr>
          <w:rFonts w:ascii="Times New Roman" w:eastAsia="Times New Roman" w:hAnsi="Times New Roman" w:cs="Times New Roman"/>
          <w:sz w:val="24"/>
          <w:szCs w:val="24"/>
        </w:rPr>
        <w:t>eficazes</w:t>
      </w:r>
      <w:r w:rsidR="5097C9EF" w:rsidRPr="5097C9EF">
        <w:rPr>
          <w:rFonts w:ascii="Times New Roman" w:eastAsia="Times New Roman" w:hAnsi="Times New Roman" w:cs="Times New Roman"/>
          <w:sz w:val="24"/>
          <w:szCs w:val="24"/>
        </w:rPr>
        <w:t xml:space="preserve">. </w:t>
      </w:r>
    </w:p>
    <w:p w14:paraId="359C31C0" w14:textId="1C632943"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Cada objetivo tem metas específicas e indicadores mensuráveis</w:t>
      </w:r>
      <w:r w:rsidR="009F31CD">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que permitem o acompanhamento do progresso ao longo do tempo</w:t>
      </w:r>
      <w:r w:rsidR="00E72D4E">
        <w:rPr>
          <w:rFonts w:ascii="Times New Roman" w:eastAsia="Times New Roman" w:hAnsi="Times New Roman" w:cs="Times New Roman"/>
          <w:sz w:val="24"/>
          <w:szCs w:val="24"/>
        </w:rPr>
        <w:t>, tratando-se de uma rede</w:t>
      </w:r>
      <w:r w:rsidRPr="5097C9EF">
        <w:rPr>
          <w:rFonts w:ascii="Times New Roman" w:eastAsia="Times New Roman" w:hAnsi="Times New Roman" w:cs="Times New Roman"/>
          <w:sz w:val="24"/>
          <w:szCs w:val="24"/>
        </w:rPr>
        <w:t xml:space="preserve"> conectad</w:t>
      </w:r>
      <w:r w:rsidR="00E72D4E">
        <w:rPr>
          <w:rFonts w:ascii="Times New Roman" w:eastAsia="Times New Roman" w:hAnsi="Times New Roman" w:cs="Times New Roman"/>
          <w:sz w:val="24"/>
          <w:szCs w:val="24"/>
        </w:rPr>
        <w:t>a</w:t>
      </w:r>
      <w:r w:rsidRPr="5097C9EF">
        <w:rPr>
          <w:rFonts w:ascii="Times New Roman" w:eastAsia="Times New Roman" w:hAnsi="Times New Roman" w:cs="Times New Roman"/>
          <w:sz w:val="24"/>
          <w:szCs w:val="24"/>
        </w:rPr>
        <w:t xml:space="preserve"> e interdependente</w:t>
      </w:r>
      <w:r w:rsidR="0038274D">
        <w:rPr>
          <w:rFonts w:ascii="Times New Roman" w:eastAsia="Times New Roman" w:hAnsi="Times New Roman" w:cs="Times New Roman"/>
          <w:sz w:val="24"/>
          <w:szCs w:val="24"/>
        </w:rPr>
        <w:t>,</w:t>
      </w:r>
      <w:r w:rsidR="006E07C6">
        <w:rPr>
          <w:rFonts w:ascii="Times New Roman" w:eastAsia="Times New Roman" w:hAnsi="Times New Roman" w:cs="Times New Roman"/>
          <w:sz w:val="24"/>
          <w:szCs w:val="24"/>
        </w:rPr>
        <w:t xml:space="preserve"> que </w:t>
      </w:r>
      <w:r w:rsidRPr="5097C9EF">
        <w:rPr>
          <w:rFonts w:ascii="Times New Roman" w:eastAsia="Times New Roman" w:hAnsi="Times New Roman" w:cs="Times New Roman"/>
          <w:sz w:val="24"/>
          <w:szCs w:val="24"/>
        </w:rPr>
        <w:t xml:space="preserve">aborda os desafios de forma integrada e holística. </w:t>
      </w:r>
    </w:p>
    <w:p w14:paraId="54A598C6" w14:textId="56E00F76" w:rsidR="00D90715" w:rsidRPr="00FF5AEE"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Importa destacar, para os objetivos do presente trabalho, </w:t>
      </w:r>
      <w:r w:rsidR="000570AC">
        <w:rPr>
          <w:rFonts w:ascii="Times New Roman" w:eastAsia="Times New Roman" w:hAnsi="Times New Roman" w:cs="Times New Roman"/>
          <w:sz w:val="24"/>
          <w:szCs w:val="24"/>
        </w:rPr>
        <w:t>o</w:t>
      </w:r>
      <w:r w:rsidRPr="5097C9EF">
        <w:rPr>
          <w:rFonts w:ascii="Times New Roman" w:eastAsia="Times New Roman" w:hAnsi="Times New Roman" w:cs="Times New Roman"/>
          <w:sz w:val="24"/>
          <w:szCs w:val="24"/>
        </w:rPr>
        <w:t xml:space="preserve"> ODS </w:t>
      </w:r>
      <w:r w:rsidR="00355DA0">
        <w:rPr>
          <w:rFonts w:ascii="Times New Roman" w:eastAsia="Times New Roman" w:hAnsi="Times New Roman" w:cs="Times New Roman"/>
          <w:sz w:val="24"/>
          <w:szCs w:val="24"/>
        </w:rPr>
        <w:t xml:space="preserve">nº </w:t>
      </w:r>
      <w:r w:rsidRPr="5097C9EF">
        <w:rPr>
          <w:rFonts w:ascii="Times New Roman" w:eastAsia="Times New Roman" w:hAnsi="Times New Roman" w:cs="Times New Roman"/>
          <w:sz w:val="24"/>
          <w:szCs w:val="24"/>
        </w:rPr>
        <w:t>16</w:t>
      </w:r>
      <w:r w:rsidR="00FF5AEE">
        <w:rPr>
          <w:rFonts w:ascii="Times New Roman" w:eastAsia="Times New Roman" w:hAnsi="Times New Roman" w:cs="Times New Roman"/>
          <w:sz w:val="24"/>
          <w:szCs w:val="24"/>
        </w:rPr>
        <w:t xml:space="preserve"> (“</w:t>
      </w:r>
      <w:r w:rsidRPr="5097C9EF">
        <w:rPr>
          <w:rFonts w:ascii="Times New Roman" w:eastAsia="Times New Roman" w:hAnsi="Times New Roman" w:cs="Times New Roman"/>
          <w:sz w:val="24"/>
          <w:szCs w:val="24"/>
        </w:rPr>
        <w:t>Paz, Justiça e Instituições Eficazes</w:t>
      </w:r>
      <w:r w:rsidR="00FF5AEE">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que tem o seguinte enunciado: </w:t>
      </w:r>
      <w:r w:rsidR="00D90715">
        <w:rPr>
          <w:rFonts w:ascii="Times New Roman" w:eastAsia="Times New Roman" w:hAnsi="Times New Roman" w:cs="Times New Roman"/>
          <w:sz w:val="24"/>
          <w:szCs w:val="24"/>
        </w:rPr>
        <w:t>“</w:t>
      </w:r>
      <w:r w:rsidR="00D90715" w:rsidRPr="00D90715">
        <w:rPr>
          <w:rFonts w:ascii="Times New Roman" w:eastAsia="Times New Roman" w:hAnsi="Times New Roman" w:cs="Times New Roman"/>
          <w:sz w:val="24"/>
          <w:szCs w:val="24"/>
        </w:rPr>
        <w:t>Promover sociedades pacíficas e inclusivas para o desenvolvimento sustentável, proporcionar o acesso à justiça para todos e construir instituições eficazes, responsáveis e inclusivas a todos os níveis</w:t>
      </w:r>
      <w:r w:rsidR="00D90715">
        <w:rPr>
          <w:rFonts w:ascii="Times New Roman" w:eastAsia="Times New Roman" w:hAnsi="Times New Roman" w:cs="Times New Roman"/>
          <w:sz w:val="24"/>
          <w:szCs w:val="24"/>
        </w:rPr>
        <w:t>.”</w:t>
      </w:r>
    </w:p>
    <w:p w14:paraId="6A2F654D" w14:textId="6FC52BAB" w:rsidR="5097C9EF" w:rsidRPr="0053217A" w:rsidRDefault="000D67B9" w:rsidP="00EE07B3">
      <w:pPr>
        <w:spacing w:before="120" w:after="120" w:line="360" w:lineRule="auto"/>
        <w:ind w:firstLine="851"/>
        <w:jc w:val="both"/>
      </w:pPr>
      <w:r>
        <w:rPr>
          <w:rFonts w:ascii="Times New Roman" w:eastAsia="Times New Roman" w:hAnsi="Times New Roman" w:cs="Times New Roman"/>
          <w:sz w:val="24"/>
          <w:szCs w:val="24"/>
        </w:rPr>
        <w:t>O</w:t>
      </w:r>
      <w:r w:rsidR="5097C9EF" w:rsidRPr="5097C9EF">
        <w:rPr>
          <w:rFonts w:ascii="Times New Roman" w:eastAsia="Times New Roman" w:hAnsi="Times New Roman" w:cs="Times New Roman"/>
          <w:sz w:val="24"/>
          <w:szCs w:val="24"/>
        </w:rPr>
        <w:t xml:space="preserve"> ODS</w:t>
      </w:r>
      <w:r w:rsidR="00763911">
        <w:rPr>
          <w:rFonts w:ascii="Times New Roman" w:eastAsia="Times New Roman" w:hAnsi="Times New Roman" w:cs="Times New Roman"/>
          <w:sz w:val="24"/>
          <w:szCs w:val="24"/>
        </w:rPr>
        <w:t xml:space="preserve"> </w:t>
      </w:r>
      <w:r w:rsidR="00355DA0">
        <w:rPr>
          <w:rFonts w:ascii="Times New Roman" w:eastAsia="Times New Roman" w:hAnsi="Times New Roman" w:cs="Times New Roman"/>
          <w:sz w:val="24"/>
          <w:szCs w:val="24"/>
        </w:rPr>
        <w:t xml:space="preserve">nº </w:t>
      </w:r>
      <w:r w:rsidR="5097C9EF" w:rsidRPr="5097C9EF">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possui</w:t>
      </w:r>
      <w:r w:rsidR="00787F88">
        <w:rPr>
          <w:rFonts w:ascii="Times New Roman" w:eastAsia="Times New Roman" w:hAnsi="Times New Roman" w:cs="Times New Roman"/>
          <w:sz w:val="24"/>
          <w:szCs w:val="24"/>
        </w:rPr>
        <w:t xml:space="preserve"> 12 metas</w:t>
      </w:r>
      <w:r w:rsidR="000D285E">
        <w:rPr>
          <w:rFonts w:ascii="Times New Roman" w:eastAsia="Times New Roman" w:hAnsi="Times New Roman" w:cs="Times New Roman"/>
          <w:sz w:val="24"/>
          <w:szCs w:val="24"/>
        </w:rPr>
        <w:t xml:space="preserve"> (algumas adaptadas</w:t>
      </w:r>
      <w:r w:rsidR="00520000">
        <w:rPr>
          <w:rFonts w:ascii="Times New Roman" w:eastAsia="Times New Roman" w:hAnsi="Times New Roman" w:cs="Times New Roman"/>
          <w:sz w:val="24"/>
          <w:szCs w:val="24"/>
        </w:rPr>
        <w:t xml:space="preserve"> ao contexto brasileiro</w:t>
      </w:r>
      <w:r w:rsidR="00001BE6">
        <w:rPr>
          <w:rStyle w:val="Refdenotaderodap"/>
          <w:rFonts w:ascii="Times New Roman" w:eastAsia="Times New Roman" w:hAnsi="Times New Roman" w:cs="Times New Roman"/>
          <w:sz w:val="24"/>
          <w:szCs w:val="24"/>
        </w:rPr>
        <w:footnoteReference w:id="12"/>
      </w:r>
      <w:r w:rsidR="00520000">
        <w:rPr>
          <w:rFonts w:ascii="Times New Roman" w:eastAsia="Times New Roman" w:hAnsi="Times New Roman" w:cs="Times New Roman"/>
          <w:sz w:val="24"/>
          <w:szCs w:val="24"/>
        </w:rPr>
        <w:t>)</w:t>
      </w:r>
      <w:r w:rsidR="005F0595">
        <w:rPr>
          <w:rFonts w:ascii="Times New Roman" w:eastAsia="Times New Roman" w:hAnsi="Times New Roman" w:cs="Times New Roman"/>
          <w:sz w:val="24"/>
          <w:szCs w:val="24"/>
        </w:rPr>
        <w:t xml:space="preserve">, dentre </w:t>
      </w:r>
      <w:r w:rsidR="00806517">
        <w:rPr>
          <w:rFonts w:ascii="Times New Roman" w:eastAsia="Times New Roman" w:hAnsi="Times New Roman" w:cs="Times New Roman"/>
          <w:sz w:val="24"/>
          <w:szCs w:val="24"/>
        </w:rPr>
        <w:t>a</w:t>
      </w:r>
      <w:r w:rsidR="00355DA0">
        <w:rPr>
          <w:rFonts w:ascii="Times New Roman" w:eastAsia="Times New Roman" w:hAnsi="Times New Roman" w:cs="Times New Roman"/>
          <w:sz w:val="24"/>
          <w:szCs w:val="24"/>
        </w:rPr>
        <w:t>s quais destacamos</w:t>
      </w:r>
      <w:r w:rsidR="5097C9EF" w:rsidRPr="5097C9EF">
        <w:rPr>
          <w:rFonts w:ascii="Times New Roman" w:eastAsia="Times New Roman" w:hAnsi="Times New Roman" w:cs="Times New Roman"/>
          <w:sz w:val="24"/>
          <w:szCs w:val="24"/>
        </w:rPr>
        <w:t xml:space="preserve">: </w:t>
      </w:r>
      <w:r w:rsidR="00BB7232" w:rsidRPr="0053217A">
        <w:rPr>
          <w:rFonts w:ascii="Times New Roman" w:eastAsia="Times New Roman" w:hAnsi="Times New Roman" w:cs="Times New Roman"/>
          <w:sz w:val="24"/>
          <w:szCs w:val="24"/>
        </w:rPr>
        <w:t>16.</w:t>
      </w:r>
      <w:r w:rsidR="5097C9EF" w:rsidRPr="0053217A">
        <w:rPr>
          <w:rFonts w:ascii="Times New Roman" w:eastAsia="Times New Roman" w:hAnsi="Times New Roman" w:cs="Times New Roman"/>
          <w:sz w:val="24"/>
          <w:szCs w:val="24"/>
        </w:rPr>
        <w:t xml:space="preserve">3) </w:t>
      </w:r>
      <w:r w:rsidR="00BB7232" w:rsidRPr="0053217A">
        <w:rPr>
          <w:rFonts w:ascii="Times New Roman" w:eastAsia="Times New Roman" w:hAnsi="Times New Roman" w:cs="Times New Roman"/>
          <w:sz w:val="24"/>
          <w:szCs w:val="24"/>
        </w:rPr>
        <w:t>promover o Estado de Direito, em nível nacional e internacional, e garantir a igualdade de acesso à justiça para todos</w:t>
      </w:r>
      <w:r w:rsidR="5097C9EF" w:rsidRPr="0053217A">
        <w:rPr>
          <w:rFonts w:ascii="Times New Roman" w:eastAsia="Times New Roman" w:hAnsi="Times New Roman" w:cs="Times New Roman"/>
          <w:sz w:val="24"/>
          <w:szCs w:val="24"/>
        </w:rPr>
        <w:t xml:space="preserve">; </w:t>
      </w:r>
      <w:r w:rsidR="00BB7232" w:rsidRPr="0053217A">
        <w:rPr>
          <w:rFonts w:ascii="Times New Roman" w:eastAsia="Times New Roman" w:hAnsi="Times New Roman" w:cs="Times New Roman"/>
          <w:sz w:val="24"/>
          <w:szCs w:val="24"/>
        </w:rPr>
        <w:t xml:space="preserve">16.6) </w:t>
      </w:r>
      <w:r w:rsidR="5097C9EF" w:rsidRPr="0053217A">
        <w:rPr>
          <w:rFonts w:ascii="Times New Roman" w:eastAsia="Times New Roman" w:hAnsi="Times New Roman" w:cs="Times New Roman"/>
          <w:sz w:val="24"/>
          <w:szCs w:val="24"/>
        </w:rPr>
        <w:t xml:space="preserve">Desenvolver instituições eficazes, responsáveis e transparentes em todos os níveis; </w:t>
      </w:r>
      <w:r w:rsidR="00BB7232" w:rsidRPr="0053217A">
        <w:rPr>
          <w:rFonts w:ascii="Times New Roman" w:eastAsia="Times New Roman" w:hAnsi="Times New Roman" w:cs="Times New Roman"/>
          <w:sz w:val="24"/>
          <w:szCs w:val="24"/>
        </w:rPr>
        <w:t>16.7</w:t>
      </w:r>
      <w:r w:rsidR="5097C9EF" w:rsidRPr="0053217A">
        <w:rPr>
          <w:rFonts w:ascii="Times New Roman" w:eastAsia="Times New Roman" w:hAnsi="Times New Roman" w:cs="Times New Roman"/>
          <w:sz w:val="24"/>
          <w:szCs w:val="24"/>
        </w:rPr>
        <w:t xml:space="preserve">) </w:t>
      </w:r>
      <w:r w:rsidR="00BB7232" w:rsidRPr="0053217A">
        <w:rPr>
          <w:rFonts w:ascii="Times New Roman" w:eastAsia="Times New Roman" w:hAnsi="Times New Roman" w:cs="Times New Roman"/>
          <w:sz w:val="24"/>
          <w:szCs w:val="24"/>
        </w:rPr>
        <w:t>Garantir a tomada de decisão responsiva, inclusiva, participativa e representativa em todos os níveis</w:t>
      </w:r>
      <w:r w:rsidR="5097C9EF" w:rsidRPr="0053217A">
        <w:rPr>
          <w:rFonts w:ascii="Times New Roman" w:eastAsia="Times New Roman" w:hAnsi="Times New Roman" w:cs="Times New Roman"/>
          <w:sz w:val="24"/>
          <w:szCs w:val="24"/>
        </w:rPr>
        <w:t xml:space="preserve">; </w:t>
      </w:r>
      <w:r w:rsidR="00BB7232" w:rsidRPr="0053217A">
        <w:rPr>
          <w:rFonts w:ascii="Times New Roman" w:eastAsia="Times New Roman" w:hAnsi="Times New Roman" w:cs="Times New Roman"/>
          <w:sz w:val="24"/>
          <w:szCs w:val="24"/>
        </w:rPr>
        <w:t>16.</w:t>
      </w:r>
      <w:r w:rsidR="00CA4769" w:rsidRPr="0053217A">
        <w:rPr>
          <w:rFonts w:ascii="Times New Roman" w:eastAsia="Times New Roman" w:hAnsi="Times New Roman" w:cs="Times New Roman"/>
          <w:sz w:val="24"/>
          <w:szCs w:val="24"/>
        </w:rPr>
        <w:t>10</w:t>
      </w:r>
      <w:r w:rsidR="5097C9EF" w:rsidRPr="0053217A">
        <w:rPr>
          <w:rFonts w:ascii="Times New Roman" w:eastAsia="Times New Roman" w:hAnsi="Times New Roman" w:cs="Times New Roman"/>
          <w:sz w:val="24"/>
          <w:szCs w:val="24"/>
        </w:rPr>
        <w:t>)</w:t>
      </w:r>
      <w:r w:rsidR="00CA4769" w:rsidRPr="0053217A">
        <w:rPr>
          <w:rFonts w:ascii="Times New Roman" w:eastAsia="Times New Roman" w:hAnsi="Times New Roman" w:cs="Times New Roman"/>
          <w:sz w:val="24"/>
          <w:szCs w:val="24"/>
        </w:rPr>
        <w:t xml:space="preserve"> Assegurar o acesso público à informação e proteger as liberdades fundamentais, em conformidade com a legislação nacional e os acordos internacionais;</w:t>
      </w:r>
      <w:r w:rsidR="0090349D" w:rsidRPr="0053217A">
        <w:rPr>
          <w:rFonts w:ascii="Times New Roman" w:eastAsia="Times New Roman" w:hAnsi="Times New Roman" w:cs="Times New Roman"/>
          <w:sz w:val="24"/>
          <w:szCs w:val="24"/>
        </w:rPr>
        <w:t xml:space="preserve"> 16.a) </w:t>
      </w:r>
      <w:r w:rsidR="00340233" w:rsidRPr="0053217A">
        <w:rPr>
          <w:rFonts w:ascii="Times New Roman" w:eastAsia="Times New Roman" w:hAnsi="Times New Roman" w:cs="Times New Roman"/>
          <w:sz w:val="24"/>
          <w:szCs w:val="24"/>
        </w:rPr>
        <w:t>Fortalecer as instituições nacionais relevantes, inclusive por meio da cooperação internacional, para a construção de capacidades em todos os níveis, em particular nos países em desenvolvimento, para a prevenção da violência e o combate ao terrorismo e ao crime.</w:t>
      </w:r>
    </w:p>
    <w:p w14:paraId="64F475FC" w14:textId="23AE10E6"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O alcance d</w:t>
      </w:r>
      <w:r w:rsidR="00DD2678">
        <w:rPr>
          <w:rFonts w:ascii="Times New Roman" w:eastAsia="Times New Roman" w:hAnsi="Times New Roman" w:cs="Times New Roman"/>
          <w:sz w:val="24"/>
          <w:szCs w:val="24"/>
        </w:rPr>
        <w:t xml:space="preserve">este objetivo </w:t>
      </w:r>
      <w:r w:rsidRPr="5097C9EF">
        <w:rPr>
          <w:rFonts w:ascii="Times New Roman" w:eastAsia="Times New Roman" w:hAnsi="Times New Roman" w:cs="Times New Roman"/>
          <w:sz w:val="24"/>
          <w:szCs w:val="24"/>
        </w:rPr>
        <w:t>é fundamental para o cumprimento de outros da Agenda 2030, pois a paz, justiça e instituições eficazes são requisitos para o desenvolvimento sustentável e para a melhoria da qualidade de vida</w:t>
      </w:r>
      <w:r w:rsidR="003441C7">
        <w:rPr>
          <w:rFonts w:ascii="Times New Roman" w:eastAsia="Times New Roman" w:hAnsi="Times New Roman" w:cs="Times New Roman"/>
          <w:sz w:val="24"/>
          <w:szCs w:val="24"/>
        </w:rPr>
        <w:t xml:space="preserve">, </w:t>
      </w:r>
      <w:r w:rsidRPr="5097C9EF">
        <w:rPr>
          <w:rFonts w:ascii="Times New Roman" w:eastAsia="Times New Roman" w:hAnsi="Times New Roman" w:cs="Times New Roman"/>
          <w:sz w:val="24"/>
          <w:szCs w:val="24"/>
        </w:rPr>
        <w:t xml:space="preserve">em um ambiente de respeito aos direitos humanos e à igualdade. </w:t>
      </w:r>
    </w:p>
    <w:p w14:paraId="6A63F7EA" w14:textId="5EB84920"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Na medida em que os métodos adequados de resolução de conflitos, </w:t>
      </w:r>
      <w:r w:rsidR="00A55267">
        <w:rPr>
          <w:rFonts w:ascii="Times New Roman" w:eastAsia="Times New Roman" w:hAnsi="Times New Roman" w:cs="Times New Roman"/>
          <w:sz w:val="24"/>
          <w:szCs w:val="24"/>
        </w:rPr>
        <w:t xml:space="preserve">uma vez </w:t>
      </w:r>
      <w:r w:rsidRPr="5097C9EF">
        <w:rPr>
          <w:rFonts w:ascii="Times New Roman" w:eastAsia="Times New Roman" w:hAnsi="Times New Roman" w:cs="Times New Roman"/>
          <w:sz w:val="24"/>
          <w:szCs w:val="24"/>
        </w:rPr>
        <w:t>bem aplicados, podem representar um significativo avanço na promoção da justiça e</w:t>
      </w:r>
      <w:r w:rsidR="00A71286">
        <w:rPr>
          <w:rFonts w:ascii="Times New Roman" w:eastAsia="Times New Roman" w:hAnsi="Times New Roman" w:cs="Times New Roman"/>
          <w:sz w:val="24"/>
          <w:szCs w:val="24"/>
        </w:rPr>
        <w:t xml:space="preserve"> na</w:t>
      </w:r>
      <w:r w:rsidRPr="5097C9EF">
        <w:rPr>
          <w:rFonts w:ascii="Times New Roman" w:eastAsia="Times New Roman" w:hAnsi="Times New Roman" w:cs="Times New Roman"/>
          <w:sz w:val="24"/>
          <w:szCs w:val="24"/>
        </w:rPr>
        <w:t xml:space="preserve"> pacificação social, </w:t>
      </w:r>
      <w:r w:rsidR="00CC75AF">
        <w:rPr>
          <w:rFonts w:ascii="Times New Roman" w:eastAsia="Times New Roman" w:hAnsi="Times New Roman" w:cs="Times New Roman"/>
          <w:sz w:val="24"/>
          <w:szCs w:val="24"/>
        </w:rPr>
        <w:t>e</w:t>
      </w:r>
      <w:r w:rsidR="0061230A">
        <w:rPr>
          <w:rFonts w:ascii="Times New Roman" w:eastAsia="Times New Roman" w:hAnsi="Times New Roman" w:cs="Times New Roman"/>
          <w:sz w:val="24"/>
          <w:szCs w:val="24"/>
        </w:rPr>
        <w:t>les</w:t>
      </w:r>
      <w:r w:rsidR="00CC75AF">
        <w:rPr>
          <w:rFonts w:ascii="Times New Roman" w:eastAsia="Times New Roman" w:hAnsi="Times New Roman" w:cs="Times New Roman"/>
          <w:sz w:val="24"/>
          <w:szCs w:val="24"/>
        </w:rPr>
        <w:t xml:space="preserve"> se tornam </w:t>
      </w:r>
      <w:r w:rsidR="00EE5B41" w:rsidRPr="5097C9EF">
        <w:rPr>
          <w:rFonts w:ascii="Times New Roman" w:eastAsia="Times New Roman" w:hAnsi="Times New Roman" w:cs="Times New Roman"/>
          <w:sz w:val="24"/>
          <w:szCs w:val="24"/>
        </w:rPr>
        <w:t xml:space="preserve">pontos relevantes para </w:t>
      </w:r>
      <w:r w:rsidR="00CC75AF">
        <w:rPr>
          <w:rFonts w:ascii="Times New Roman" w:eastAsia="Times New Roman" w:hAnsi="Times New Roman" w:cs="Times New Roman"/>
          <w:sz w:val="24"/>
          <w:szCs w:val="24"/>
        </w:rPr>
        <w:t>o</w:t>
      </w:r>
      <w:r w:rsidR="00137130">
        <w:rPr>
          <w:rFonts w:ascii="Times New Roman" w:eastAsia="Times New Roman" w:hAnsi="Times New Roman" w:cs="Times New Roman"/>
          <w:sz w:val="24"/>
          <w:szCs w:val="24"/>
        </w:rPr>
        <w:t xml:space="preserve"> </w:t>
      </w:r>
      <w:r w:rsidR="00C45F91">
        <w:rPr>
          <w:rFonts w:ascii="Times New Roman" w:eastAsia="Times New Roman" w:hAnsi="Times New Roman" w:cs="Times New Roman"/>
          <w:sz w:val="24"/>
          <w:szCs w:val="24"/>
        </w:rPr>
        <w:t>propósito</w:t>
      </w:r>
      <w:r w:rsidR="00137130">
        <w:rPr>
          <w:rFonts w:ascii="Times New Roman" w:eastAsia="Times New Roman" w:hAnsi="Times New Roman" w:cs="Times New Roman"/>
          <w:sz w:val="24"/>
          <w:szCs w:val="24"/>
        </w:rPr>
        <w:t xml:space="preserve">; </w:t>
      </w:r>
      <w:r w:rsidRPr="5097C9EF">
        <w:rPr>
          <w:rFonts w:ascii="Times New Roman" w:eastAsia="Times New Roman" w:hAnsi="Times New Roman" w:cs="Times New Roman"/>
          <w:sz w:val="24"/>
          <w:szCs w:val="24"/>
        </w:rPr>
        <w:t>em especial nos conflitos relacionados à Administração Pública, parcela significativa dos processos em tramitação no Poder Judiciário</w:t>
      </w:r>
      <w:r w:rsidR="00B84DA0">
        <w:rPr>
          <w:rFonts w:ascii="Times New Roman" w:eastAsia="Times New Roman" w:hAnsi="Times New Roman" w:cs="Times New Roman"/>
          <w:sz w:val="24"/>
          <w:szCs w:val="24"/>
        </w:rPr>
        <w:t>.</w:t>
      </w:r>
    </w:p>
    <w:p w14:paraId="51BA4F18" w14:textId="3FE06D7F"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Neste contexto, algumas questões relacionadas à consensualidade podem ser destacadas como </w:t>
      </w:r>
      <w:r w:rsidR="008B66FB">
        <w:rPr>
          <w:rFonts w:ascii="Times New Roman" w:eastAsia="Times New Roman" w:hAnsi="Times New Roman" w:cs="Times New Roman"/>
          <w:sz w:val="24"/>
          <w:szCs w:val="24"/>
        </w:rPr>
        <w:t>aspectos</w:t>
      </w:r>
      <w:r w:rsidRPr="5097C9EF">
        <w:rPr>
          <w:rFonts w:ascii="Times New Roman" w:eastAsia="Times New Roman" w:hAnsi="Times New Roman" w:cs="Times New Roman"/>
          <w:sz w:val="24"/>
          <w:szCs w:val="24"/>
        </w:rPr>
        <w:t xml:space="preserve"> que contribuem </w:t>
      </w:r>
      <w:r w:rsidR="00D62F8A">
        <w:rPr>
          <w:rFonts w:ascii="Times New Roman" w:eastAsia="Times New Roman" w:hAnsi="Times New Roman" w:cs="Times New Roman"/>
          <w:sz w:val="24"/>
          <w:szCs w:val="24"/>
        </w:rPr>
        <w:t xml:space="preserve">diretamente </w:t>
      </w:r>
      <w:r w:rsidRPr="5097C9EF">
        <w:rPr>
          <w:rFonts w:ascii="Times New Roman" w:eastAsia="Times New Roman" w:hAnsi="Times New Roman" w:cs="Times New Roman"/>
          <w:sz w:val="24"/>
          <w:szCs w:val="24"/>
        </w:rPr>
        <w:t xml:space="preserve">para a promoção de sociedades pacíficas, justas e inclusivas, com instituições eficazes em todos os níveis. </w:t>
      </w:r>
    </w:p>
    <w:p w14:paraId="4F41F5D7" w14:textId="2CCF5EC1" w:rsidR="5097C9EF" w:rsidRPr="000577C1" w:rsidRDefault="5097C9EF" w:rsidP="00CA57AD">
      <w:pPr>
        <w:spacing w:before="120" w:after="120" w:line="360" w:lineRule="auto"/>
        <w:ind w:firstLine="851"/>
        <w:jc w:val="both"/>
        <w:rPr>
          <w:rFonts w:ascii="Times New Roman" w:eastAsia="Times New Roman" w:hAnsi="Times New Roman" w:cs="Times New Roman"/>
          <w:sz w:val="24"/>
          <w:szCs w:val="24"/>
        </w:rPr>
      </w:pPr>
      <w:r w:rsidRPr="5097C9EF">
        <w:rPr>
          <w:rFonts w:ascii="Times New Roman" w:eastAsia="Times New Roman" w:hAnsi="Times New Roman" w:cs="Times New Roman"/>
          <w:sz w:val="24"/>
          <w:szCs w:val="24"/>
        </w:rPr>
        <w:lastRenderedPageBreak/>
        <w:t xml:space="preserve">Uma delas é a democratização e transformação do acesso à </w:t>
      </w:r>
      <w:r w:rsidR="001A0893">
        <w:rPr>
          <w:rFonts w:ascii="Times New Roman" w:eastAsia="Times New Roman" w:hAnsi="Times New Roman" w:cs="Times New Roman"/>
          <w:sz w:val="24"/>
          <w:szCs w:val="24"/>
        </w:rPr>
        <w:t>j</w:t>
      </w:r>
      <w:r w:rsidRPr="5097C9EF">
        <w:rPr>
          <w:rFonts w:ascii="Times New Roman" w:eastAsia="Times New Roman" w:hAnsi="Times New Roman" w:cs="Times New Roman"/>
          <w:sz w:val="24"/>
          <w:szCs w:val="24"/>
        </w:rPr>
        <w:t>ustiça. A autocomposição oferece uma oportunidade para que todas as partes envolvidas em um conflito, incluindo cidadãos, empresas e a própria Administração Pública, tenham voz ativa no processo de resolução</w:t>
      </w:r>
      <w:r w:rsidR="00DA2368">
        <w:rPr>
          <w:rFonts w:ascii="Times New Roman" w:eastAsia="Times New Roman" w:hAnsi="Times New Roman" w:cs="Times New Roman"/>
          <w:sz w:val="24"/>
          <w:szCs w:val="24"/>
        </w:rPr>
        <w:t xml:space="preserve">, como no caso da </w:t>
      </w:r>
      <w:r w:rsidRPr="5097C9EF">
        <w:rPr>
          <w:rFonts w:ascii="Times New Roman" w:eastAsia="Times New Roman" w:hAnsi="Times New Roman" w:cs="Times New Roman"/>
          <w:sz w:val="24"/>
          <w:szCs w:val="24"/>
        </w:rPr>
        <w:t>negociação</w:t>
      </w:r>
      <w:r w:rsidR="002A387B">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w:t>
      </w:r>
      <w:r w:rsidR="00DA2368">
        <w:rPr>
          <w:rFonts w:ascii="Times New Roman" w:eastAsia="Times New Roman" w:hAnsi="Times New Roman" w:cs="Times New Roman"/>
          <w:sz w:val="24"/>
          <w:szCs w:val="24"/>
        </w:rPr>
        <w:t>em que se</w:t>
      </w:r>
      <w:r w:rsidRPr="5097C9EF">
        <w:rPr>
          <w:rFonts w:ascii="Times New Roman" w:eastAsia="Times New Roman" w:hAnsi="Times New Roman" w:cs="Times New Roman"/>
          <w:sz w:val="24"/>
          <w:szCs w:val="24"/>
        </w:rPr>
        <w:t xml:space="preserve"> permite que as partes alcancem um acordo mútuo, evitando o litígio e proporcionando uma forma acessível e </w:t>
      </w:r>
      <w:r w:rsidR="00CA57AD">
        <w:rPr>
          <w:rFonts w:ascii="Times New Roman" w:eastAsia="Times New Roman" w:hAnsi="Times New Roman" w:cs="Times New Roman"/>
          <w:sz w:val="24"/>
          <w:szCs w:val="24"/>
        </w:rPr>
        <w:t>dialógica</w:t>
      </w:r>
      <w:r w:rsidRPr="5097C9EF">
        <w:rPr>
          <w:rFonts w:ascii="Times New Roman" w:eastAsia="Times New Roman" w:hAnsi="Times New Roman" w:cs="Times New Roman"/>
          <w:sz w:val="24"/>
          <w:szCs w:val="24"/>
        </w:rPr>
        <w:t xml:space="preserve"> de resolver</w:t>
      </w:r>
      <w:r w:rsidR="002114D2">
        <w:rPr>
          <w:rFonts w:ascii="Times New Roman" w:eastAsia="Times New Roman" w:hAnsi="Times New Roman" w:cs="Times New Roman"/>
          <w:sz w:val="24"/>
          <w:szCs w:val="24"/>
        </w:rPr>
        <w:t xml:space="preserve"> potenciais</w:t>
      </w:r>
      <w:r w:rsidRPr="5097C9EF">
        <w:rPr>
          <w:rFonts w:ascii="Times New Roman" w:eastAsia="Times New Roman" w:hAnsi="Times New Roman" w:cs="Times New Roman"/>
          <w:sz w:val="24"/>
          <w:szCs w:val="24"/>
        </w:rPr>
        <w:t xml:space="preserve"> disputas</w:t>
      </w:r>
      <w:r w:rsidR="00CA57AD">
        <w:rPr>
          <w:rFonts w:ascii="Times New Roman" w:eastAsia="Times New Roman" w:hAnsi="Times New Roman" w:cs="Times New Roman"/>
          <w:sz w:val="24"/>
          <w:szCs w:val="24"/>
        </w:rPr>
        <w:t>.</w:t>
      </w:r>
    </w:p>
    <w:p w14:paraId="7B30B927" w14:textId="5913F06E"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 Outro ponto fundamental é </w:t>
      </w:r>
      <w:r w:rsidR="00BE2CCD">
        <w:rPr>
          <w:rFonts w:ascii="Times New Roman" w:eastAsia="Times New Roman" w:hAnsi="Times New Roman" w:cs="Times New Roman"/>
          <w:sz w:val="24"/>
          <w:szCs w:val="24"/>
        </w:rPr>
        <w:t xml:space="preserve">o </w:t>
      </w:r>
      <w:r w:rsidRPr="5097C9EF">
        <w:rPr>
          <w:rFonts w:ascii="Times New Roman" w:eastAsia="Times New Roman" w:hAnsi="Times New Roman" w:cs="Times New Roman"/>
          <w:sz w:val="24"/>
          <w:szCs w:val="24"/>
        </w:rPr>
        <w:t>descongestionamento</w:t>
      </w:r>
      <w:r w:rsidR="00BB7232">
        <w:rPr>
          <w:rFonts w:ascii="Times New Roman" w:eastAsia="Times New Roman" w:hAnsi="Times New Roman" w:cs="Times New Roman"/>
          <w:sz w:val="24"/>
          <w:szCs w:val="24"/>
        </w:rPr>
        <w:t xml:space="preserve"> e </w:t>
      </w:r>
      <w:r w:rsidR="00BE2CCD">
        <w:rPr>
          <w:rFonts w:ascii="Times New Roman" w:eastAsia="Times New Roman" w:hAnsi="Times New Roman" w:cs="Times New Roman"/>
          <w:sz w:val="24"/>
          <w:szCs w:val="24"/>
        </w:rPr>
        <w:t xml:space="preserve">a </w:t>
      </w:r>
      <w:r w:rsidR="00BB7232">
        <w:rPr>
          <w:rFonts w:ascii="Times New Roman" w:eastAsia="Times New Roman" w:hAnsi="Times New Roman" w:cs="Times New Roman"/>
          <w:sz w:val="24"/>
          <w:szCs w:val="24"/>
        </w:rPr>
        <w:t>otimização</w:t>
      </w:r>
      <w:r w:rsidRPr="5097C9EF">
        <w:rPr>
          <w:rFonts w:ascii="Times New Roman" w:eastAsia="Times New Roman" w:hAnsi="Times New Roman" w:cs="Times New Roman"/>
          <w:sz w:val="24"/>
          <w:szCs w:val="24"/>
        </w:rPr>
        <w:t xml:space="preserve"> d</w:t>
      </w:r>
      <w:r w:rsidR="002A3A37">
        <w:rPr>
          <w:rFonts w:ascii="Times New Roman" w:eastAsia="Times New Roman" w:hAnsi="Times New Roman" w:cs="Times New Roman"/>
          <w:sz w:val="24"/>
          <w:szCs w:val="24"/>
        </w:rPr>
        <w:t>a pre</w:t>
      </w:r>
      <w:r w:rsidR="00F94F58">
        <w:rPr>
          <w:rFonts w:ascii="Times New Roman" w:eastAsia="Times New Roman" w:hAnsi="Times New Roman" w:cs="Times New Roman"/>
          <w:sz w:val="24"/>
          <w:szCs w:val="24"/>
        </w:rPr>
        <w:t>s</w:t>
      </w:r>
      <w:r w:rsidR="002A3A37">
        <w:rPr>
          <w:rFonts w:ascii="Times New Roman" w:eastAsia="Times New Roman" w:hAnsi="Times New Roman" w:cs="Times New Roman"/>
          <w:sz w:val="24"/>
          <w:szCs w:val="24"/>
        </w:rPr>
        <w:t>tação da função jurisdicional pel</w:t>
      </w:r>
      <w:r w:rsidRPr="5097C9EF">
        <w:rPr>
          <w:rFonts w:ascii="Times New Roman" w:eastAsia="Times New Roman" w:hAnsi="Times New Roman" w:cs="Times New Roman"/>
          <w:sz w:val="24"/>
          <w:szCs w:val="24"/>
        </w:rPr>
        <w:t>o Poder Judiciário. O desenvolvimento d</w:t>
      </w:r>
      <w:r w:rsidR="00DB074F">
        <w:rPr>
          <w:rFonts w:ascii="Times New Roman" w:eastAsia="Times New Roman" w:hAnsi="Times New Roman" w:cs="Times New Roman"/>
          <w:sz w:val="24"/>
          <w:szCs w:val="24"/>
        </w:rPr>
        <w:t>e outro</w:t>
      </w:r>
      <w:r w:rsidRPr="5097C9EF">
        <w:rPr>
          <w:rFonts w:ascii="Times New Roman" w:eastAsia="Times New Roman" w:hAnsi="Times New Roman" w:cs="Times New Roman"/>
          <w:sz w:val="24"/>
          <w:szCs w:val="24"/>
        </w:rPr>
        <w:t xml:space="preserve">s métodos de resolução </w:t>
      </w:r>
      <w:r w:rsidR="00A22B27">
        <w:rPr>
          <w:rFonts w:ascii="Times New Roman" w:eastAsia="Times New Roman" w:hAnsi="Times New Roman" w:cs="Times New Roman"/>
          <w:sz w:val="24"/>
          <w:szCs w:val="24"/>
        </w:rPr>
        <w:t>de controvérsias</w:t>
      </w:r>
      <w:r w:rsidRPr="5097C9EF">
        <w:rPr>
          <w:rFonts w:ascii="Times New Roman" w:eastAsia="Times New Roman" w:hAnsi="Times New Roman" w:cs="Times New Roman"/>
          <w:sz w:val="24"/>
          <w:szCs w:val="24"/>
        </w:rPr>
        <w:t xml:space="preserve"> alivia a carga do sistema de justiça, </w:t>
      </w:r>
      <w:r w:rsidR="00E04C61">
        <w:rPr>
          <w:rFonts w:ascii="Times New Roman" w:eastAsia="Times New Roman" w:hAnsi="Times New Roman" w:cs="Times New Roman"/>
          <w:sz w:val="24"/>
          <w:szCs w:val="24"/>
        </w:rPr>
        <w:t>diminui</w:t>
      </w:r>
      <w:r w:rsidR="00A22B27">
        <w:rPr>
          <w:rFonts w:ascii="Times New Roman" w:eastAsia="Times New Roman" w:hAnsi="Times New Roman" w:cs="Times New Roman"/>
          <w:sz w:val="24"/>
          <w:szCs w:val="24"/>
        </w:rPr>
        <w:t xml:space="preserve">ndo </w:t>
      </w:r>
      <w:r w:rsidR="00E04C61">
        <w:rPr>
          <w:rFonts w:ascii="Times New Roman" w:eastAsia="Times New Roman" w:hAnsi="Times New Roman" w:cs="Times New Roman"/>
          <w:sz w:val="24"/>
          <w:szCs w:val="24"/>
        </w:rPr>
        <w:t>a morosidade</w:t>
      </w:r>
      <w:r w:rsidR="00145AE4">
        <w:rPr>
          <w:rFonts w:ascii="Times New Roman" w:eastAsia="Times New Roman" w:hAnsi="Times New Roman" w:cs="Times New Roman"/>
          <w:sz w:val="24"/>
          <w:szCs w:val="24"/>
        </w:rPr>
        <w:t>,</w:t>
      </w:r>
      <w:r w:rsidR="00E04C61">
        <w:rPr>
          <w:rFonts w:ascii="Times New Roman" w:eastAsia="Times New Roman" w:hAnsi="Times New Roman" w:cs="Times New Roman"/>
          <w:sz w:val="24"/>
          <w:szCs w:val="24"/>
        </w:rPr>
        <w:t xml:space="preserve"> </w:t>
      </w:r>
      <w:r w:rsidR="00A22B27">
        <w:rPr>
          <w:rFonts w:ascii="Times New Roman" w:eastAsia="Times New Roman" w:hAnsi="Times New Roman" w:cs="Times New Roman"/>
          <w:sz w:val="24"/>
          <w:szCs w:val="24"/>
        </w:rPr>
        <w:t>e</w:t>
      </w:r>
      <w:r w:rsidR="002A7CEB">
        <w:rPr>
          <w:rFonts w:ascii="Times New Roman" w:eastAsia="Times New Roman" w:hAnsi="Times New Roman" w:cs="Times New Roman"/>
          <w:sz w:val="24"/>
          <w:szCs w:val="24"/>
        </w:rPr>
        <w:t>m busca da</w:t>
      </w:r>
      <w:r w:rsidR="001237A4">
        <w:rPr>
          <w:rFonts w:ascii="Times New Roman" w:eastAsia="Times New Roman" w:hAnsi="Times New Roman" w:cs="Times New Roman"/>
          <w:sz w:val="24"/>
          <w:szCs w:val="24"/>
        </w:rPr>
        <w:t xml:space="preserve"> duração razoável do processo</w:t>
      </w:r>
      <w:r w:rsidR="002A7CEB">
        <w:rPr>
          <w:rFonts w:ascii="Times New Roman" w:eastAsia="Times New Roman" w:hAnsi="Times New Roman" w:cs="Times New Roman"/>
          <w:sz w:val="24"/>
          <w:szCs w:val="24"/>
        </w:rPr>
        <w:t>,</w:t>
      </w:r>
      <w:r w:rsidRPr="5097C9EF">
        <w:rPr>
          <w:rFonts w:ascii="Times New Roman" w:eastAsia="Times New Roman" w:hAnsi="Times New Roman" w:cs="Times New Roman"/>
          <w:sz w:val="24"/>
          <w:szCs w:val="24"/>
        </w:rPr>
        <w:t xml:space="preserve"> </w:t>
      </w:r>
      <w:r w:rsidR="00223C54">
        <w:rPr>
          <w:rFonts w:ascii="Times New Roman" w:eastAsia="Times New Roman" w:hAnsi="Times New Roman" w:cs="Times New Roman"/>
          <w:sz w:val="24"/>
          <w:szCs w:val="24"/>
        </w:rPr>
        <w:t>permitindo</w:t>
      </w:r>
      <w:r w:rsidRPr="5097C9EF">
        <w:rPr>
          <w:rFonts w:ascii="Times New Roman" w:eastAsia="Times New Roman" w:hAnsi="Times New Roman" w:cs="Times New Roman"/>
          <w:sz w:val="24"/>
          <w:szCs w:val="24"/>
        </w:rPr>
        <w:t xml:space="preserve"> que casos críticos</w:t>
      </w:r>
      <w:r w:rsidR="002365C5">
        <w:rPr>
          <w:rFonts w:ascii="Times New Roman" w:eastAsia="Times New Roman" w:hAnsi="Times New Roman" w:cs="Times New Roman"/>
          <w:sz w:val="24"/>
          <w:szCs w:val="24"/>
        </w:rPr>
        <w:t>, por exemplo,</w:t>
      </w:r>
      <w:r w:rsidRPr="5097C9EF">
        <w:rPr>
          <w:rFonts w:ascii="Times New Roman" w:eastAsia="Times New Roman" w:hAnsi="Times New Roman" w:cs="Times New Roman"/>
          <w:sz w:val="24"/>
          <w:szCs w:val="24"/>
        </w:rPr>
        <w:t xml:space="preserve"> recebam maior atenção.</w:t>
      </w:r>
    </w:p>
    <w:p w14:paraId="4BD80083" w14:textId="14039395" w:rsidR="5097C9EF" w:rsidRDefault="00A15312" w:rsidP="00EE07B3">
      <w:pPr>
        <w:spacing w:before="120" w:after="120" w:line="360" w:lineRule="auto"/>
        <w:ind w:firstLine="851"/>
        <w:jc w:val="both"/>
      </w:pPr>
      <w:r>
        <w:rPr>
          <w:rFonts w:ascii="Times New Roman" w:eastAsia="Times New Roman" w:hAnsi="Times New Roman" w:cs="Times New Roman"/>
          <w:sz w:val="24"/>
          <w:szCs w:val="24"/>
        </w:rPr>
        <w:t>A</w:t>
      </w:r>
      <w:r w:rsidR="5097C9EF" w:rsidRPr="5097C9EF">
        <w:rPr>
          <w:rFonts w:ascii="Times New Roman" w:eastAsia="Times New Roman" w:hAnsi="Times New Roman" w:cs="Times New Roman"/>
          <w:sz w:val="24"/>
          <w:szCs w:val="24"/>
        </w:rPr>
        <w:t xml:space="preserve">o incentivar </w:t>
      </w:r>
      <w:r w:rsidR="00323518">
        <w:rPr>
          <w:rFonts w:ascii="Times New Roman" w:eastAsia="Times New Roman" w:hAnsi="Times New Roman" w:cs="Times New Roman"/>
          <w:sz w:val="24"/>
          <w:szCs w:val="24"/>
        </w:rPr>
        <w:t xml:space="preserve">e desenvolver </w:t>
      </w:r>
      <w:r w:rsidR="00FD2B3C">
        <w:rPr>
          <w:rFonts w:ascii="Times New Roman" w:eastAsia="Times New Roman" w:hAnsi="Times New Roman" w:cs="Times New Roman"/>
          <w:sz w:val="24"/>
          <w:szCs w:val="24"/>
        </w:rPr>
        <w:t>a</w:t>
      </w:r>
      <w:r w:rsidR="5097C9EF" w:rsidRPr="5097C9EF">
        <w:rPr>
          <w:rFonts w:ascii="Times New Roman" w:eastAsia="Times New Roman" w:hAnsi="Times New Roman" w:cs="Times New Roman"/>
          <w:sz w:val="24"/>
          <w:szCs w:val="24"/>
        </w:rPr>
        <w:t xml:space="preserve"> consensualidade, a Administração Pública demonstra um compromisso com a construção de instituições eficazes</w:t>
      </w:r>
      <w:r w:rsidR="00456D15">
        <w:rPr>
          <w:rFonts w:ascii="Times New Roman" w:eastAsia="Times New Roman" w:hAnsi="Times New Roman" w:cs="Times New Roman"/>
          <w:sz w:val="24"/>
          <w:szCs w:val="24"/>
        </w:rPr>
        <w:t xml:space="preserve">, </w:t>
      </w:r>
      <w:r w:rsidR="00E42478">
        <w:rPr>
          <w:rFonts w:ascii="Times New Roman" w:eastAsia="Times New Roman" w:hAnsi="Times New Roman" w:cs="Times New Roman"/>
          <w:sz w:val="24"/>
          <w:szCs w:val="24"/>
        </w:rPr>
        <w:t>capazes de</w:t>
      </w:r>
      <w:r w:rsidR="00C66DE9">
        <w:rPr>
          <w:rFonts w:ascii="Times New Roman" w:eastAsia="Times New Roman" w:hAnsi="Times New Roman" w:cs="Times New Roman"/>
          <w:sz w:val="24"/>
          <w:szCs w:val="24"/>
        </w:rPr>
        <w:t xml:space="preserve"> tomarem decisões </w:t>
      </w:r>
      <w:r w:rsidR="00520632">
        <w:rPr>
          <w:rFonts w:ascii="Times New Roman" w:eastAsia="Times New Roman" w:hAnsi="Times New Roman" w:cs="Times New Roman"/>
          <w:sz w:val="24"/>
          <w:szCs w:val="24"/>
        </w:rPr>
        <w:t>responsiv</w:t>
      </w:r>
      <w:r w:rsidR="00C66DE9">
        <w:rPr>
          <w:rFonts w:ascii="Times New Roman" w:eastAsia="Times New Roman" w:hAnsi="Times New Roman" w:cs="Times New Roman"/>
          <w:sz w:val="24"/>
          <w:szCs w:val="24"/>
        </w:rPr>
        <w:t>as</w:t>
      </w:r>
      <w:r w:rsidR="00520632">
        <w:rPr>
          <w:rFonts w:ascii="Times New Roman" w:eastAsia="Times New Roman" w:hAnsi="Times New Roman" w:cs="Times New Roman"/>
          <w:sz w:val="24"/>
          <w:szCs w:val="24"/>
        </w:rPr>
        <w:t xml:space="preserve"> e participa</w:t>
      </w:r>
      <w:r w:rsidR="00C66DE9">
        <w:rPr>
          <w:rFonts w:ascii="Times New Roman" w:eastAsia="Times New Roman" w:hAnsi="Times New Roman" w:cs="Times New Roman"/>
          <w:sz w:val="24"/>
          <w:szCs w:val="24"/>
        </w:rPr>
        <w:t>tivas</w:t>
      </w:r>
      <w:r w:rsidR="5097C9EF" w:rsidRPr="5097C9EF">
        <w:rPr>
          <w:rFonts w:ascii="Times New Roman" w:eastAsia="Times New Roman" w:hAnsi="Times New Roman" w:cs="Times New Roman"/>
          <w:sz w:val="24"/>
          <w:szCs w:val="24"/>
        </w:rPr>
        <w:t xml:space="preserve">. Isso envolve a criação de mecanismos que promovam o diálogo e a cooperação entre os diversos atores sociais, fortalecendo, assim, a </w:t>
      </w:r>
      <w:r w:rsidR="00456D15">
        <w:rPr>
          <w:rFonts w:ascii="Times New Roman" w:eastAsia="Times New Roman" w:hAnsi="Times New Roman" w:cs="Times New Roman"/>
          <w:sz w:val="24"/>
          <w:szCs w:val="24"/>
        </w:rPr>
        <w:t xml:space="preserve">boa </w:t>
      </w:r>
      <w:r w:rsidR="5097C9EF" w:rsidRPr="5097C9EF">
        <w:rPr>
          <w:rFonts w:ascii="Times New Roman" w:eastAsia="Times New Roman" w:hAnsi="Times New Roman" w:cs="Times New Roman"/>
          <w:sz w:val="24"/>
          <w:szCs w:val="24"/>
        </w:rPr>
        <w:t>governança e a confiança nas instituições.</w:t>
      </w:r>
    </w:p>
    <w:p w14:paraId="0F6227A7" w14:textId="7F3A9FEA" w:rsidR="5097C9EF" w:rsidRDefault="5097C9EF" w:rsidP="00EE07B3">
      <w:pPr>
        <w:spacing w:before="120" w:after="120" w:line="360" w:lineRule="auto"/>
        <w:ind w:firstLine="851"/>
        <w:jc w:val="both"/>
      </w:pPr>
      <w:r w:rsidRPr="5097C9EF">
        <w:rPr>
          <w:rFonts w:ascii="Times New Roman" w:eastAsia="Times New Roman" w:hAnsi="Times New Roman" w:cs="Times New Roman"/>
          <w:sz w:val="24"/>
          <w:szCs w:val="24"/>
        </w:rPr>
        <w:t xml:space="preserve">Inequívoco, ademais, que a autocomposição contribui para a paz social, </w:t>
      </w:r>
      <w:r w:rsidR="00321E0B">
        <w:rPr>
          <w:rFonts w:ascii="Times New Roman" w:eastAsia="Times New Roman" w:hAnsi="Times New Roman" w:cs="Times New Roman"/>
          <w:sz w:val="24"/>
          <w:szCs w:val="24"/>
        </w:rPr>
        <w:t xml:space="preserve">pois </w:t>
      </w:r>
      <w:r w:rsidR="005D2868">
        <w:rPr>
          <w:rFonts w:ascii="Times New Roman" w:eastAsia="Times New Roman" w:hAnsi="Times New Roman" w:cs="Times New Roman"/>
          <w:sz w:val="24"/>
          <w:szCs w:val="24"/>
        </w:rPr>
        <w:t xml:space="preserve">facilita </w:t>
      </w:r>
      <w:r w:rsidRPr="5097C9EF">
        <w:rPr>
          <w:rFonts w:ascii="Times New Roman" w:eastAsia="Times New Roman" w:hAnsi="Times New Roman" w:cs="Times New Roman"/>
          <w:sz w:val="24"/>
          <w:szCs w:val="24"/>
        </w:rPr>
        <w:t>soluções mutuamente satisfatórias</w:t>
      </w:r>
      <w:r w:rsidR="00CC046A">
        <w:rPr>
          <w:rFonts w:ascii="Times New Roman" w:eastAsia="Times New Roman" w:hAnsi="Times New Roman" w:cs="Times New Roman"/>
          <w:sz w:val="24"/>
          <w:szCs w:val="24"/>
        </w:rPr>
        <w:t>; também</w:t>
      </w:r>
      <w:r w:rsidRPr="5097C9EF">
        <w:rPr>
          <w:rFonts w:ascii="Times New Roman" w:eastAsia="Times New Roman" w:hAnsi="Times New Roman" w:cs="Times New Roman"/>
          <w:sz w:val="24"/>
          <w:szCs w:val="24"/>
        </w:rPr>
        <w:t xml:space="preserve"> ajuda a evitar o agravamento de conflitos e </w:t>
      </w:r>
      <w:r w:rsidR="005D5891">
        <w:rPr>
          <w:rFonts w:ascii="Times New Roman" w:eastAsia="Times New Roman" w:hAnsi="Times New Roman" w:cs="Times New Roman"/>
          <w:sz w:val="24"/>
          <w:szCs w:val="24"/>
        </w:rPr>
        <w:t xml:space="preserve">a </w:t>
      </w:r>
      <w:r w:rsidRPr="5097C9EF">
        <w:rPr>
          <w:rFonts w:ascii="Times New Roman" w:eastAsia="Times New Roman" w:hAnsi="Times New Roman" w:cs="Times New Roman"/>
          <w:sz w:val="24"/>
          <w:szCs w:val="24"/>
        </w:rPr>
        <w:t xml:space="preserve">construir uma cultura de diálogo, essencial para a estabilidade e harmonia </w:t>
      </w:r>
      <w:r w:rsidR="00C90EB4">
        <w:rPr>
          <w:rFonts w:ascii="Times New Roman" w:eastAsia="Times New Roman" w:hAnsi="Times New Roman" w:cs="Times New Roman"/>
          <w:sz w:val="24"/>
          <w:szCs w:val="24"/>
        </w:rPr>
        <w:t>no âmago</w:t>
      </w:r>
      <w:r w:rsidRPr="5097C9EF">
        <w:rPr>
          <w:rFonts w:ascii="Times New Roman" w:eastAsia="Times New Roman" w:hAnsi="Times New Roman" w:cs="Times New Roman"/>
          <w:sz w:val="24"/>
          <w:szCs w:val="24"/>
        </w:rPr>
        <w:t xml:space="preserve"> da sociedade.</w:t>
      </w:r>
    </w:p>
    <w:p w14:paraId="1FEF50E3" w14:textId="0945EF8E" w:rsidR="5097C9EF" w:rsidRDefault="00A354DE"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5097C9EF" w:rsidRPr="5097C9EF">
        <w:rPr>
          <w:rFonts w:ascii="Times New Roman" w:eastAsia="Times New Roman" w:hAnsi="Times New Roman" w:cs="Times New Roman"/>
          <w:sz w:val="24"/>
          <w:szCs w:val="24"/>
        </w:rPr>
        <w:t xml:space="preserve"> solução negociada</w:t>
      </w:r>
      <w:r>
        <w:rPr>
          <w:rFonts w:ascii="Times New Roman" w:eastAsia="Times New Roman" w:hAnsi="Times New Roman" w:cs="Times New Roman"/>
          <w:sz w:val="24"/>
          <w:szCs w:val="24"/>
        </w:rPr>
        <w:t>, aliás,</w:t>
      </w:r>
      <w:r w:rsidR="5097C9EF" w:rsidRPr="5097C9EF">
        <w:rPr>
          <w:rFonts w:ascii="Times New Roman" w:eastAsia="Times New Roman" w:hAnsi="Times New Roman" w:cs="Times New Roman"/>
          <w:sz w:val="24"/>
          <w:szCs w:val="24"/>
        </w:rPr>
        <w:t xml:space="preserve"> é mais rápida e menos onerosa do que o processo litigioso tradicional</w:t>
      </w:r>
      <w:r w:rsidR="00A6241D">
        <w:rPr>
          <w:rFonts w:ascii="Times New Roman" w:eastAsia="Times New Roman" w:hAnsi="Times New Roman" w:cs="Times New Roman"/>
          <w:sz w:val="24"/>
          <w:szCs w:val="24"/>
        </w:rPr>
        <w:t>, o que</w:t>
      </w:r>
      <w:r w:rsidR="5097C9EF" w:rsidRPr="5097C9EF">
        <w:rPr>
          <w:rFonts w:ascii="Times New Roman" w:eastAsia="Times New Roman" w:hAnsi="Times New Roman" w:cs="Times New Roman"/>
          <w:sz w:val="24"/>
          <w:szCs w:val="24"/>
        </w:rPr>
        <w:t xml:space="preserve"> beneficia não apenas as partes envolvidas, mas também </w:t>
      </w:r>
      <w:r>
        <w:rPr>
          <w:rFonts w:ascii="Times New Roman" w:eastAsia="Times New Roman" w:hAnsi="Times New Roman" w:cs="Times New Roman"/>
          <w:sz w:val="24"/>
          <w:szCs w:val="24"/>
        </w:rPr>
        <w:t xml:space="preserve">o </w:t>
      </w:r>
      <w:r w:rsidR="00F515E7">
        <w:rPr>
          <w:rFonts w:ascii="Times New Roman" w:eastAsia="Times New Roman" w:hAnsi="Times New Roman" w:cs="Times New Roman"/>
          <w:sz w:val="24"/>
          <w:szCs w:val="24"/>
        </w:rPr>
        <w:t>Estado</w:t>
      </w:r>
      <w:r w:rsidR="00CB4E26">
        <w:rPr>
          <w:rFonts w:ascii="Times New Roman" w:eastAsia="Times New Roman" w:hAnsi="Times New Roman" w:cs="Times New Roman"/>
          <w:sz w:val="24"/>
          <w:szCs w:val="24"/>
        </w:rPr>
        <w:t>,</w:t>
      </w:r>
      <w:r w:rsidR="00F515E7">
        <w:rPr>
          <w:rFonts w:ascii="Times New Roman" w:eastAsia="Times New Roman" w:hAnsi="Times New Roman" w:cs="Times New Roman"/>
          <w:sz w:val="24"/>
          <w:szCs w:val="24"/>
        </w:rPr>
        <w:t xml:space="preserve"> em sentido amplo</w:t>
      </w:r>
      <w:r w:rsidR="5097C9EF" w:rsidRPr="5097C9EF">
        <w:rPr>
          <w:rFonts w:ascii="Times New Roman" w:eastAsia="Times New Roman" w:hAnsi="Times New Roman" w:cs="Times New Roman"/>
          <w:sz w:val="24"/>
          <w:szCs w:val="24"/>
        </w:rPr>
        <w:t>, que economiza recursos</w:t>
      </w:r>
      <w:r w:rsidR="001D53ED">
        <w:rPr>
          <w:rFonts w:ascii="Times New Roman" w:eastAsia="Times New Roman" w:hAnsi="Times New Roman" w:cs="Times New Roman"/>
          <w:sz w:val="24"/>
          <w:szCs w:val="24"/>
        </w:rPr>
        <w:t xml:space="preserve">, que </w:t>
      </w:r>
      <w:r w:rsidR="5097C9EF" w:rsidRPr="5097C9EF">
        <w:rPr>
          <w:rFonts w:ascii="Times New Roman" w:eastAsia="Times New Roman" w:hAnsi="Times New Roman" w:cs="Times New Roman"/>
          <w:sz w:val="24"/>
          <w:szCs w:val="24"/>
        </w:rPr>
        <w:t>pode aloc</w:t>
      </w:r>
      <w:r w:rsidR="001D53ED">
        <w:rPr>
          <w:rFonts w:ascii="Times New Roman" w:eastAsia="Times New Roman" w:hAnsi="Times New Roman" w:cs="Times New Roman"/>
          <w:sz w:val="24"/>
          <w:szCs w:val="24"/>
        </w:rPr>
        <w:t>ar</w:t>
      </w:r>
      <w:r w:rsidR="5097C9EF" w:rsidRPr="5097C9EF">
        <w:rPr>
          <w:rFonts w:ascii="Times New Roman" w:eastAsia="Times New Roman" w:hAnsi="Times New Roman" w:cs="Times New Roman"/>
          <w:sz w:val="24"/>
          <w:szCs w:val="24"/>
        </w:rPr>
        <w:t xml:space="preserve"> de forma mais eficaz em áreas prioritárias.</w:t>
      </w:r>
    </w:p>
    <w:p w14:paraId="0AB9DDAC" w14:textId="5804CDC6" w:rsidR="00941BC2" w:rsidRPr="00007F36" w:rsidRDefault="00E648E3" w:rsidP="00EE07B3">
      <w:pPr>
        <w:spacing w:before="120" w:after="120" w:line="360" w:lineRule="auto"/>
        <w:ind w:firstLine="851"/>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Ora</w:t>
      </w:r>
      <w:r w:rsidR="00941B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 clara a</w:t>
      </w:r>
      <w:r w:rsidR="00941BC2">
        <w:rPr>
          <w:rFonts w:ascii="Times New Roman" w:eastAsia="Times New Roman" w:hAnsi="Times New Roman" w:cs="Times New Roman"/>
          <w:sz w:val="24"/>
          <w:szCs w:val="24"/>
        </w:rPr>
        <w:t xml:space="preserve"> aderência direta do desenvolvimento do sistema multiportas </w:t>
      </w:r>
      <w:r w:rsidR="008E712E">
        <w:rPr>
          <w:rFonts w:ascii="Times New Roman" w:eastAsia="Times New Roman" w:hAnsi="Times New Roman" w:cs="Times New Roman"/>
          <w:sz w:val="24"/>
          <w:szCs w:val="24"/>
        </w:rPr>
        <w:t xml:space="preserve">no âmbito da Administração Pública com </w:t>
      </w:r>
      <w:r w:rsidR="00DD45E1">
        <w:rPr>
          <w:rFonts w:ascii="Times New Roman" w:eastAsia="Times New Roman" w:hAnsi="Times New Roman" w:cs="Times New Roman"/>
          <w:sz w:val="24"/>
          <w:szCs w:val="24"/>
        </w:rPr>
        <w:t xml:space="preserve">algumas metas </w:t>
      </w:r>
      <w:r w:rsidR="00481941">
        <w:rPr>
          <w:rFonts w:ascii="Times New Roman" w:eastAsia="Times New Roman" w:hAnsi="Times New Roman" w:cs="Times New Roman"/>
          <w:sz w:val="24"/>
          <w:szCs w:val="24"/>
        </w:rPr>
        <w:t xml:space="preserve">específicas </w:t>
      </w:r>
      <w:r w:rsidR="00DD45E1">
        <w:rPr>
          <w:rFonts w:ascii="Times New Roman" w:eastAsia="Times New Roman" w:hAnsi="Times New Roman" w:cs="Times New Roman"/>
          <w:sz w:val="24"/>
          <w:szCs w:val="24"/>
        </w:rPr>
        <w:t>d</w:t>
      </w:r>
      <w:r w:rsidR="008E712E">
        <w:rPr>
          <w:rFonts w:ascii="Times New Roman" w:eastAsia="Times New Roman" w:hAnsi="Times New Roman" w:cs="Times New Roman"/>
          <w:sz w:val="24"/>
          <w:szCs w:val="24"/>
        </w:rPr>
        <w:t xml:space="preserve">o ODS nº 16, especialmente </w:t>
      </w:r>
      <w:r w:rsidR="00007F36">
        <w:rPr>
          <w:rFonts w:ascii="Times New Roman" w:eastAsia="Times New Roman" w:hAnsi="Times New Roman" w:cs="Times New Roman"/>
          <w:sz w:val="24"/>
          <w:szCs w:val="24"/>
        </w:rPr>
        <w:t>a</w:t>
      </w:r>
      <w:r w:rsidR="00DD45E1">
        <w:rPr>
          <w:rFonts w:ascii="Times New Roman" w:eastAsia="Times New Roman" w:hAnsi="Times New Roman" w:cs="Times New Roman"/>
          <w:sz w:val="24"/>
          <w:szCs w:val="24"/>
        </w:rPr>
        <w:t xml:space="preserve"> </w:t>
      </w:r>
      <w:r w:rsidR="008E712E" w:rsidRPr="00007F36">
        <w:rPr>
          <w:rFonts w:ascii="Times New Roman" w:eastAsia="Times New Roman" w:hAnsi="Times New Roman" w:cs="Times New Roman"/>
          <w:i/>
          <w:iCs/>
          <w:sz w:val="24"/>
          <w:szCs w:val="24"/>
        </w:rPr>
        <w:t>16.3 (</w:t>
      </w:r>
      <w:r w:rsidR="000873A5" w:rsidRPr="00007F36">
        <w:rPr>
          <w:rFonts w:ascii="Times New Roman" w:eastAsia="Times New Roman" w:hAnsi="Times New Roman" w:cs="Times New Roman"/>
          <w:i/>
          <w:iCs/>
          <w:sz w:val="24"/>
          <w:szCs w:val="24"/>
        </w:rPr>
        <w:t>promoção do Estado de Direito e igualdade no acesso à justiça), 16.6 (desenvolvimento de instituições eficazes) e 16.</w:t>
      </w:r>
      <w:r w:rsidR="00BE3E9D" w:rsidRPr="00007F36">
        <w:rPr>
          <w:rFonts w:ascii="Times New Roman" w:eastAsia="Times New Roman" w:hAnsi="Times New Roman" w:cs="Times New Roman"/>
          <w:i/>
          <w:iCs/>
          <w:sz w:val="24"/>
          <w:szCs w:val="24"/>
        </w:rPr>
        <w:t>7 (tomada de decisão responsiva e participativa).</w:t>
      </w:r>
    </w:p>
    <w:p w14:paraId="74A1BF32" w14:textId="7A6C3A4C" w:rsidR="00522ADA" w:rsidRDefault="00007F36"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22ADA">
        <w:rPr>
          <w:rFonts w:ascii="Times New Roman" w:eastAsia="Times New Roman" w:hAnsi="Times New Roman" w:cs="Times New Roman"/>
          <w:sz w:val="24"/>
          <w:szCs w:val="24"/>
        </w:rPr>
        <w:t xml:space="preserve">correlação </w:t>
      </w:r>
      <w:r w:rsidR="005F426A">
        <w:rPr>
          <w:rFonts w:ascii="Times New Roman" w:eastAsia="Times New Roman" w:hAnsi="Times New Roman" w:cs="Times New Roman"/>
          <w:sz w:val="24"/>
          <w:szCs w:val="24"/>
        </w:rPr>
        <w:t xml:space="preserve">com a Agenda 2030 </w:t>
      </w:r>
      <w:r w:rsidR="00522ADA">
        <w:rPr>
          <w:rFonts w:ascii="Times New Roman" w:eastAsia="Times New Roman" w:hAnsi="Times New Roman" w:cs="Times New Roman"/>
          <w:sz w:val="24"/>
          <w:szCs w:val="24"/>
        </w:rPr>
        <w:t xml:space="preserve">é importante, </w:t>
      </w:r>
      <w:r w:rsidR="001229AC">
        <w:rPr>
          <w:rFonts w:ascii="Times New Roman" w:eastAsia="Times New Roman" w:hAnsi="Times New Roman" w:cs="Times New Roman"/>
          <w:sz w:val="24"/>
          <w:szCs w:val="24"/>
        </w:rPr>
        <w:t xml:space="preserve">tendo em vista </w:t>
      </w:r>
      <w:r w:rsidR="00522ADA">
        <w:rPr>
          <w:rFonts w:ascii="Times New Roman" w:eastAsia="Times New Roman" w:hAnsi="Times New Roman" w:cs="Times New Roman"/>
          <w:sz w:val="24"/>
          <w:szCs w:val="24"/>
        </w:rPr>
        <w:t xml:space="preserve">que </w:t>
      </w:r>
      <w:r w:rsidR="005F426A">
        <w:rPr>
          <w:rFonts w:ascii="Times New Roman" w:eastAsia="Times New Roman" w:hAnsi="Times New Roman" w:cs="Times New Roman"/>
          <w:sz w:val="24"/>
          <w:szCs w:val="24"/>
        </w:rPr>
        <w:t xml:space="preserve">reforça o compromisso </w:t>
      </w:r>
      <w:r w:rsidR="001229AC">
        <w:rPr>
          <w:rFonts w:ascii="Times New Roman" w:eastAsia="Times New Roman" w:hAnsi="Times New Roman" w:cs="Times New Roman"/>
          <w:sz w:val="24"/>
          <w:szCs w:val="24"/>
        </w:rPr>
        <w:t>público com a agenda</w:t>
      </w:r>
      <w:r w:rsidR="005278C5">
        <w:rPr>
          <w:rFonts w:ascii="Times New Roman" w:eastAsia="Times New Roman" w:hAnsi="Times New Roman" w:cs="Times New Roman"/>
          <w:sz w:val="24"/>
          <w:szCs w:val="24"/>
        </w:rPr>
        <w:t xml:space="preserve">; contribui com a promoção do desenvolvimento sustentável, em todas as suas dimensões; </w:t>
      </w:r>
      <w:r w:rsidR="008A22F2">
        <w:rPr>
          <w:rFonts w:ascii="Times New Roman" w:eastAsia="Times New Roman" w:hAnsi="Times New Roman" w:cs="Times New Roman"/>
          <w:sz w:val="24"/>
          <w:szCs w:val="24"/>
        </w:rPr>
        <w:t xml:space="preserve">abre portas para a cooperação internacional; </w:t>
      </w:r>
      <w:r w:rsidR="005C4804">
        <w:rPr>
          <w:rFonts w:ascii="Times New Roman" w:eastAsia="Times New Roman" w:hAnsi="Times New Roman" w:cs="Times New Roman"/>
          <w:sz w:val="24"/>
          <w:szCs w:val="24"/>
        </w:rPr>
        <w:t xml:space="preserve">alinha o setor público com as expectativas da sociedade global; </w:t>
      </w:r>
      <w:r w:rsidR="00517FB1">
        <w:rPr>
          <w:rFonts w:ascii="Times New Roman" w:eastAsia="Times New Roman" w:hAnsi="Times New Roman" w:cs="Times New Roman"/>
          <w:sz w:val="24"/>
          <w:szCs w:val="24"/>
        </w:rPr>
        <w:t xml:space="preserve">e </w:t>
      </w:r>
      <w:r w:rsidR="005C4804">
        <w:rPr>
          <w:rFonts w:ascii="Times New Roman" w:eastAsia="Times New Roman" w:hAnsi="Times New Roman" w:cs="Times New Roman"/>
          <w:sz w:val="24"/>
          <w:szCs w:val="24"/>
        </w:rPr>
        <w:t>viabiliza maior nível de monitoramento e prestação de contas</w:t>
      </w:r>
      <w:r w:rsidR="00EE04C5">
        <w:rPr>
          <w:rFonts w:ascii="Times New Roman" w:eastAsia="Times New Roman" w:hAnsi="Times New Roman" w:cs="Times New Roman"/>
          <w:sz w:val="24"/>
          <w:szCs w:val="24"/>
        </w:rPr>
        <w:t>, dada a existência de indicadores vinculados à</w:t>
      </w:r>
      <w:r w:rsidR="000E2C51">
        <w:rPr>
          <w:rFonts w:ascii="Times New Roman" w:eastAsia="Times New Roman" w:hAnsi="Times New Roman" w:cs="Times New Roman"/>
          <w:sz w:val="24"/>
          <w:szCs w:val="24"/>
        </w:rPr>
        <w:t xml:space="preserve">s </w:t>
      </w:r>
      <w:r w:rsidR="00EE04C5">
        <w:rPr>
          <w:rFonts w:ascii="Times New Roman" w:eastAsia="Times New Roman" w:hAnsi="Times New Roman" w:cs="Times New Roman"/>
          <w:sz w:val="24"/>
          <w:szCs w:val="24"/>
        </w:rPr>
        <w:t>meta</w:t>
      </w:r>
      <w:r w:rsidR="000E2C51">
        <w:rPr>
          <w:rFonts w:ascii="Times New Roman" w:eastAsia="Times New Roman" w:hAnsi="Times New Roman" w:cs="Times New Roman"/>
          <w:sz w:val="24"/>
          <w:szCs w:val="24"/>
        </w:rPr>
        <w:t>s</w:t>
      </w:r>
      <w:r w:rsidR="00EE04C5">
        <w:rPr>
          <w:rFonts w:ascii="Times New Roman" w:eastAsia="Times New Roman" w:hAnsi="Times New Roman" w:cs="Times New Roman"/>
          <w:sz w:val="24"/>
          <w:szCs w:val="24"/>
        </w:rPr>
        <w:t xml:space="preserve"> dos objetivos de desenvolvimento sustentável.</w:t>
      </w:r>
    </w:p>
    <w:p w14:paraId="34C3D40E" w14:textId="1403149C" w:rsidR="00055FB7" w:rsidRDefault="009349B8"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é possível </w:t>
      </w:r>
      <w:r w:rsidR="008F1187">
        <w:rPr>
          <w:rFonts w:ascii="Times New Roman" w:eastAsia="Times New Roman" w:hAnsi="Times New Roman" w:cs="Times New Roman"/>
          <w:sz w:val="24"/>
          <w:szCs w:val="24"/>
        </w:rPr>
        <w:t>estabelec</w:t>
      </w:r>
      <w:r>
        <w:rPr>
          <w:rFonts w:ascii="Times New Roman" w:eastAsia="Times New Roman" w:hAnsi="Times New Roman" w:cs="Times New Roman"/>
          <w:sz w:val="24"/>
          <w:szCs w:val="24"/>
        </w:rPr>
        <w:t>er</w:t>
      </w:r>
      <w:r w:rsidR="008F1187">
        <w:rPr>
          <w:rFonts w:ascii="Times New Roman" w:eastAsia="Times New Roman" w:hAnsi="Times New Roman" w:cs="Times New Roman"/>
          <w:sz w:val="24"/>
          <w:szCs w:val="24"/>
        </w:rPr>
        <w:t xml:space="preserve"> a </w:t>
      </w:r>
      <w:r w:rsidR="00F16315">
        <w:rPr>
          <w:rFonts w:ascii="Times New Roman" w:eastAsia="Times New Roman" w:hAnsi="Times New Roman" w:cs="Times New Roman"/>
          <w:sz w:val="24"/>
          <w:szCs w:val="24"/>
        </w:rPr>
        <w:t>a</w:t>
      </w:r>
      <w:r w:rsidR="008F1187">
        <w:rPr>
          <w:rFonts w:ascii="Times New Roman" w:eastAsia="Times New Roman" w:hAnsi="Times New Roman" w:cs="Times New Roman"/>
          <w:sz w:val="24"/>
          <w:szCs w:val="24"/>
        </w:rPr>
        <w:t>derência</w:t>
      </w:r>
      <w:r w:rsidR="00F16315">
        <w:rPr>
          <w:rFonts w:ascii="Times New Roman" w:eastAsia="Times New Roman" w:hAnsi="Times New Roman" w:cs="Times New Roman"/>
          <w:sz w:val="24"/>
          <w:szCs w:val="24"/>
        </w:rPr>
        <w:t xml:space="preserve"> dos </w:t>
      </w:r>
      <w:r w:rsidR="00DE75DF">
        <w:rPr>
          <w:rFonts w:ascii="Times New Roman" w:eastAsia="Times New Roman" w:hAnsi="Times New Roman" w:cs="Times New Roman"/>
          <w:sz w:val="24"/>
          <w:szCs w:val="24"/>
        </w:rPr>
        <w:t>projetos do setor público</w:t>
      </w:r>
      <w:r w:rsidR="00EE4C28">
        <w:rPr>
          <w:rFonts w:ascii="Times New Roman" w:eastAsia="Times New Roman" w:hAnsi="Times New Roman" w:cs="Times New Roman"/>
          <w:sz w:val="24"/>
          <w:szCs w:val="24"/>
        </w:rPr>
        <w:t>,</w:t>
      </w:r>
      <w:r w:rsidR="00DE75DF">
        <w:rPr>
          <w:rFonts w:ascii="Times New Roman" w:eastAsia="Times New Roman" w:hAnsi="Times New Roman" w:cs="Times New Roman"/>
          <w:sz w:val="24"/>
          <w:szCs w:val="24"/>
        </w:rPr>
        <w:t xml:space="preserve"> que tenham </w:t>
      </w:r>
      <w:r w:rsidR="00DC3C24">
        <w:rPr>
          <w:rFonts w:ascii="Times New Roman" w:eastAsia="Times New Roman" w:hAnsi="Times New Roman" w:cs="Times New Roman"/>
          <w:sz w:val="24"/>
          <w:szCs w:val="24"/>
        </w:rPr>
        <w:t xml:space="preserve">como objeto </w:t>
      </w:r>
      <w:r w:rsidR="004C1260">
        <w:rPr>
          <w:rFonts w:ascii="Times New Roman" w:eastAsia="Times New Roman" w:hAnsi="Times New Roman" w:cs="Times New Roman"/>
          <w:sz w:val="24"/>
          <w:szCs w:val="24"/>
        </w:rPr>
        <w:t>a consensualidade</w:t>
      </w:r>
      <w:r w:rsidR="00EE4C28">
        <w:rPr>
          <w:rFonts w:ascii="Times New Roman" w:eastAsia="Times New Roman" w:hAnsi="Times New Roman" w:cs="Times New Roman"/>
          <w:sz w:val="24"/>
          <w:szCs w:val="24"/>
        </w:rPr>
        <w:t>,</w:t>
      </w:r>
      <w:r w:rsidR="00F16315">
        <w:rPr>
          <w:rFonts w:ascii="Times New Roman" w:eastAsia="Times New Roman" w:hAnsi="Times New Roman" w:cs="Times New Roman"/>
          <w:sz w:val="24"/>
          <w:szCs w:val="24"/>
        </w:rPr>
        <w:t xml:space="preserve"> com o ODS 16</w:t>
      </w:r>
      <w:r w:rsidR="001521AF">
        <w:rPr>
          <w:rFonts w:ascii="Times New Roman" w:eastAsia="Times New Roman" w:hAnsi="Times New Roman" w:cs="Times New Roman"/>
          <w:sz w:val="24"/>
          <w:szCs w:val="24"/>
        </w:rPr>
        <w:t xml:space="preserve">, </w:t>
      </w:r>
      <w:r w:rsidR="00732D3A">
        <w:rPr>
          <w:rFonts w:ascii="Times New Roman" w:eastAsia="Times New Roman" w:hAnsi="Times New Roman" w:cs="Times New Roman"/>
          <w:sz w:val="24"/>
          <w:szCs w:val="24"/>
        </w:rPr>
        <w:t>é provável que</w:t>
      </w:r>
      <w:r w:rsidR="005D360D">
        <w:rPr>
          <w:rFonts w:ascii="Times New Roman" w:eastAsia="Times New Roman" w:hAnsi="Times New Roman" w:cs="Times New Roman"/>
          <w:sz w:val="24"/>
          <w:szCs w:val="24"/>
        </w:rPr>
        <w:t>, a</w:t>
      </w:r>
      <w:r w:rsidR="00DC5821">
        <w:rPr>
          <w:rFonts w:ascii="Times New Roman" w:eastAsia="Times New Roman" w:hAnsi="Times New Roman" w:cs="Times New Roman"/>
          <w:sz w:val="24"/>
          <w:szCs w:val="24"/>
        </w:rPr>
        <w:t xml:space="preserve">lém </w:t>
      </w:r>
      <w:r w:rsidR="005D360D">
        <w:rPr>
          <w:rFonts w:ascii="Times New Roman" w:eastAsia="Times New Roman" w:hAnsi="Times New Roman" w:cs="Times New Roman"/>
          <w:sz w:val="24"/>
          <w:szCs w:val="24"/>
        </w:rPr>
        <w:t xml:space="preserve">de se fortalecer o apoio institucional e político, </w:t>
      </w:r>
      <w:r w:rsidR="00EE4C28">
        <w:rPr>
          <w:rFonts w:ascii="Times New Roman" w:eastAsia="Times New Roman" w:hAnsi="Times New Roman" w:cs="Times New Roman"/>
          <w:sz w:val="24"/>
          <w:szCs w:val="24"/>
        </w:rPr>
        <w:t>se viabilize</w:t>
      </w:r>
      <w:r w:rsidR="00DC5821">
        <w:rPr>
          <w:rFonts w:ascii="Times New Roman" w:eastAsia="Times New Roman" w:hAnsi="Times New Roman" w:cs="Times New Roman"/>
          <w:sz w:val="24"/>
          <w:szCs w:val="24"/>
        </w:rPr>
        <w:t xml:space="preserve"> </w:t>
      </w:r>
      <w:r w:rsidR="00810F4B">
        <w:rPr>
          <w:rFonts w:ascii="Times New Roman" w:eastAsia="Times New Roman" w:hAnsi="Times New Roman" w:cs="Times New Roman"/>
          <w:sz w:val="24"/>
          <w:szCs w:val="24"/>
        </w:rPr>
        <w:t xml:space="preserve">a captação de recursos junto a bancos </w:t>
      </w:r>
      <w:r w:rsidR="0016015C">
        <w:rPr>
          <w:rFonts w:ascii="Times New Roman" w:eastAsia="Times New Roman" w:hAnsi="Times New Roman" w:cs="Times New Roman"/>
          <w:sz w:val="24"/>
          <w:szCs w:val="24"/>
        </w:rPr>
        <w:t xml:space="preserve">e agências </w:t>
      </w:r>
      <w:r w:rsidR="00810F4B">
        <w:rPr>
          <w:rFonts w:ascii="Times New Roman" w:eastAsia="Times New Roman" w:hAnsi="Times New Roman" w:cs="Times New Roman"/>
          <w:sz w:val="24"/>
          <w:szCs w:val="24"/>
        </w:rPr>
        <w:t>de desenvolvimento</w:t>
      </w:r>
      <w:r w:rsidR="0032788D">
        <w:rPr>
          <w:rFonts w:ascii="Times New Roman" w:eastAsia="Times New Roman" w:hAnsi="Times New Roman" w:cs="Times New Roman"/>
          <w:sz w:val="24"/>
          <w:szCs w:val="24"/>
        </w:rPr>
        <w:t xml:space="preserve"> nacionais </w:t>
      </w:r>
      <w:r w:rsidR="0032788D">
        <w:rPr>
          <w:rFonts w:ascii="Times New Roman" w:eastAsia="Times New Roman" w:hAnsi="Times New Roman" w:cs="Times New Roman"/>
          <w:sz w:val="24"/>
          <w:szCs w:val="24"/>
        </w:rPr>
        <w:lastRenderedPageBreak/>
        <w:t xml:space="preserve">e </w:t>
      </w:r>
      <w:r w:rsidR="0016015C">
        <w:rPr>
          <w:rFonts w:ascii="Times New Roman" w:eastAsia="Times New Roman" w:hAnsi="Times New Roman" w:cs="Times New Roman"/>
          <w:sz w:val="24"/>
          <w:szCs w:val="24"/>
        </w:rPr>
        <w:t>internaciona</w:t>
      </w:r>
      <w:r w:rsidR="0032788D">
        <w:rPr>
          <w:rFonts w:ascii="Times New Roman" w:eastAsia="Times New Roman" w:hAnsi="Times New Roman" w:cs="Times New Roman"/>
          <w:sz w:val="24"/>
          <w:szCs w:val="24"/>
        </w:rPr>
        <w:t>is</w:t>
      </w:r>
      <w:r w:rsidR="00536A89">
        <w:rPr>
          <w:rStyle w:val="Refdenotaderodap"/>
          <w:rFonts w:ascii="Times New Roman" w:eastAsia="Times New Roman" w:hAnsi="Times New Roman" w:cs="Times New Roman"/>
          <w:sz w:val="24"/>
          <w:szCs w:val="24"/>
        </w:rPr>
        <w:footnoteReference w:id="13"/>
      </w:r>
      <w:r w:rsidR="003842E8">
        <w:rPr>
          <w:rStyle w:val="Refdenotaderodap"/>
          <w:rFonts w:ascii="Times New Roman" w:eastAsia="Times New Roman" w:hAnsi="Times New Roman" w:cs="Times New Roman"/>
          <w:sz w:val="24"/>
          <w:szCs w:val="24"/>
        </w:rPr>
        <w:footnoteReference w:id="14"/>
      </w:r>
      <w:r w:rsidR="0016015C">
        <w:rPr>
          <w:rFonts w:ascii="Times New Roman" w:eastAsia="Times New Roman" w:hAnsi="Times New Roman" w:cs="Times New Roman"/>
          <w:sz w:val="24"/>
          <w:szCs w:val="24"/>
        </w:rPr>
        <w:t xml:space="preserve">, </w:t>
      </w:r>
      <w:r w:rsidR="004A0DC2">
        <w:rPr>
          <w:rFonts w:ascii="Times New Roman" w:eastAsia="Times New Roman" w:hAnsi="Times New Roman" w:cs="Times New Roman"/>
          <w:sz w:val="24"/>
          <w:szCs w:val="24"/>
        </w:rPr>
        <w:t xml:space="preserve">fundos e programas de cooperação internacional, que </w:t>
      </w:r>
      <w:r w:rsidR="00B7515F">
        <w:rPr>
          <w:rFonts w:ascii="Times New Roman" w:eastAsia="Times New Roman" w:hAnsi="Times New Roman" w:cs="Times New Roman"/>
          <w:sz w:val="24"/>
          <w:szCs w:val="24"/>
        </w:rPr>
        <w:t>possuem</w:t>
      </w:r>
      <w:r w:rsidR="003820B6">
        <w:rPr>
          <w:rFonts w:ascii="Times New Roman" w:eastAsia="Times New Roman" w:hAnsi="Times New Roman" w:cs="Times New Roman"/>
          <w:sz w:val="24"/>
          <w:szCs w:val="24"/>
        </w:rPr>
        <w:t xml:space="preserve"> </w:t>
      </w:r>
      <w:r w:rsidR="004A0DC2">
        <w:rPr>
          <w:rFonts w:ascii="Times New Roman" w:eastAsia="Times New Roman" w:hAnsi="Times New Roman" w:cs="Times New Roman"/>
          <w:sz w:val="24"/>
          <w:szCs w:val="24"/>
        </w:rPr>
        <w:t xml:space="preserve">linhas diferenciadas de </w:t>
      </w:r>
      <w:r w:rsidR="004360AB">
        <w:rPr>
          <w:rFonts w:ascii="Times New Roman" w:eastAsia="Times New Roman" w:hAnsi="Times New Roman" w:cs="Times New Roman"/>
          <w:sz w:val="24"/>
          <w:szCs w:val="24"/>
        </w:rPr>
        <w:t xml:space="preserve">crédito e de financiamento para </w:t>
      </w:r>
      <w:r w:rsidR="003E570F">
        <w:rPr>
          <w:rFonts w:ascii="Times New Roman" w:eastAsia="Times New Roman" w:hAnsi="Times New Roman" w:cs="Times New Roman"/>
          <w:sz w:val="24"/>
          <w:szCs w:val="24"/>
        </w:rPr>
        <w:t xml:space="preserve">iniciativas </w:t>
      </w:r>
      <w:r w:rsidR="004C1260">
        <w:rPr>
          <w:rFonts w:ascii="Times New Roman" w:eastAsia="Times New Roman" w:hAnsi="Times New Roman" w:cs="Times New Roman"/>
          <w:sz w:val="24"/>
          <w:szCs w:val="24"/>
        </w:rPr>
        <w:t xml:space="preserve">ligadas à </w:t>
      </w:r>
      <w:r w:rsidR="008D58D3">
        <w:rPr>
          <w:rFonts w:ascii="Times New Roman" w:eastAsia="Times New Roman" w:hAnsi="Times New Roman" w:cs="Times New Roman"/>
          <w:sz w:val="24"/>
          <w:szCs w:val="24"/>
        </w:rPr>
        <w:t>Agenda 2030</w:t>
      </w:r>
      <w:r w:rsidR="00247A47">
        <w:rPr>
          <w:rFonts w:ascii="Times New Roman" w:eastAsia="Times New Roman" w:hAnsi="Times New Roman" w:cs="Times New Roman"/>
          <w:sz w:val="24"/>
          <w:szCs w:val="24"/>
        </w:rPr>
        <w:t>.</w:t>
      </w:r>
    </w:p>
    <w:p w14:paraId="60D80BCD" w14:textId="3C0E0C61" w:rsidR="00572001" w:rsidRDefault="000910AC" w:rsidP="00EE07B3">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w:t>
      </w:r>
      <w:r w:rsidR="00247A47">
        <w:rPr>
          <w:rFonts w:ascii="Times New Roman" w:eastAsia="Times New Roman" w:hAnsi="Times New Roman" w:cs="Times New Roman"/>
          <w:sz w:val="24"/>
          <w:szCs w:val="24"/>
        </w:rPr>
        <w:t xml:space="preserve"> “Relatório Anual das Nações Unidas no Brasil 2022”</w:t>
      </w:r>
      <w:r w:rsidR="00247A47">
        <w:rPr>
          <w:rStyle w:val="Refdenotaderodap"/>
          <w:rFonts w:ascii="Times New Roman" w:eastAsia="Times New Roman" w:hAnsi="Times New Roman" w:cs="Times New Roman"/>
          <w:sz w:val="24"/>
          <w:szCs w:val="24"/>
        </w:rPr>
        <w:footnoteReference w:id="15"/>
      </w:r>
      <w:r w:rsidR="00C21CDA">
        <w:rPr>
          <w:rFonts w:ascii="Times New Roman" w:eastAsia="Times New Roman" w:hAnsi="Times New Roman" w:cs="Times New Roman"/>
          <w:sz w:val="24"/>
          <w:szCs w:val="24"/>
        </w:rPr>
        <w:t xml:space="preserve">, </w:t>
      </w:r>
      <w:r w:rsidR="0062269E" w:rsidRPr="0062269E">
        <w:rPr>
          <w:rFonts w:ascii="Times New Roman" w:eastAsia="Times New Roman" w:hAnsi="Times New Roman" w:cs="Times New Roman"/>
          <w:sz w:val="24"/>
          <w:szCs w:val="24"/>
        </w:rPr>
        <w:t>o</w:t>
      </w:r>
      <w:r w:rsidR="005077A2">
        <w:rPr>
          <w:rFonts w:ascii="Times New Roman" w:eastAsia="Times New Roman" w:hAnsi="Times New Roman" w:cs="Times New Roman"/>
          <w:sz w:val="24"/>
          <w:szCs w:val="24"/>
        </w:rPr>
        <w:t xml:space="preserve"> sistema ONU</w:t>
      </w:r>
      <w:r w:rsidR="0062269E" w:rsidRPr="0062269E">
        <w:rPr>
          <w:rFonts w:ascii="Times New Roman" w:eastAsia="Times New Roman" w:hAnsi="Times New Roman" w:cs="Times New Roman"/>
          <w:sz w:val="24"/>
          <w:szCs w:val="24"/>
        </w:rPr>
        <w:t>, com suas 24 agências especializadas</w:t>
      </w:r>
      <w:r w:rsidR="00AC1952">
        <w:rPr>
          <w:rFonts w:ascii="Times New Roman" w:eastAsia="Times New Roman" w:hAnsi="Times New Roman" w:cs="Times New Roman"/>
          <w:sz w:val="24"/>
          <w:szCs w:val="24"/>
        </w:rPr>
        <w:t xml:space="preserve"> no país</w:t>
      </w:r>
      <w:r w:rsidR="0062269E" w:rsidRPr="0062269E">
        <w:rPr>
          <w:rFonts w:ascii="Times New Roman" w:eastAsia="Times New Roman" w:hAnsi="Times New Roman" w:cs="Times New Roman"/>
          <w:sz w:val="24"/>
          <w:szCs w:val="24"/>
        </w:rPr>
        <w:t xml:space="preserve">, fundos e programas, trabalhou juntamente com os três </w:t>
      </w:r>
      <w:r w:rsidR="00AC1952">
        <w:rPr>
          <w:rFonts w:ascii="Times New Roman" w:eastAsia="Times New Roman" w:hAnsi="Times New Roman" w:cs="Times New Roman"/>
          <w:sz w:val="24"/>
          <w:szCs w:val="24"/>
        </w:rPr>
        <w:t xml:space="preserve">poderes, </w:t>
      </w:r>
      <w:r w:rsidR="00CC28C9">
        <w:rPr>
          <w:rFonts w:ascii="Times New Roman" w:eastAsia="Times New Roman" w:hAnsi="Times New Roman" w:cs="Times New Roman"/>
          <w:sz w:val="24"/>
          <w:szCs w:val="24"/>
        </w:rPr>
        <w:t>em todos os</w:t>
      </w:r>
      <w:r w:rsidR="00AC1952">
        <w:rPr>
          <w:rFonts w:ascii="Times New Roman" w:eastAsia="Times New Roman" w:hAnsi="Times New Roman" w:cs="Times New Roman"/>
          <w:sz w:val="24"/>
          <w:szCs w:val="24"/>
        </w:rPr>
        <w:t xml:space="preserve"> </w:t>
      </w:r>
      <w:r w:rsidR="0062269E" w:rsidRPr="0062269E">
        <w:rPr>
          <w:rFonts w:ascii="Times New Roman" w:eastAsia="Times New Roman" w:hAnsi="Times New Roman" w:cs="Times New Roman"/>
          <w:sz w:val="24"/>
          <w:szCs w:val="24"/>
        </w:rPr>
        <w:t>níveis de governo, e dezenas de parceiros de diversos setores, implementa</w:t>
      </w:r>
      <w:r w:rsidR="00CC28C9">
        <w:rPr>
          <w:rFonts w:ascii="Times New Roman" w:eastAsia="Times New Roman" w:hAnsi="Times New Roman" w:cs="Times New Roman"/>
          <w:sz w:val="24"/>
          <w:szCs w:val="24"/>
        </w:rPr>
        <w:t>ndo</w:t>
      </w:r>
      <w:r w:rsidR="0062269E" w:rsidRPr="0062269E">
        <w:rPr>
          <w:rFonts w:ascii="Times New Roman" w:eastAsia="Times New Roman" w:hAnsi="Times New Roman" w:cs="Times New Roman"/>
          <w:sz w:val="24"/>
          <w:szCs w:val="24"/>
        </w:rPr>
        <w:t xml:space="preserve"> 273 iniciativas e projetos de cooperação</w:t>
      </w:r>
      <w:r w:rsidR="00E87970">
        <w:rPr>
          <w:rFonts w:ascii="Times New Roman" w:eastAsia="Times New Roman" w:hAnsi="Times New Roman" w:cs="Times New Roman"/>
          <w:sz w:val="24"/>
          <w:szCs w:val="24"/>
        </w:rPr>
        <w:t xml:space="preserve">, </w:t>
      </w:r>
      <w:r w:rsidR="005437D0">
        <w:rPr>
          <w:rFonts w:ascii="Times New Roman" w:eastAsia="Times New Roman" w:hAnsi="Times New Roman" w:cs="Times New Roman"/>
          <w:sz w:val="24"/>
          <w:szCs w:val="24"/>
        </w:rPr>
        <w:t>com execução de</w:t>
      </w:r>
      <w:r w:rsidR="00E87970">
        <w:rPr>
          <w:rFonts w:ascii="Times New Roman" w:eastAsia="Times New Roman" w:hAnsi="Times New Roman" w:cs="Times New Roman"/>
          <w:sz w:val="24"/>
          <w:szCs w:val="24"/>
        </w:rPr>
        <w:t xml:space="preserve"> U$ 127 milhões em 2022.</w:t>
      </w:r>
    </w:p>
    <w:p w14:paraId="482217B5" w14:textId="6A228A74" w:rsidR="00A0020D" w:rsidRDefault="00A0020D" w:rsidP="00DC3E55">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Como se vê, </w:t>
      </w:r>
      <w:r w:rsidR="006623FF">
        <w:rPr>
          <w:rFonts w:ascii="Times New Roman" w:hAnsi="Times New Roman"/>
          <w:sz w:val="24"/>
          <w:szCs w:val="24"/>
        </w:rPr>
        <w:t xml:space="preserve">é plausível </w:t>
      </w:r>
      <w:r w:rsidR="00BB54AD">
        <w:rPr>
          <w:rFonts w:ascii="Times New Roman" w:hAnsi="Times New Roman"/>
          <w:sz w:val="24"/>
          <w:szCs w:val="24"/>
        </w:rPr>
        <w:t xml:space="preserve">a possibilidade de se </w:t>
      </w:r>
      <w:r w:rsidR="002643B7">
        <w:rPr>
          <w:rFonts w:ascii="Times New Roman" w:hAnsi="Times New Roman"/>
          <w:sz w:val="24"/>
          <w:szCs w:val="24"/>
        </w:rPr>
        <w:t xml:space="preserve">aprovar fomento financeiro para iniciativas ligadas </w:t>
      </w:r>
      <w:r w:rsidR="00380656">
        <w:rPr>
          <w:rFonts w:ascii="Times New Roman" w:hAnsi="Times New Roman"/>
          <w:sz w:val="24"/>
          <w:szCs w:val="24"/>
        </w:rPr>
        <w:t>à</w:t>
      </w:r>
      <w:r w:rsidR="002643B7">
        <w:rPr>
          <w:rFonts w:ascii="Times New Roman" w:hAnsi="Times New Roman"/>
          <w:sz w:val="24"/>
          <w:szCs w:val="24"/>
        </w:rPr>
        <w:t xml:space="preserve"> consensualidade no Brasil, </w:t>
      </w:r>
      <w:r w:rsidR="008B67AC">
        <w:rPr>
          <w:rFonts w:ascii="Times New Roman" w:hAnsi="Times New Roman"/>
          <w:sz w:val="24"/>
          <w:szCs w:val="24"/>
        </w:rPr>
        <w:t xml:space="preserve">especialmente em relação aos conflitos envolvendo </w:t>
      </w:r>
      <w:r w:rsidR="00892A0E">
        <w:rPr>
          <w:rFonts w:ascii="Times New Roman" w:hAnsi="Times New Roman"/>
          <w:sz w:val="24"/>
          <w:szCs w:val="24"/>
        </w:rPr>
        <w:t>o Poder Público</w:t>
      </w:r>
      <w:r w:rsidR="008B67AC">
        <w:rPr>
          <w:rFonts w:ascii="Times New Roman" w:hAnsi="Times New Roman"/>
          <w:sz w:val="24"/>
          <w:szCs w:val="24"/>
        </w:rPr>
        <w:t>, caso em que os efeitos positivos se multiplicam</w:t>
      </w:r>
      <w:r w:rsidR="00797B2D">
        <w:rPr>
          <w:rFonts w:ascii="Times New Roman" w:hAnsi="Times New Roman"/>
          <w:sz w:val="24"/>
          <w:szCs w:val="24"/>
        </w:rPr>
        <w:t xml:space="preserve">, sendo papel da Advocacia Pública atuar na construção de projetos </w:t>
      </w:r>
      <w:r w:rsidR="00E87861">
        <w:rPr>
          <w:rFonts w:ascii="Times New Roman" w:hAnsi="Times New Roman"/>
          <w:sz w:val="24"/>
          <w:szCs w:val="24"/>
        </w:rPr>
        <w:t xml:space="preserve">exequíveis, mas ambiciosos, </w:t>
      </w:r>
      <w:r w:rsidR="00EE2643">
        <w:rPr>
          <w:rFonts w:ascii="Times New Roman" w:hAnsi="Times New Roman"/>
          <w:sz w:val="24"/>
          <w:szCs w:val="24"/>
        </w:rPr>
        <w:t xml:space="preserve">que desenvolvam </w:t>
      </w:r>
      <w:r w:rsidR="00477787">
        <w:rPr>
          <w:rFonts w:ascii="Times New Roman" w:hAnsi="Times New Roman"/>
          <w:sz w:val="24"/>
          <w:szCs w:val="24"/>
        </w:rPr>
        <w:t>estes instrumentos</w:t>
      </w:r>
      <w:r w:rsidR="00076AEE">
        <w:rPr>
          <w:rFonts w:ascii="Times New Roman" w:hAnsi="Times New Roman"/>
          <w:sz w:val="24"/>
          <w:szCs w:val="24"/>
        </w:rPr>
        <w:t>, ampliando a garantia de acesso à justiça, de forma legítima e com o máximo de eficiência.</w:t>
      </w:r>
    </w:p>
    <w:p w14:paraId="5C5CEEA4" w14:textId="4E9B32A8" w:rsidR="00F65A42" w:rsidRDefault="00F65A42" w:rsidP="00DC3E55">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No tocante</w:t>
      </w:r>
      <w:r w:rsidR="003D5FA9">
        <w:rPr>
          <w:rFonts w:ascii="Times New Roman" w:hAnsi="Times New Roman"/>
          <w:sz w:val="24"/>
          <w:szCs w:val="24"/>
        </w:rPr>
        <w:t xml:space="preserve"> à</w:t>
      </w:r>
      <w:r>
        <w:rPr>
          <w:rFonts w:ascii="Times New Roman" w:hAnsi="Times New Roman"/>
          <w:sz w:val="24"/>
          <w:szCs w:val="24"/>
        </w:rPr>
        <w:t xml:space="preserve"> instrumentalização destes ambientes </w:t>
      </w:r>
      <w:r w:rsidR="003D5FA9">
        <w:rPr>
          <w:rFonts w:ascii="Times New Roman" w:hAnsi="Times New Roman"/>
          <w:sz w:val="24"/>
          <w:szCs w:val="24"/>
        </w:rPr>
        <w:t>de consensualidade</w:t>
      </w:r>
      <w:r>
        <w:rPr>
          <w:rFonts w:ascii="Times New Roman" w:hAnsi="Times New Roman"/>
          <w:sz w:val="24"/>
          <w:szCs w:val="24"/>
        </w:rPr>
        <w:t>,</w:t>
      </w:r>
      <w:r w:rsidR="00C06B2A">
        <w:rPr>
          <w:rFonts w:ascii="Times New Roman" w:hAnsi="Times New Roman"/>
          <w:sz w:val="24"/>
          <w:szCs w:val="24"/>
        </w:rPr>
        <w:t xml:space="preserve"> </w:t>
      </w:r>
      <w:r w:rsidR="003D5FA9">
        <w:rPr>
          <w:rFonts w:ascii="Times New Roman" w:hAnsi="Times New Roman"/>
          <w:sz w:val="24"/>
          <w:szCs w:val="24"/>
        </w:rPr>
        <w:t xml:space="preserve">por exemplo, </w:t>
      </w:r>
      <w:r>
        <w:rPr>
          <w:rFonts w:ascii="Times New Roman" w:hAnsi="Times New Roman"/>
          <w:sz w:val="24"/>
          <w:szCs w:val="24"/>
        </w:rPr>
        <w:t xml:space="preserve">considerando </w:t>
      </w:r>
      <w:r w:rsidRPr="00227F27">
        <w:rPr>
          <w:rFonts w:ascii="Times New Roman" w:hAnsi="Times New Roman"/>
          <w:sz w:val="24"/>
          <w:szCs w:val="24"/>
        </w:rPr>
        <w:t xml:space="preserve">o </w:t>
      </w:r>
      <w:r>
        <w:rPr>
          <w:rFonts w:ascii="Times New Roman" w:hAnsi="Times New Roman"/>
          <w:sz w:val="24"/>
          <w:szCs w:val="24"/>
        </w:rPr>
        <w:t xml:space="preserve">estado tecnológico atual, é de se ambicionar o desenvolvimento de </w:t>
      </w:r>
      <w:r>
        <w:rPr>
          <w:rFonts w:ascii="Times New Roman" w:hAnsi="Times New Roman"/>
          <w:i/>
          <w:iCs/>
          <w:sz w:val="24"/>
          <w:szCs w:val="24"/>
        </w:rPr>
        <w:t xml:space="preserve">plataformas online de resolução de conflitos, </w:t>
      </w:r>
      <w:r>
        <w:rPr>
          <w:rFonts w:ascii="Times New Roman" w:hAnsi="Times New Roman"/>
          <w:sz w:val="24"/>
          <w:szCs w:val="24"/>
        </w:rPr>
        <w:t xml:space="preserve">as chamadas </w:t>
      </w:r>
      <w:r w:rsidRPr="00227F27">
        <w:rPr>
          <w:rFonts w:ascii="Times New Roman" w:hAnsi="Times New Roman"/>
          <w:sz w:val="24"/>
          <w:szCs w:val="24"/>
        </w:rPr>
        <w:t xml:space="preserve">ODRs (online disputes resolutions), que </w:t>
      </w:r>
      <w:r>
        <w:rPr>
          <w:rFonts w:ascii="Times New Roman" w:hAnsi="Times New Roman"/>
          <w:sz w:val="24"/>
          <w:szCs w:val="24"/>
        </w:rPr>
        <w:t>representam</w:t>
      </w:r>
      <w:r w:rsidRPr="00227F27">
        <w:rPr>
          <w:rFonts w:ascii="Times New Roman" w:hAnsi="Times New Roman"/>
          <w:sz w:val="24"/>
          <w:szCs w:val="24"/>
        </w:rPr>
        <w:t xml:space="preserve"> “o uso da tecnologia para apoiar a resolução de conflitos em ambiente virtual.”</w:t>
      </w:r>
      <w:r w:rsidRPr="00227F27">
        <w:rPr>
          <w:rFonts w:ascii="Times New Roman" w:hAnsi="Times New Roman"/>
          <w:sz w:val="24"/>
          <w:szCs w:val="24"/>
          <w:vertAlign w:val="superscript"/>
        </w:rPr>
        <w:footnoteReference w:id="16"/>
      </w:r>
      <w:r w:rsidR="00DC3E55">
        <w:rPr>
          <w:rFonts w:ascii="Times New Roman" w:hAnsi="Times New Roman"/>
          <w:sz w:val="24"/>
          <w:szCs w:val="24"/>
        </w:rPr>
        <w:t xml:space="preserve">. </w:t>
      </w:r>
      <w:r w:rsidR="00D0264E">
        <w:rPr>
          <w:rFonts w:ascii="Times New Roman" w:hAnsi="Times New Roman"/>
          <w:sz w:val="24"/>
          <w:szCs w:val="24"/>
        </w:rPr>
        <w:t>N</w:t>
      </w:r>
      <w:r w:rsidRPr="00DC1E57">
        <w:rPr>
          <w:rFonts w:ascii="Times New Roman" w:hAnsi="Times New Roman"/>
          <w:sz w:val="24"/>
          <w:szCs w:val="24"/>
        </w:rPr>
        <w:t xml:space="preserve">o site da “Associação Brasileira de </w:t>
      </w:r>
      <w:r w:rsidRPr="00DC1E57">
        <w:rPr>
          <w:rFonts w:ascii="Times New Roman" w:hAnsi="Times New Roman"/>
          <w:i/>
          <w:iCs/>
          <w:sz w:val="24"/>
          <w:szCs w:val="24"/>
        </w:rPr>
        <w:t xml:space="preserve">Lawtechs </w:t>
      </w:r>
      <w:r w:rsidRPr="00DC1E57">
        <w:rPr>
          <w:rFonts w:ascii="Times New Roman" w:hAnsi="Times New Roman"/>
          <w:sz w:val="24"/>
          <w:szCs w:val="24"/>
        </w:rPr>
        <w:t xml:space="preserve">e </w:t>
      </w:r>
      <w:r w:rsidRPr="00DC1E57">
        <w:rPr>
          <w:rFonts w:ascii="Times New Roman" w:hAnsi="Times New Roman"/>
          <w:i/>
          <w:iCs/>
          <w:sz w:val="24"/>
          <w:szCs w:val="24"/>
        </w:rPr>
        <w:t>Legaltechs”</w:t>
      </w:r>
      <w:r w:rsidRPr="00DC1E57">
        <w:rPr>
          <w:rFonts w:ascii="Times New Roman" w:hAnsi="Times New Roman"/>
          <w:sz w:val="24"/>
          <w:szCs w:val="24"/>
        </w:rPr>
        <w:t xml:space="preserve">, é possível identificar, atualmente, ao menos 17 (dezessete) </w:t>
      </w:r>
      <w:r w:rsidRPr="00DC1E57">
        <w:rPr>
          <w:rFonts w:ascii="Times New Roman" w:hAnsi="Times New Roman"/>
          <w:i/>
          <w:iCs/>
          <w:sz w:val="24"/>
          <w:szCs w:val="24"/>
        </w:rPr>
        <w:t>startups</w:t>
      </w:r>
      <w:r w:rsidRPr="00DC1E57">
        <w:rPr>
          <w:rFonts w:ascii="Times New Roman" w:hAnsi="Times New Roman"/>
          <w:sz w:val="24"/>
          <w:szCs w:val="24"/>
        </w:rPr>
        <w:t xml:space="preserve"> na categoria “resolução de conflitos </w:t>
      </w:r>
      <w:r w:rsidRPr="00DC1E57">
        <w:rPr>
          <w:rFonts w:ascii="Times New Roman" w:hAnsi="Times New Roman"/>
          <w:i/>
          <w:iCs/>
          <w:sz w:val="24"/>
          <w:szCs w:val="24"/>
        </w:rPr>
        <w:t>online</w:t>
      </w:r>
      <w:r w:rsidRPr="00DC1E57">
        <w:rPr>
          <w:rFonts w:ascii="Times New Roman" w:hAnsi="Times New Roman"/>
          <w:sz w:val="24"/>
          <w:szCs w:val="24"/>
        </w:rPr>
        <w:t>”.</w:t>
      </w:r>
      <w:r w:rsidRPr="00DC1E57">
        <w:rPr>
          <w:rFonts w:ascii="Times New Roman" w:hAnsi="Times New Roman"/>
          <w:sz w:val="24"/>
          <w:szCs w:val="24"/>
          <w:vertAlign w:val="superscript"/>
        </w:rPr>
        <w:footnoteReference w:id="17"/>
      </w:r>
    </w:p>
    <w:p w14:paraId="743BFDCA" w14:textId="4DA40167" w:rsidR="00F65A42" w:rsidRDefault="001B6F64" w:rsidP="00F65A42">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Ocorre que</w:t>
      </w:r>
      <w:r w:rsidR="00F65A42">
        <w:rPr>
          <w:rFonts w:ascii="Times New Roman" w:hAnsi="Times New Roman"/>
          <w:sz w:val="24"/>
          <w:szCs w:val="24"/>
        </w:rPr>
        <w:t xml:space="preserve">, </w:t>
      </w:r>
      <w:r w:rsidR="00F65A42" w:rsidRPr="0077392E">
        <w:rPr>
          <w:rFonts w:ascii="Times New Roman" w:hAnsi="Times New Roman"/>
          <w:sz w:val="24"/>
          <w:szCs w:val="24"/>
        </w:rPr>
        <w:t>mais do que um instrumento virtual de facilitação da aplicação dos meios adequados de resolução de conflitos, as ODRs podem ser tratadas e desenvolvidas como método consensual autônomo, desde que turbinadas com inovações tecnológicas de automação</w:t>
      </w:r>
      <w:r w:rsidR="00F65A42">
        <w:rPr>
          <w:rFonts w:ascii="Times New Roman" w:hAnsi="Times New Roman"/>
          <w:sz w:val="24"/>
          <w:szCs w:val="24"/>
        </w:rPr>
        <w:t xml:space="preserve">, inteligência artificial </w:t>
      </w:r>
      <w:r w:rsidR="00C27DF8">
        <w:rPr>
          <w:rFonts w:ascii="Times New Roman" w:hAnsi="Times New Roman"/>
          <w:sz w:val="24"/>
          <w:szCs w:val="24"/>
        </w:rPr>
        <w:t xml:space="preserve">(IA) </w:t>
      </w:r>
      <w:r w:rsidR="00F65A42">
        <w:rPr>
          <w:rFonts w:ascii="Times New Roman" w:hAnsi="Times New Roman"/>
          <w:sz w:val="24"/>
          <w:szCs w:val="24"/>
        </w:rPr>
        <w:t>e</w:t>
      </w:r>
      <w:r w:rsidR="00F65A42" w:rsidRPr="0077392E">
        <w:rPr>
          <w:rFonts w:ascii="Times New Roman" w:hAnsi="Times New Roman"/>
          <w:sz w:val="24"/>
          <w:szCs w:val="24"/>
        </w:rPr>
        <w:t xml:space="preserve"> de gestão eficiente de dados e informaç</w:t>
      </w:r>
      <w:r w:rsidR="00F65A42">
        <w:rPr>
          <w:rFonts w:ascii="Times New Roman" w:hAnsi="Times New Roman"/>
          <w:sz w:val="24"/>
          <w:szCs w:val="24"/>
        </w:rPr>
        <w:t>ões</w:t>
      </w:r>
      <w:r w:rsidR="00F65A42" w:rsidRPr="0077392E">
        <w:rPr>
          <w:rFonts w:ascii="Times New Roman" w:hAnsi="Times New Roman"/>
          <w:sz w:val="24"/>
          <w:szCs w:val="24"/>
          <w:vertAlign w:val="superscript"/>
        </w:rPr>
        <w:footnoteReference w:id="18"/>
      </w:r>
      <w:r w:rsidR="00F65A42" w:rsidRPr="0077392E">
        <w:rPr>
          <w:rFonts w:ascii="Times New Roman" w:hAnsi="Times New Roman"/>
          <w:sz w:val="24"/>
          <w:szCs w:val="24"/>
        </w:rPr>
        <w:t>.</w:t>
      </w:r>
    </w:p>
    <w:p w14:paraId="3C842405" w14:textId="77777777" w:rsidR="00F65A42" w:rsidRPr="00256BF6" w:rsidRDefault="00F65A42" w:rsidP="00F65A42">
      <w:pPr>
        <w:spacing w:before="120" w:after="120" w:line="360" w:lineRule="auto"/>
        <w:ind w:right="-2" w:firstLine="851"/>
        <w:jc w:val="both"/>
        <w:rPr>
          <w:rFonts w:ascii="Times New Roman" w:eastAsia="Calibri" w:hAnsi="Times New Roman" w:cs="Times New Roman"/>
          <w:sz w:val="24"/>
          <w:szCs w:val="24"/>
        </w:rPr>
      </w:pPr>
      <w:r w:rsidRPr="00256BF6">
        <w:rPr>
          <w:rFonts w:ascii="Times New Roman" w:eastAsia="Calibri" w:hAnsi="Times New Roman" w:cs="Times New Roman"/>
          <w:sz w:val="24"/>
          <w:szCs w:val="24"/>
        </w:rPr>
        <w:t>Nesta perspectiva, destaca Roberto de Aragão Ribeiro Rodrigues</w:t>
      </w:r>
      <w:r>
        <w:rPr>
          <w:rFonts w:ascii="Times New Roman" w:eastAsia="Calibri" w:hAnsi="Times New Roman" w:cs="Times New Roman"/>
          <w:sz w:val="24"/>
          <w:szCs w:val="24"/>
        </w:rPr>
        <w:t>:</w:t>
      </w:r>
    </w:p>
    <w:p w14:paraId="3466B48D" w14:textId="77777777" w:rsidR="00F65A42" w:rsidRPr="001F3962" w:rsidRDefault="00F65A42" w:rsidP="009B46FE">
      <w:pPr>
        <w:spacing w:before="120" w:after="120" w:line="240" w:lineRule="auto"/>
        <w:ind w:left="2268"/>
        <w:jc w:val="both"/>
        <w:rPr>
          <w:rFonts w:ascii="Times New Roman" w:eastAsia="Calibri" w:hAnsi="Times New Roman" w:cs="Times New Roman"/>
          <w:sz w:val="20"/>
          <w:szCs w:val="20"/>
        </w:rPr>
      </w:pPr>
      <w:r w:rsidRPr="00256BF6">
        <w:rPr>
          <w:rFonts w:ascii="Times New Roman" w:eastAsia="Calibri" w:hAnsi="Times New Roman" w:cs="Times New Roman"/>
          <w:sz w:val="20"/>
          <w:szCs w:val="20"/>
        </w:rPr>
        <w:t xml:space="preserve">A potencialidade máxima das ODRs no âmbito da Advocacia Pública seria alcançada com a elaboração de um desenho institucional que agregue às tradicionais ferramentas autocompositivas o uso da tecnologia, preferencialmente com emprego de inteligência artificial, possibilitando a criação, dentro da estrutura da Advocacia-Geral da União e demais Procuradorias Estaduais e Municipais, de um ambiente de rápido fluxo de informações, com </w:t>
      </w:r>
      <w:r w:rsidRPr="00256BF6">
        <w:rPr>
          <w:rFonts w:ascii="Times New Roman" w:eastAsia="Calibri" w:hAnsi="Times New Roman" w:cs="Times New Roman"/>
          <w:sz w:val="20"/>
          <w:szCs w:val="20"/>
        </w:rPr>
        <w:lastRenderedPageBreak/>
        <w:t>a geração de propostas automatizadas de acordos aos particulares a partir de parâmetros previamente definidos, sem a necessidade de submissão de tais controvérsias do Poder Judiciário, com base no permissivo contido no art. 32, §3º, da Lei de Mediação</w:t>
      </w:r>
      <w:r w:rsidRPr="00256BF6">
        <w:rPr>
          <w:rFonts w:ascii="Times New Roman" w:eastAsia="Calibri" w:hAnsi="Times New Roman" w:cs="Times New Roman"/>
          <w:sz w:val="20"/>
          <w:szCs w:val="20"/>
          <w:vertAlign w:val="superscript"/>
        </w:rPr>
        <w:footnoteReference w:id="19"/>
      </w:r>
      <w:r w:rsidRPr="00256BF6">
        <w:rPr>
          <w:rFonts w:ascii="Times New Roman" w:eastAsia="Calibri" w:hAnsi="Times New Roman" w:cs="Times New Roman"/>
          <w:sz w:val="20"/>
          <w:szCs w:val="20"/>
        </w:rPr>
        <w:t>.</w:t>
      </w:r>
    </w:p>
    <w:p w14:paraId="63294BCE" w14:textId="0C20F7C1" w:rsidR="00F65A42" w:rsidRDefault="00A45BC2" w:rsidP="00F65A42">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À este respeito</w:t>
      </w:r>
      <w:r w:rsidR="00F65A42">
        <w:rPr>
          <w:rFonts w:ascii="Times New Roman" w:hAnsi="Times New Roman"/>
          <w:sz w:val="24"/>
          <w:szCs w:val="24"/>
        </w:rPr>
        <w:t xml:space="preserve">, </w:t>
      </w:r>
      <w:r>
        <w:rPr>
          <w:rFonts w:ascii="Times New Roman" w:hAnsi="Times New Roman"/>
          <w:sz w:val="24"/>
          <w:szCs w:val="24"/>
        </w:rPr>
        <w:t>ressaltamos</w:t>
      </w:r>
      <w:r w:rsidR="00F65A42">
        <w:rPr>
          <w:rFonts w:ascii="Times New Roman" w:hAnsi="Times New Roman"/>
          <w:sz w:val="24"/>
          <w:szCs w:val="24"/>
        </w:rPr>
        <w:t xml:space="preserve"> que, em pesquisa realizada em 2022 no âmbito do Programa Justiça 4.0, também desenvolvida pelo CNJ, com apoio do PNUD</w:t>
      </w:r>
      <w:r w:rsidR="00992E03">
        <w:rPr>
          <w:rFonts w:ascii="Times New Roman" w:hAnsi="Times New Roman"/>
          <w:sz w:val="24"/>
          <w:szCs w:val="24"/>
        </w:rPr>
        <w:t xml:space="preserve">, </w:t>
      </w:r>
      <w:r w:rsidR="00F65A42">
        <w:rPr>
          <w:rFonts w:ascii="Times New Roman" w:hAnsi="Times New Roman"/>
          <w:sz w:val="24"/>
          <w:szCs w:val="24"/>
        </w:rPr>
        <w:t>identificou-se 111 projetos de inteligência artificial, somente no Poder Judiciário</w:t>
      </w:r>
      <w:r w:rsidR="00F65A42">
        <w:rPr>
          <w:rStyle w:val="Refdenotaderodap"/>
          <w:rFonts w:ascii="Times New Roman" w:hAnsi="Times New Roman"/>
          <w:sz w:val="24"/>
          <w:szCs w:val="24"/>
        </w:rPr>
        <w:footnoteReference w:id="20"/>
      </w:r>
      <w:r w:rsidR="00F65A42">
        <w:rPr>
          <w:rFonts w:ascii="Times New Roman" w:hAnsi="Times New Roman"/>
          <w:sz w:val="24"/>
          <w:szCs w:val="24"/>
        </w:rPr>
        <w:t xml:space="preserve">. </w:t>
      </w:r>
    </w:p>
    <w:p w14:paraId="17339729" w14:textId="4FD8ECCD" w:rsidR="00F65A42" w:rsidRPr="00F65A42" w:rsidRDefault="0055048E" w:rsidP="00B0442A">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O</w:t>
      </w:r>
      <w:r w:rsidR="00F65A42">
        <w:rPr>
          <w:rFonts w:ascii="Times New Roman" w:hAnsi="Times New Roman"/>
          <w:sz w:val="24"/>
          <w:szCs w:val="24"/>
        </w:rPr>
        <w:t xml:space="preserve"> envolvimento do PNUD e a</w:t>
      </w:r>
      <w:r>
        <w:rPr>
          <w:rFonts w:ascii="Times New Roman" w:hAnsi="Times New Roman"/>
          <w:sz w:val="24"/>
          <w:szCs w:val="24"/>
        </w:rPr>
        <w:t xml:space="preserve"> demonstrada</w:t>
      </w:r>
      <w:r w:rsidR="00F65A42">
        <w:rPr>
          <w:rFonts w:ascii="Times New Roman" w:hAnsi="Times New Roman"/>
          <w:sz w:val="24"/>
          <w:szCs w:val="24"/>
        </w:rPr>
        <w:t xml:space="preserve"> aderência com o ODS 16, favorece o desenvolvimento de projetos</w:t>
      </w:r>
      <w:r w:rsidR="00E623DF">
        <w:rPr>
          <w:rFonts w:ascii="Times New Roman" w:hAnsi="Times New Roman"/>
          <w:sz w:val="24"/>
          <w:szCs w:val="24"/>
        </w:rPr>
        <w:t xml:space="preserve"> </w:t>
      </w:r>
      <w:r>
        <w:rPr>
          <w:rFonts w:ascii="Times New Roman" w:hAnsi="Times New Roman"/>
          <w:sz w:val="24"/>
          <w:szCs w:val="24"/>
        </w:rPr>
        <w:t>n</w:t>
      </w:r>
      <w:r w:rsidR="0071440A">
        <w:rPr>
          <w:rFonts w:ascii="Times New Roman" w:hAnsi="Times New Roman"/>
          <w:sz w:val="24"/>
          <w:szCs w:val="24"/>
        </w:rPr>
        <w:t>est</w:t>
      </w:r>
      <w:r>
        <w:rPr>
          <w:rFonts w:ascii="Times New Roman" w:hAnsi="Times New Roman"/>
          <w:sz w:val="24"/>
          <w:szCs w:val="24"/>
        </w:rPr>
        <w:t>a área d</w:t>
      </w:r>
      <w:r w:rsidR="00844132">
        <w:rPr>
          <w:rFonts w:ascii="Times New Roman" w:hAnsi="Times New Roman"/>
          <w:sz w:val="24"/>
          <w:szCs w:val="24"/>
        </w:rPr>
        <w:t>a</w:t>
      </w:r>
      <w:r>
        <w:rPr>
          <w:rFonts w:ascii="Times New Roman" w:hAnsi="Times New Roman"/>
          <w:sz w:val="24"/>
          <w:szCs w:val="24"/>
        </w:rPr>
        <w:t xml:space="preserve"> transformação digital</w:t>
      </w:r>
      <w:r w:rsidR="00F65A42">
        <w:rPr>
          <w:rFonts w:ascii="Times New Roman" w:hAnsi="Times New Roman"/>
          <w:sz w:val="24"/>
          <w:szCs w:val="24"/>
        </w:rPr>
        <w:t>, a serem capitaneados pelas Procuradorias</w:t>
      </w:r>
      <w:r w:rsidR="009F7039">
        <w:rPr>
          <w:rStyle w:val="Refdenotaderodap"/>
          <w:rFonts w:ascii="Times New Roman" w:hAnsi="Times New Roman"/>
          <w:sz w:val="24"/>
          <w:szCs w:val="24"/>
        </w:rPr>
        <w:footnoteReference w:id="21"/>
      </w:r>
      <w:r w:rsidR="00F65A42">
        <w:rPr>
          <w:rFonts w:ascii="Times New Roman" w:hAnsi="Times New Roman"/>
          <w:sz w:val="24"/>
          <w:szCs w:val="24"/>
        </w:rPr>
        <w:t xml:space="preserve">, </w:t>
      </w:r>
      <w:r w:rsidR="00844132">
        <w:rPr>
          <w:rFonts w:ascii="Times New Roman" w:hAnsi="Times New Roman"/>
          <w:sz w:val="24"/>
          <w:szCs w:val="24"/>
        </w:rPr>
        <w:t>para a</w:t>
      </w:r>
      <w:r w:rsidR="00F65A42">
        <w:rPr>
          <w:rFonts w:ascii="Times New Roman" w:hAnsi="Times New Roman"/>
          <w:sz w:val="24"/>
          <w:szCs w:val="24"/>
        </w:rPr>
        <w:t xml:space="preserve"> criação de Câmaras de Autocomposição já instrumentalizadas com plataformas digitais de resolução de conflitos, equipadas com soluções de </w:t>
      </w:r>
      <w:r w:rsidR="00844132">
        <w:rPr>
          <w:rFonts w:ascii="Times New Roman" w:hAnsi="Times New Roman"/>
          <w:sz w:val="24"/>
          <w:szCs w:val="24"/>
        </w:rPr>
        <w:t>IA</w:t>
      </w:r>
      <w:r w:rsidR="00F65A42">
        <w:rPr>
          <w:rFonts w:ascii="Times New Roman" w:hAnsi="Times New Roman"/>
          <w:sz w:val="24"/>
          <w:szCs w:val="24"/>
        </w:rPr>
        <w:t>.</w:t>
      </w:r>
      <w:r w:rsidR="00B0442A">
        <w:rPr>
          <w:rFonts w:ascii="Times New Roman" w:hAnsi="Times New Roman"/>
          <w:sz w:val="24"/>
          <w:szCs w:val="24"/>
        </w:rPr>
        <w:t xml:space="preserve"> </w:t>
      </w:r>
      <w:r w:rsidR="00C27DF8">
        <w:rPr>
          <w:rFonts w:ascii="Times New Roman" w:hAnsi="Times New Roman"/>
          <w:sz w:val="24"/>
          <w:szCs w:val="24"/>
        </w:rPr>
        <w:t xml:space="preserve">Como dito, tais </w:t>
      </w:r>
      <w:r w:rsidR="00925EA6">
        <w:rPr>
          <w:rFonts w:ascii="Times New Roman" w:hAnsi="Times New Roman"/>
          <w:sz w:val="24"/>
          <w:szCs w:val="24"/>
        </w:rPr>
        <w:t>iniciativas</w:t>
      </w:r>
      <w:r w:rsidR="00C27DF8">
        <w:rPr>
          <w:rFonts w:ascii="Times New Roman" w:hAnsi="Times New Roman"/>
          <w:sz w:val="24"/>
          <w:szCs w:val="24"/>
        </w:rPr>
        <w:t xml:space="preserve"> </w:t>
      </w:r>
      <w:r w:rsidR="00925EA6">
        <w:rPr>
          <w:rFonts w:ascii="Times New Roman" w:hAnsi="Times New Roman"/>
          <w:sz w:val="24"/>
          <w:szCs w:val="24"/>
        </w:rPr>
        <w:t>podem ser contemplados</w:t>
      </w:r>
      <w:r w:rsidR="00F65A42">
        <w:rPr>
          <w:rFonts w:ascii="Times New Roman" w:hAnsi="Times New Roman"/>
          <w:sz w:val="24"/>
          <w:szCs w:val="24"/>
        </w:rPr>
        <w:t xml:space="preserve"> por linhas de crédito e de financiamento diferenciadas para projetos do setor público, acessíveis pelos bancos de financiamento, agências de fomento, fundos internacionais ou programas de cooperação.</w:t>
      </w:r>
    </w:p>
    <w:p w14:paraId="49660849" w14:textId="21866F20" w:rsidR="00940637" w:rsidRDefault="000462F0" w:rsidP="004F2BC6">
      <w:pPr>
        <w:spacing w:before="120"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Resta claro, portanto, </w:t>
      </w:r>
      <w:r w:rsidR="00D5356F">
        <w:rPr>
          <w:rFonts w:ascii="Times New Roman" w:eastAsia="Times New Roman" w:hAnsi="Times New Roman" w:cs="Times New Roman"/>
          <w:sz w:val="24"/>
          <w:szCs w:val="24"/>
        </w:rPr>
        <w:t xml:space="preserve">que o desenvolvimento e </w:t>
      </w:r>
      <w:r w:rsidR="00103CA4">
        <w:rPr>
          <w:rFonts w:ascii="Times New Roman" w:eastAsia="Times New Roman" w:hAnsi="Times New Roman" w:cs="Times New Roman"/>
          <w:sz w:val="24"/>
          <w:szCs w:val="24"/>
        </w:rPr>
        <w:t xml:space="preserve">a </w:t>
      </w:r>
      <w:r w:rsidR="00D5356F">
        <w:rPr>
          <w:rFonts w:ascii="Times New Roman" w:eastAsia="Times New Roman" w:hAnsi="Times New Roman" w:cs="Times New Roman"/>
          <w:sz w:val="24"/>
          <w:szCs w:val="24"/>
        </w:rPr>
        <w:t xml:space="preserve">consolidação </w:t>
      </w:r>
      <w:r w:rsidR="00B64F2C">
        <w:rPr>
          <w:rFonts w:ascii="Times New Roman" w:eastAsia="Times New Roman" w:hAnsi="Times New Roman" w:cs="Times New Roman"/>
          <w:sz w:val="24"/>
          <w:szCs w:val="24"/>
        </w:rPr>
        <w:t xml:space="preserve">da cultura de prevenção e resolução adequada de litígios, por meio </w:t>
      </w:r>
      <w:r w:rsidR="006A70D8">
        <w:rPr>
          <w:rFonts w:ascii="Times New Roman" w:eastAsia="Times New Roman" w:hAnsi="Times New Roman" w:cs="Times New Roman"/>
          <w:sz w:val="24"/>
          <w:szCs w:val="24"/>
        </w:rPr>
        <w:t xml:space="preserve">do sistema multiportas </w:t>
      </w:r>
      <w:r w:rsidR="00850D12">
        <w:rPr>
          <w:rFonts w:ascii="Times New Roman" w:eastAsia="Times New Roman" w:hAnsi="Times New Roman" w:cs="Times New Roman"/>
          <w:sz w:val="24"/>
          <w:szCs w:val="24"/>
        </w:rPr>
        <w:t xml:space="preserve">na Administração Pública, têm </w:t>
      </w:r>
      <w:r w:rsidR="0013542B">
        <w:rPr>
          <w:rFonts w:ascii="Times New Roman" w:eastAsia="Times New Roman" w:hAnsi="Times New Roman" w:cs="Times New Roman"/>
          <w:sz w:val="24"/>
          <w:szCs w:val="24"/>
        </w:rPr>
        <w:t xml:space="preserve">total </w:t>
      </w:r>
      <w:r w:rsidR="00850D12">
        <w:rPr>
          <w:rFonts w:ascii="Times New Roman" w:eastAsia="Times New Roman" w:hAnsi="Times New Roman" w:cs="Times New Roman"/>
          <w:sz w:val="24"/>
          <w:szCs w:val="24"/>
        </w:rPr>
        <w:t>aderência</w:t>
      </w:r>
      <w:r w:rsidR="0013542B">
        <w:rPr>
          <w:rFonts w:ascii="Times New Roman" w:eastAsia="Times New Roman" w:hAnsi="Times New Roman" w:cs="Times New Roman"/>
          <w:sz w:val="24"/>
          <w:szCs w:val="24"/>
        </w:rPr>
        <w:t xml:space="preserve"> com a Agenda 2030, sobretudo com </w:t>
      </w:r>
      <w:r w:rsidR="005A7484">
        <w:rPr>
          <w:rFonts w:ascii="Times New Roman" w:eastAsia="Times New Roman" w:hAnsi="Times New Roman" w:cs="Times New Roman"/>
          <w:sz w:val="24"/>
          <w:szCs w:val="24"/>
        </w:rPr>
        <w:t xml:space="preserve">o </w:t>
      </w:r>
      <w:r w:rsidR="0013542B">
        <w:rPr>
          <w:rFonts w:ascii="Times New Roman" w:eastAsia="Times New Roman" w:hAnsi="Times New Roman" w:cs="Times New Roman"/>
          <w:sz w:val="24"/>
          <w:szCs w:val="24"/>
        </w:rPr>
        <w:t xml:space="preserve">ODS 16, </w:t>
      </w:r>
      <w:r w:rsidR="00A52918">
        <w:rPr>
          <w:rFonts w:ascii="Times New Roman" w:eastAsia="Times New Roman" w:hAnsi="Times New Roman" w:cs="Times New Roman"/>
          <w:sz w:val="24"/>
          <w:szCs w:val="24"/>
        </w:rPr>
        <w:t xml:space="preserve">o que pode viabilizar maior apoio institucional e político a projetos </w:t>
      </w:r>
      <w:r w:rsidR="005A7484">
        <w:rPr>
          <w:rFonts w:ascii="Times New Roman" w:eastAsia="Times New Roman" w:hAnsi="Times New Roman" w:cs="Times New Roman"/>
          <w:sz w:val="24"/>
          <w:szCs w:val="24"/>
        </w:rPr>
        <w:t>público</w:t>
      </w:r>
      <w:r w:rsidR="00B0442A">
        <w:rPr>
          <w:rFonts w:ascii="Times New Roman" w:eastAsia="Times New Roman" w:hAnsi="Times New Roman" w:cs="Times New Roman"/>
          <w:sz w:val="24"/>
          <w:szCs w:val="24"/>
        </w:rPr>
        <w:t>s</w:t>
      </w:r>
      <w:r w:rsidR="005A7484">
        <w:rPr>
          <w:rFonts w:ascii="Times New Roman" w:eastAsia="Times New Roman" w:hAnsi="Times New Roman" w:cs="Times New Roman"/>
          <w:sz w:val="24"/>
          <w:szCs w:val="24"/>
        </w:rPr>
        <w:t xml:space="preserve"> nesta seara, inclusive </w:t>
      </w:r>
      <w:r w:rsidR="00213AA9">
        <w:rPr>
          <w:rFonts w:ascii="Times New Roman" w:eastAsia="Times New Roman" w:hAnsi="Times New Roman" w:cs="Times New Roman"/>
          <w:sz w:val="24"/>
          <w:szCs w:val="24"/>
        </w:rPr>
        <w:t xml:space="preserve">com a perspectiva de se buscar </w:t>
      </w:r>
      <w:r w:rsidR="00B0442A">
        <w:rPr>
          <w:rFonts w:ascii="Times New Roman" w:eastAsia="Times New Roman" w:hAnsi="Times New Roman" w:cs="Times New Roman"/>
          <w:sz w:val="24"/>
          <w:szCs w:val="24"/>
        </w:rPr>
        <w:t xml:space="preserve">incentivo financeiro </w:t>
      </w:r>
      <w:r w:rsidR="00DE766E">
        <w:rPr>
          <w:rFonts w:ascii="Times New Roman" w:eastAsia="Times New Roman" w:hAnsi="Times New Roman" w:cs="Times New Roman"/>
          <w:sz w:val="24"/>
          <w:szCs w:val="24"/>
        </w:rPr>
        <w:t>para a sua efetiva estruturação.</w:t>
      </w:r>
    </w:p>
    <w:p w14:paraId="3C72F323" w14:textId="60585AA0" w:rsidR="005B17D5" w:rsidRPr="006D62E6" w:rsidRDefault="005B17D5" w:rsidP="00D67A30">
      <w:pPr>
        <w:spacing w:before="120" w:after="120" w:line="360" w:lineRule="auto"/>
        <w:ind w:firstLine="851"/>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Dado o grande</w:t>
      </w:r>
      <w:r w:rsidR="00E74368">
        <w:rPr>
          <w:rFonts w:ascii="Times New Roman" w:eastAsia="Times New Roman" w:hAnsi="Times New Roman" w:cs="Times New Roman"/>
          <w:sz w:val="24"/>
          <w:szCs w:val="24"/>
        </w:rPr>
        <w:t xml:space="preserve"> leque de possibilidades </w:t>
      </w:r>
      <w:r w:rsidR="00257E24">
        <w:rPr>
          <w:rFonts w:ascii="Times New Roman" w:eastAsia="Times New Roman" w:hAnsi="Times New Roman" w:cs="Times New Roman"/>
          <w:sz w:val="24"/>
          <w:szCs w:val="24"/>
        </w:rPr>
        <w:t>de implementação d</w:t>
      </w:r>
      <w:r w:rsidR="00FD6151">
        <w:rPr>
          <w:rFonts w:ascii="Times New Roman" w:eastAsia="Times New Roman" w:hAnsi="Times New Roman" w:cs="Times New Roman"/>
          <w:sz w:val="24"/>
          <w:szCs w:val="24"/>
        </w:rPr>
        <w:t>os meios adequados de resolução de litígios</w:t>
      </w:r>
      <w:r w:rsidR="005E4FB6">
        <w:rPr>
          <w:rFonts w:ascii="Times New Roman" w:eastAsia="Times New Roman" w:hAnsi="Times New Roman" w:cs="Times New Roman"/>
          <w:sz w:val="24"/>
          <w:szCs w:val="24"/>
        </w:rPr>
        <w:t xml:space="preserve"> </w:t>
      </w:r>
      <w:r w:rsidR="00FD6151">
        <w:rPr>
          <w:rFonts w:ascii="Times New Roman" w:eastAsia="Times New Roman" w:hAnsi="Times New Roman" w:cs="Times New Roman"/>
          <w:sz w:val="24"/>
          <w:szCs w:val="24"/>
        </w:rPr>
        <w:t>envolvendo a Administração Pública</w:t>
      </w:r>
      <w:r w:rsidR="00257E24">
        <w:rPr>
          <w:rFonts w:ascii="Times New Roman" w:eastAsia="Times New Roman" w:hAnsi="Times New Roman" w:cs="Times New Roman"/>
          <w:sz w:val="24"/>
          <w:szCs w:val="24"/>
        </w:rPr>
        <w:t xml:space="preserve">, </w:t>
      </w:r>
      <w:r w:rsidR="00305817">
        <w:rPr>
          <w:rFonts w:ascii="Times New Roman" w:eastAsia="Times New Roman" w:hAnsi="Times New Roman" w:cs="Times New Roman"/>
          <w:sz w:val="24"/>
          <w:szCs w:val="24"/>
        </w:rPr>
        <w:t>o presente trabalho</w:t>
      </w:r>
      <w:r w:rsidR="00BE6E10">
        <w:rPr>
          <w:rFonts w:ascii="Times New Roman" w:eastAsia="Times New Roman" w:hAnsi="Times New Roman" w:cs="Times New Roman"/>
          <w:sz w:val="24"/>
          <w:szCs w:val="24"/>
        </w:rPr>
        <w:t xml:space="preserve"> </w:t>
      </w:r>
      <w:r w:rsidR="006D62E6">
        <w:rPr>
          <w:rFonts w:ascii="Times New Roman" w:eastAsia="Times New Roman" w:hAnsi="Times New Roman" w:cs="Times New Roman"/>
          <w:sz w:val="24"/>
          <w:szCs w:val="24"/>
        </w:rPr>
        <w:t xml:space="preserve">focará </w:t>
      </w:r>
      <w:r w:rsidR="00BE6E10">
        <w:rPr>
          <w:rFonts w:ascii="Times New Roman" w:eastAsia="Times New Roman" w:hAnsi="Times New Roman" w:cs="Times New Roman"/>
          <w:sz w:val="24"/>
          <w:szCs w:val="24"/>
        </w:rPr>
        <w:t xml:space="preserve">em uma das áreas que ocupa </w:t>
      </w:r>
      <w:r w:rsidR="006D62E6">
        <w:rPr>
          <w:rFonts w:ascii="Times New Roman" w:eastAsia="Times New Roman" w:hAnsi="Times New Roman" w:cs="Times New Roman"/>
          <w:sz w:val="24"/>
          <w:szCs w:val="24"/>
        </w:rPr>
        <w:t xml:space="preserve">a </w:t>
      </w:r>
      <w:r w:rsidR="00A73166">
        <w:rPr>
          <w:rFonts w:ascii="Times New Roman" w:eastAsia="Times New Roman" w:hAnsi="Times New Roman" w:cs="Times New Roman"/>
          <w:sz w:val="24"/>
          <w:szCs w:val="24"/>
        </w:rPr>
        <w:t xml:space="preserve">maioria dos debates a respeito da crise do Poder Judiciário: o </w:t>
      </w:r>
      <w:r w:rsidR="00A73166" w:rsidRPr="006D62E6">
        <w:rPr>
          <w:rFonts w:ascii="Times New Roman" w:eastAsia="Times New Roman" w:hAnsi="Times New Roman" w:cs="Times New Roman"/>
          <w:i/>
          <w:iCs/>
          <w:sz w:val="24"/>
          <w:szCs w:val="24"/>
        </w:rPr>
        <w:t>contencioso fiscal.</w:t>
      </w:r>
    </w:p>
    <w:p w14:paraId="7BD1DC3B" w14:textId="77777777" w:rsidR="00D67A30" w:rsidRPr="00940637" w:rsidRDefault="00D67A30" w:rsidP="00D67A30">
      <w:pPr>
        <w:spacing w:before="120" w:after="120" w:line="360" w:lineRule="auto"/>
        <w:ind w:firstLine="851"/>
        <w:jc w:val="both"/>
        <w:rPr>
          <w:rFonts w:ascii="Times New Roman" w:eastAsia="Times New Roman" w:hAnsi="Times New Roman" w:cs="Times New Roman"/>
          <w:sz w:val="24"/>
          <w:szCs w:val="24"/>
        </w:rPr>
      </w:pPr>
    </w:p>
    <w:p w14:paraId="445C7E93" w14:textId="74BA9DE7" w:rsidR="00BC602A" w:rsidRPr="00F27F21" w:rsidRDefault="003323BF" w:rsidP="00EE07B3">
      <w:pPr>
        <w:pStyle w:val="PargrafodaLista"/>
        <w:numPr>
          <w:ilvl w:val="0"/>
          <w:numId w:val="3"/>
        </w:numPr>
        <w:spacing w:before="120" w:after="120" w:line="360" w:lineRule="auto"/>
        <w:ind w:left="0" w:firstLine="851"/>
        <w:jc w:val="both"/>
        <w:rPr>
          <w:rFonts w:ascii="Times New Roman" w:hAnsi="Times New Roman" w:cs="Times New Roman"/>
          <w:b/>
          <w:bCs/>
          <w:sz w:val="24"/>
          <w:szCs w:val="24"/>
        </w:rPr>
      </w:pPr>
      <w:r w:rsidRPr="00F27F21">
        <w:rPr>
          <w:rFonts w:ascii="Times New Roman" w:hAnsi="Times New Roman" w:cs="Times New Roman"/>
          <w:b/>
          <w:bCs/>
          <w:sz w:val="24"/>
          <w:szCs w:val="24"/>
        </w:rPr>
        <w:t xml:space="preserve">O </w:t>
      </w:r>
      <w:r w:rsidR="00922C5F" w:rsidRPr="00F27F21">
        <w:rPr>
          <w:rFonts w:ascii="Times New Roman" w:hAnsi="Times New Roman" w:cs="Times New Roman"/>
          <w:b/>
          <w:bCs/>
          <w:sz w:val="24"/>
          <w:szCs w:val="24"/>
        </w:rPr>
        <w:t>MODELO MULTIPORTAS</w:t>
      </w:r>
      <w:r w:rsidRPr="00F27F21">
        <w:rPr>
          <w:rFonts w:ascii="Times New Roman" w:hAnsi="Times New Roman" w:cs="Times New Roman"/>
          <w:b/>
          <w:bCs/>
          <w:sz w:val="24"/>
          <w:szCs w:val="24"/>
        </w:rPr>
        <w:t xml:space="preserve"> NO</w:t>
      </w:r>
      <w:r w:rsidR="00922C5F" w:rsidRPr="00F27F21">
        <w:rPr>
          <w:rFonts w:ascii="Times New Roman" w:hAnsi="Times New Roman" w:cs="Times New Roman"/>
          <w:b/>
          <w:bCs/>
          <w:sz w:val="24"/>
          <w:szCs w:val="24"/>
        </w:rPr>
        <w:t xml:space="preserve"> DIREITO TRIBUTÁRIO</w:t>
      </w:r>
      <w:r w:rsidRPr="00F27F21">
        <w:rPr>
          <w:rFonts w:ascii="Times New Roman" w:hAnsi="Times New Roman" w:cs="Times New Roman"/>
          <w:b/>
          <w:bCs/>
          <w:sz w:val="24"/>
          <w:szCs w:val="24"/>
        </w:rPr>
        <w:t xml:space="preserve">: </w:t>
      </w:r>
      <w:r w:rsidR="00F27F21" w:rsidRPr="00F27F21">
        <w:rPr>
          <w:rFonts w:ascii="Times New Roman" w:hAnsi="Times New Roman" w:cs="Times New Roman"/>
          <w:b/>
          <w:bCs/>
          <w:sz w:val="24"/>
          <w:szCs w:val="24"/>
        </w:rPr>
        <w:t>UMA QUESTÃO DE SUSTENTABILIDADE DO CONTENCIOSO FISCAL</w:t>
      </w:r>
      <w:r w:rsidR="00073DAE" w:rsidRPr="00F27F21">
        <w:rPr>
          <w:rFonts w:ascii="Times New Roman" w:hAnsi="Times New Roman" w:cs="Times New Roman"/>
          <w:b/>
          <w:bCs/>
          <w:sz w:val="24"/>
          <w:szCs w:val="24"/>
        </w:rPr>
        <w:t xml:space="preserve"> </w:t>
      </w:r>
    </w:p>
    <w:p w14:paraId="0868EF9E" w14:textId="62979742" w:rsidR="00CF5C99" w:rsidRDefault="00CF5C99"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O contencioso tributário, especialmente as execuções fiscais, vem sendo apontado nos últimos anos como um dos principais gargalos do sistema judiciário brasileiro</w:t>
      </w:r>
      <w:r w:rsidR="000A4317">
        <w:rPr>
          <w:rFonts w:ascii="Times New Roman" w:hAnsi="Times New Roman" w:cs="Times New Roman"/>
          <w:sz w:val="24"/>
          <w:szCs w:val="24"/>
        </w:rPr>
        <w:t xml:space="preserve">, o que faz com que </w:t>
      </w:r>
      <w:r>
        <w:rPr>
          <w:rFonts w:ascii="Times New Roman" w:hAnsi="Times New Roman" w:cs="Times New Roman"/>
          <w:sz w:val="24"/>
          <w:szCs w:val="24"/>
        </w:rPr>
        <w:t xml:space="preserve">o tratamento da alta litigiosidade fiscal </w:t>
      </w:r>
      <w:r w:rsidR="0026524F">
        <w:rPr>
          <w:rFonts w:ascii="Times New Roman" w:hAnsi="Times New Roman" w:cs="Times New Roman"/>
          <w:sz w:val="24"/>
          <w:szCs w:val="24"/>
        </w:rPr>
        <w:t>seja</w:t>
      </w:r>
      <w:r>
        <w:rPr>
          <w:rFonts w:ascii="Times New Roman" w:hAnsi="Times New Roman" w:cs="Times New Roman"/>
          <w:sz w:val="24"/>
          <w:szCs w:val="24"/>
        </w:rPr>
        <w:t xml:space="preserve"> imprescindível para o desenvolvimento de instituições mais eficazes</w:t>
      </w:r>
      <w:r w:rsidR="00331EA7">
        <w:rPr>
          <w:rFonts w:ascii="Times New Roman" w:hAnsi="Times New Roman" w:cs="Times New Roman"/>
          <w:sz w:val="24"/>
          <w:szCs w:val="24"/>
        </w:rPr>
        <w:t>, especialmente</w:t>
      </w:r>
      <w:r>
        <w:rPr>
          <w:rFonts w:ascii="Times New Roman" w:hAnsi="Times New Roman" w:cs="Times New Roman"/>
          <w:sz w:val="24"/>
          <w:szCs w:val="24"/>
        </w:rPr>
        <w:t xml:space="preserve"> no que tange a garantia fundamental de acesso à justiça.</w:t>
      </w:r>
    </w:p>
    <w:p w14:paraId="3CBD469B" w14:textId="14813B37" w:rsidR="00CF5C99" w:rsidRDefault="00CF5C99"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lastRenderedPageBreak/>
        <w:t>Ocorre que, sobretudo em matéria fiscal, não basta o envolvimento apenas do Poder Judiciário, por meio do aprimoramento da tutela jurisdicional efetiva</w:t>
      </w:r>
      <w:r w:rsidR="00B30C20">
        <w:rPr>
          <w:rFonts w:ascii="Times New Roman" w:hAnsi="Times New Roman" w:cs="Times New Roman"/>
          <w:sz w:val="24"/>
          <w:szCs w:val="24"/>
        </w:rPr>
        <w:t>; é</w:t>
      </w:r>
      <w:r>
        <w:rPr>
          <w:rFonts w:ascii="Times New Roman" w:hAnsi="Times New Roman" w:cs="Times New Roman"/>
          <w:sz w:val="24"/>
          <w:szCs w:val="24"/>
        </w:rPr>
        <w:t xml:space="preserve"> necessário esforço também da Fazenda Pública, figura marcante dentre os principais litigantes do país e justamente </w:t>
      </w:r>
      <w:r w:rsidR="004371B3">
        <w:rPr>
          <w:rFonts w:ascii="Times New Roman" w:hAnsi="Times New Roman" w:cs="Times New Roman"/>
          <w:sz w:val="24"/>
          <w:szCs w:val="24"/>
        </w:rPr>
        <w:t>o ente que</w:t>
      </w:r>
      <w:r>
        <w:rPr>
          <w:rFonts w:ascii="Times New Roman" w:hAnsi="Times New Roman" w:cs="Times New Roman"/>
          <w:sz w:val="24"/>
          <w:szCs w:val="24"/>
        </w:rPr>
        <w:t xml:space="preserve"> detém a titularidade do crédito público e o poder de desenvolver ferramentas efetivas de prevenção e de resolução consensual dos conflitos</w:t>
      </w:r>
      <w:r w:rsidR="004C59ED">
        <w:rPr>
          <w:rFonts w:ascii="Times New Roman" w:hAnsi="Times New Roman" w:cs="Times New Roman"/>
          <w:sz w:val="24"/>
          <w:szCs w:val="24"/>
        </w:rPr>
        <w:t xml:space="preserve"> que</w:t>
      </w:r>
      <w:r w:rsidR="00BC39D6">
        <w:rPr>
          <w:rFonts w:ascii="Times New Roman" w:hAnsi="Times New Roman" w:cs="Times New Roman"/>
          <w:sz w:val="24"/>
          <w:szCs w:val="24"/>
        </w:rPr>
        <w:t xml:space="preserve"> lhe</w:t>
      </w:r>
      <w:r w:rsidR="004C59ED">
        <w:rPr>
          <w:rFonts w:ascii="Times New Roman" w:hAnsi="Times New Roman" w:cs="Times New Roman"/>
          <w:sz w:val="24"/>
          <w:szCs w:val="24"/>
        </w:rPr>
        <w:t xml:space="preserve"> envolvem</w:t>
      </w:r>
      <w:r>
        <w:rPr>
          <w:rFonts w:ascii="Times New Roman" w:hAnsi="Times New Roman" w:cs="Times New Roman"/>
          <w:sz w:val="24"/>
          <w:szCs w:val="24"/>
        </w:rPr>
        <w:t>.</w:t>
      </w:r>
    </w:p>
    <w:p w14:paraId="7A921069" w14:textId="5EF75E3C" w:rsidR="00CF5C99" w:rsidRDefault="00B04602" w:rsidP="00ED5A76">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Esta</w:t>
      </w:r>
      <w:r w:rsidR="00CF5C99">
        <w:rPr>
          <w:rFonts w:ascii="Times New Roman" w:hAnsi="Times New Roman" w:cs="Times New Roman"/>
          <w:sz w:val="24"/>
          <w:szCs w:val="24"/>
        </w:rPr>
        <w:t xml:space="preserve"> transformação na gestão do contencioso fiscal tem o potencial de desobstruir o Judiciário e ao mesmo tempo qualificar a relação Fisco</w:t>
      </w:r>
      <w:r w:rsidR="00DB61FE">
        <w:rPr>
          <w:rFonts w:ascii="Times New Roman" w:hAnsi="Times New Roman" w:cs="Times New Roman"/>
          <w:sz w:val="24"/>
          <w:szCs w:val="24"/>
        </w:rPr>
        <w:t>/</w:t>
      </w:r>
      <w:r w:rsidR="00CF5C99">
        <w:rPr>
          <w:rFonts w:ascii="Times New Roman" w:hAnsi="Times New Roman" w:cs="Times New Roman"/>
          <w:sz w:val="24"/>
          <w:szCs w:val="24"/>
        </w:rPr>
        <w:t>contribuintes, o que favorece a pacificação dos conflitos</w:t>
      </w:r>
      <w:r w:rsidR="00ED5A76">
        <w:rPr>
          <w:rFonts w:ascii="Times New Roman" w:hAnsi="Times New Roman" w:cs="Times New Roman"/>
          <w:sz w:val="24"/>
          <w:szCs w:val="24"/>
        </w:rPr>
        <w:t xml:space="preserve"> e o</w:t>
      </w:r>
      <w:r w:rsidR="00CF5C99">
        <w:rPr>
          <w:rFonts w:ascii="Times New Roman" w:hAnsi="Times New Roman" w:cs="Times New Roman"/>
          <w:sz w:val="24"/>
          <w:szCs w:val="24"/>
        </w:rPr>
        <w:t xml:space="preserve"> aument</w:t>
      </w:r>
      <w:r w:rsidR="00ED5A76">
        <w:rPr>
          <w:rFonts w:ascii="Times New Roman" w:hAnsi="Times New Roman" w:cs="Times New Roman"/>
          <w:sz w:val="24"/>
          <w:szCs w:val="24"/>
        </w:rPr>
        <w:t xml:space="preserve">o do índice de </w:t>
      </w:r>
      <w:r w:rsidR="00292274">
        <w:rPr>
          <w:rFonts w:ascii="Times New Roman" w:hAnsi="Times New Roman" w:cs="Times New Roman"/>
          <w:sz w:val="24"/>
          <w:szCs w:val="24"/>
        </w:rPr>
        <w:t>confiança</w:t>
      </w:r>
      <w:r w:rsidR="00CF5C99">
        <w:rPr>
          <w:rFonts w:ascii="Times New Roman" w:hAnsi="Times New Roman" w:cs="Times New Roman"/>
          <w:sz w:val="24"/>
          <w:szCs w:val="24"/>
        </w:rPr>
        <w:t xml:space="preserve"> </w:t>
      </w:r>
      <w:r w:rsidR="00292274">
        <w:rPr>
          <w:rFonts w:ascii="Times New Roman" w:hAnsi="Times New Roman" w:cs="Times New Roman"/>
          <w:sz w:val="24"/>
          <w:szCs w:val="24"/>
        </w:rPr>
        <w:t>nas</w:t>
      </w:r>
      <w:r w:rsidR="00CF5C99">
        <w:rPr>
          <w:rFonts w:ascii="Times New Roman" w:hAnsi="Times New Roman" w:cs="Times New Roman"/>
          <w:sz w:val="24"/>
          <w:szCs w:val="24"/>
        </w:rPr>
        <w:t xml:space="preserve"> instituições públicas.</w:t>
      </w:r>
      <w:r w:rsidR="00ED5A76">
        <w:rPr>
          <w:rFonts w:ascii="Times New Roman" w:hAnsi="Times New Roman" w:cs="Times New Roman"/>
          <w:sz w:val="24"/>
          <w:szCs w:val="24"/>
        </w:rPr>
        <w:t xml:space="preserve"> O</w:t>
      </w:r>
      <w:r w:rsidR="00CF5C99">
        <w:rPr>
          <w:rFonts w:ascii="Times New Roman" w:hAnsi="Times New Roman" w:cs="Times New Roman"/>
          <w:sz w:val="24"/>
          <w:szCs w:val="24"/>
        </w:rPr>
        <w:t xml:space="preserve"> desenvolvimento do sistema multiportas é, sem dúvida alguma, um dos caminhos para alcançar esta transformação.</w:t>
      </w:r>
    </w:p>
    <w:p w14:paraId="508C91AB" w14:textId="4A71D943" w:rsidR="00CF5C99" w:rsidRDefault="00CF5C99"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Frise-se que, não se quer afastar a via da jurisdição, mas sim abrir novas portas, novos caminhos, novas alternativas, de mesma equivalência, mas que se mostrem mais adequadas </w:t>
      </w:r>
      <w:r w:rsidR="00305F0D">
        <w:rPr>
          <w:rFonts w:ascii="Times New Roman" w:hAnsi="Times New Roman" w:cs="Times New Roman"/>
          <w:sz w:val="24"/>
          <w:szCs w:val="24"/>
        </w:rPr>
        <w:t>par</w:t>
      </w:r>
      <w:r>
        <w:rPr>
          <w:rFonts w:ascii="Times New Roman" w:hAnsi="Times New Roman" w:cs="Times New Roman"/>
          <w:sz w:val="24"/>
          <w:szCs w:val="24"/>
        </w:rPr>
        <w:t>a</w:t>
      </w:r>
      <w:r w:rsidR="00305F0D">
        <w:rPr>
          <w:rFonts w:ascii="Times New Roman" w:hAnsi="Times New Roman" w:cs="Times New Roman"/>
          <w:sz w:val="24"/>
          <w:szCs w:val="24"/>
        </w:rPr>
        <w:t xml:space="preserve"> a solução de</w:t>
      </w:r>
      <w:r>
        <w:rPr>
          <w:rFonts w:ascii="Times New Roman" w:hAnsi="Times New Roman" w:cs="Times New Roman"/>
          <w:sz w:val="24"/>
          <w:szCs w:val="24"/>
        </w:rPr>
        <w:t xml:space="preserve"> cada espécie de conflito.</w:t>
      </w:r>
    </w:p>
    <w:p w14:paraId="3BBD1AF9" w14:textId="4CC24B00" w:rsidR="00CF5C99" w:rsidRPr="00441DD6" w:rsidRDefault="002A6BC9"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Dito isto, </w:t>
      </w:r>
      <w:r w:rsidR="00EB4A58">
        <w:rPr>
          <w:rFonts w:ascii="Times New Roman" w:hAnsi="Times New Roman" w:cs="Times New Roman"/>
          <w:sz w:val="24"/>
          <w:szCs w:val="24"/>
        </w:rPr>
        <w:t xml:space="preserve">também é possível vislumbrar </w:t>
      </w:r>
      <w:r w:rsidR="00CF5C99">
        <w:rPr>
          <w:rFonts w:ascii="Times New Roman" w:hAnsi="Times New Roman" w:cs="Times New Roman"/>
          <w:sz w:val="24"/>
          <w:szCs w:val="24"/>
        </w:rPr>
        <w:t xml:space="preserve">a </w:t>
      </w:r>
      <w:r w:rsidR="00EB4A58">
        <w:rPr>
          <w:rFonts w:ascii="Times New Roman" w:hAnsi="Times New Roman" w:cs="Times New Roman"/>
          <w:sz w:val="24"/>
          <w:szCs w:val="24"/>
        </w:rPr>
        <w:t xml:space="preserve">vinculação </w:t>
      </w:r>
      <w:r w:rsidR="00B644FE">
        <w:rPr>
          <w:rFonts w:ascii="Times New Roman" w:hAnsi="Times New Roman" w:cs="Times New Roman"/>
          <w:sz w:val="24"/>
          <w:szCs w:val="24"/>
        </w:rPr>
        <w:t>d</w:t>
      </w:r>
      <w:r w:rsidR="00E30FF1">
        <w:rPr>
          <w:rFonts w:ascii="Times New Roman" w:hAnsi="Times New Roman" w:cs="Times New Roman"/>
          <w:sz w:val="24"/>
          <w:szCs w:val="24"/>
        </w:rPr>
        <w:t xml:space="preserve">e projetos que visem </w:t>
      </w:r>
      <w:r w:rsidR="00CF5C99">
        <w:rPr>
          <w:rFonts w:ascii="Times New Roman" w:hAnsi="Times New Roman" w:cs="Times New Roman"/>
          <w:sz w:val="24"/>
          <w:szCs w:val="24"/>
        </w:rPr>
        <w:t>o desenvolvimento da consensualidade nas relações fiscais e o ODS 16</w:t>
      </w:r>
      <w:r w:rsidR="00441DD6">
        <w:rPr>
          <w:rFonts w:ascii="Times New Roman" w:hAnsi="Times New Roman" w:cs="Times New Roman"/>
          <w:sz w:val="24"/>
          <w:szCs w:val="24"/>
        </w:rPr>
        <w:t>, que visa</w:t>
      </w:r>
      <w:r w:rsidR="00F36FBE">
        <w:rPr>
          <w:rFonts w:ascii="Times New Roman" w:hAnsi="Times New Roman" w:cs="Times New Roman"/>
          <w:sz w:val="24"/>
          <w:szCs w:val="24"/>
        </w:rPr>
        <w:t>:</w:t>
      </w:r>
      <w:r w:rsidR="00CF5C99">
        <w:rPr>
          <w:rFonts w:ascii="Times New Roman" w:hAnsi="Times New Roman" w:cs="Times New Roman"/>
          <w:sz w:val="24"/>
          <w:szCs w:val="24"/>
        </w:rPr>
        <w:t xml:space="preserve"> </w:t>
      </w:r>
      <w:r w:rsidR="00CF5C99" w:rsidRPr="00441DD6">
        <w:rPr>
          <w:rFonts w:ascii="Times New Roman" w:hAnsi="Times New Roman" w:cs="Times New Roman"/>
          <w:sz w:val="24"/>
          <w:szCs w:val="24"/>
        </w:rPr>
        <w:t>promover sociedades pacíficas e inclusivas para o desenvolvimento sustentável, proporcionar o acesso à justiça para todos e construir instituições eficazes, responsáveis e inclusivas em todos os níveis.</w:t>
      </w:r>
    </w:p>
    <w:p w14:paraId="00CA3B3A" w14:textId="2AFA1635" w:rsidR="00CE589C" w:rsidRDefault="008C066B"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E</w:t>
      </w:r>
      <w:r w:rsidR="00CE589C">
        <w:rPr>
          <w:rFonts w:ascii="Times New Roman" w:hAnsi="Times New Roman" w:cs="Times New Roman"/>
          <w:sz w:val="24"/>
          <w:szCs w:val="24"/>
        </w:rPr>
        <w:t xml:space="preserve">m âmbito </w:t>
      </w:r>
      <w:r w:rsidR="00442DCF">
        <w:rPr>
          <w:rFonts w:ascii="Times New Roman" w:hAnsi="Times New Roman" w:cs="Times New Roman"/>
          <w:sz w:val="24"/>
          <w:szCs w:val="24"/>
        </w:rPr>
        <w:t>tributário</w:t>
      </w:r>
      <w:r w:rsidR="00CE589C">
        <w:rPr>
          <w:rFonts w:ascii="Times New Roman" w:hAnsi="Times New Roman" w:cs="Times New Roman"/>
          <w:sz w:val="24"/>
          <w:szCs w:val="24"/>
        </w:rPr>
        <w:t xml:space="preserve">, </w:t>
      </w:r>
      <w:r w:rsidR="00275D06">
        <w:rPr>
          <w:rFonts w:ascii="Times New Roman" w:hAnsi="Times New Roman" w:cs="Times New Roman"/>
          <w:sz w:val="24"/>
          <w:szCs w:val="24"/>
        </w:rPr>
        <w:t xml:space="preserve">aliás, </w:t>
      </w:r>
      <w:r w:rsidR="00442DCF">
        <w:rPr>
          <w:rFonts w:ascii="Times New Roman" w:hAnsi="Times New Roman" w:cs="Times New Roman"/>
          <w:sz w:val="24"/>
          <w:szCs w:val="24"/>
        </w:rPr>
        <w:t>é possível supor outras</w:t>
      </w:r>
      <w:r w:rsidR="00CE589C">
        <w:rPr>
          <w:rFonts w:ascii="Times New Roman" w:hAnsi="Times New Roman" w:cs="Times New Roman"/>
          <w:sz w:val="24"/>
          <w:szCs w:val="24"/>
        </w:rPr>
        <w:t xml:space="preserve"> repercussões decorrentes da mudança de paradigma rumo à prevenção de litígios e cultura da consensualidade, tais como a otimização da arrecadação de tributos, cuja boa </w:t>
      </w:r>
      <w:r w:rsidR="003F6F98">
        <w:rPr>
          <w:rFonts w:ascii="Times New Roman" w:hAnsi="Times New Roman" w:cs="Times New Roman"/>
          <w:sz w:val="24"/>
          <w:szCs w:val="24"/>
        </w:rPr>
        <w:t>g</w:t>
      </w:r>
      <w:r w:rsidR="00CE589C">
        <w:rPr>
          <w:rFonts w:ascii="Times New Roman" w:hAnsi="Times New Roman" w:cs="Times New Roman"/>
          <w:sz w:val="24"/>
          <w:szCs w:val="24"/>
        </w:rPr>
        <w:t>overnança tende a retornar positivamente à sociedade, além da reconstrução d</w:t>
      </w:r>
      <w:r w:rsidR="00364C20">
        <w:rPr>
          <w:rFonts w:ascii="Times New Roman" w:hAnsi="Times New Roman" w:cs="Times New Roman"/>
          <w:sz w:val="24"/>
          <w:szCs w:val="24"/>
        </w:rPr>
        <w:t>a</w:t>
      </w:r>
      <w:r w:rsidR="00CE589C">
        <w:rPr>
          <w:rFonts w:ascii="Times New Roman" w:hAnsi="Times New Roman" w:cs="Times New Roman"/>
          <w:sz w:val="24"/>
          <w:szCs w:val="24"/>
        </w:rPr>
        <w:t xml:space="preserve"> confiança </w:t>
      </w:r>
      <w:r w:rsidR="00AF6607">
        <w:rPr>
          <w:rFonts w:ascii="Times New Roman" w:hAnsi="Times New Roman" w:cs="Times New Roman"/>
          <w:sz w:val="24"/>
          <w:szCs w:val="24"/>
        </w:rPr>
        <w:t>d</w:t>
      </w:r>
      <w:r w:rsidR="00CE589C">
        <w:rPr>
          <w:rFonts w:ascii="Times New Roman" w:hAnsi="Times New Roman" w:cs="Times New Roman"/>
          <w:sz w:val="24"/>
          <w:szCs w:val="24"/>
        </w:rPr>
        <w:t xml:space="preserve">a relação </w:t>
      </w:r>
      <w:r w:rsidR="003F6F98">
        <w:rPr>
          <w:rFonts w:ascii="Times New Roman" w:hAnsi="Times New Roman" w:cs="Times New Roman"/>
          <w:sz w:val="24"/>
          <w:szCs w:val="24"/>
        </w:rPr>
        <w:t xml:space="preserve">com os </w:t>
      </w:r>
      <w:r w:rsidR="00CE589C">
        <w:rPr>
          <w:rFonts w:ascii="Times New Roman" w:hAnsi="Times New Roman" w:cs="Times New Roman"/>
          <w:sz w:val="24"/>
          <w:szCs w:val="24"/>
        </w:rPr>
        <w:t xml:space="preserve">contribuintes e </w:t>
      </w:r>
      <w:r w:rsidR="00971FA1">
        <w:rPr>
          <w:rFonts w:ascii="Times New Roman" w:hAnsi="Times New Roman" w:cs="Times New Roman"/>
          <w:sz w:val="24"/>
          <w:szCs w:val="24"/>
        </w:rPr>
        <w:t>d</w:t>
      </w:r>
      <w:r w:rsidR="00CE589C">
        <w:rPr>
          <w:rFonts w:ascii="Times New Roman" w:hAnsi="Times New Roman" w:cs="Times New Roman"/>
          <w:sz w:val="24"/>
          <w:szCs w:val="24"/>
        </w:rPr>
        <w:t>o aprimoramento da justiça fiscal.</w:t>
      </w:r>
    </w:p>
    <w:p w14:paraId="2F5D2CF1" w14:textId="2EC7BB79" w:rsidR="002476B2" w:rsidRDefault="00154143"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É certo que, historicamente, </w:t>
      </w:r>
      <w:r w:rsidR="007D1078">
        <w:rPr>
          <w:rFonts w:ascii="Times New Roman" w:hAnsi="Times New Roman" w:cs="Times New Roman"/>
          <w:sz w:val="24"/>
          <w:szCs w:val="24"/>
        </w:rPr>
        <w:t xml:space="preserve">há uma certa resistência quanto a abertura do </w:t>
      </w:r>
      <w:r w:rsidR="00AF6607">
        <w:rPr>
          <w:rFonts w:ascii="Times New Roman" w:hAnsi="Times New Roman" w:cs="Times New Roman"/>
          <w:sz w:val="24"/>
          <w:szCs w:val="24"/>
        </w:rPr>
        <w:t>d</w:t>
      </w:r>
      <w:r w:rsidR="007D1078">
        <w:rPr>
          <w:rFonts w:ascii="Times New Roman" w:hAnsi="Times New Roman" w:cs="Times New Roman"/>
          <w:sz w:val="24"/>
          <w:szCs w:val="24"/>
        </w:rPr>
        <w:t xml:space="preserve">ireito </w:t>
      </w:r>
      <w:r w:rsidR="00AF6607">
        <w:rPr>
          <w:rFonts w:ascii="Times New Roman" w:hAnsi="Times New Roman" w:cs="Times New Roman"/>
          <w:sz w:val="24"/>
          <w:szCs w:val="24"/>
        </w:rPr>
        <w:t>p</w:t>
      </w:r>
      <w:r w:rsidR="007D1078">
        <w:rPr>
          <w:rFonts w:ascii="Times New Roman" w:hAnsi="Times New Roman" w:cs="Times New Roman"/>
          <w:sz w:val="24"/>
          <w:szCs w:val="24"/>
        </w:rPr>
        <w:t xml:space="preserve">úblico, </w:t>
      </w:r>
      <w:r w:rsidR="00EF3A46">
        <w:rPr>
          <w:rFonts w:ascii="Times New Roman" w:hAnsi="Times New Roman" w:cs="Times New Roman"/>
          <w:sz w:val="24"/>
          <w:szCs w:val="24"/>
        </w:rPr>
        <w:t xml:space="preserve">especialmente o </w:t>
      </w:r>
      <w:r w:rsidR="00161A20">
        <w:rPr>
          <w:rFonts w:ascii="Times New Roman" w:hAnsi="Times New Roman" w:cs="Times New Roman"/>
          <w:sz w:val="24"/>
          <w:szCs w:val="24"/>
        </w:rPr>
        <w:t>D</w:t>
      </w:r>
      <w:r w:rsidR="00EF3A46">
        <w:rPr>
          <w:rFonts w:ascii="Times New Roman" w:hAnsi="Times New Roman" w:cs="Times New Roman"/>
          <w:sz w:val="24"/>
          <w:szCs w:val="24"/>
        </w:rPr>
        <w:t xml:space="preserve">ireito </w:t>
      </w:r>
      <w:r w:rsidR="00161A20">
        <w:rPr>
          <w:rFonts w:ascii="Times New Roman" w:hAnsi="Times New Roman" w:cs="Times New Roman"/>
          <w:sz w:val="24"/>
          <w:szCs w:val="24"/>
        </w:rPr>
        <w:t>T</w:t>
      </w:r>
      <w:r w:rsidR="00EF3A46">
        <w:rPr>
          <w:rFonts w:ascii="Times New Roman" w:hAnsi="Times New Roman" w:cs="Times New Roman"/>
          <w:sz w:val="24"/>
          <w:szCs w:val="24"/>
        </w:rPr>
        <w:t>ributário, à consensualid</w:t>
      </w:r>
      <w:r w:rsidR="00980FA9">
        <w:rPr>
          <w:rFonts w:ascii="Times New Roman" w:hAnsi="Times New Roman" w:cs="Times New Roman"/>
          <w:sz w:val="24"/>
          <w:szCs w:val="24"/>
        </w:rPr>
        <w:t xml:space="preserve">ade, </w:t>
      </w:r>
      <w:r w:rsidR="00161A20">
        <w:rPr>
          <w:rFonts w:ascii="Times New Roman" w:hAnsi="Times New Roman" w:cs="Times New Roman"/>
          <w:sz w:val="24"/>
          <w:szCs w:val="24"/>
        </w:rPr>
        <w:t xml:space="preserve">por questões ligadas à indisponibilidade do </w:t>
      </w:r>
      <w:r w:rsidR="00A107F3">
        <w:rPr>
          <w:rFonts w:ascii="Times New Roman" w:hAnsi="Times New Roman" w:cs="Times New Roman"/>
          <w:sz w:val="24"/>
          <w:szCs w:val="24"/>
        </w:rPr>
        <w:lastRenderedPageBreak/>
        <w:t>interesse público</w:t>
      </w:r>
      <w:r w:rsidR="009E25E8">
        <w:rPr>
          <w:rStyle w:val="Refdenotaderodap"/>
          <w:rFonts w:ascii="Times New Roman" w:hAnsi="Times New Roman" w:cs="Times New Roman"/>
          <w:sz w:val="24"/>
          <w:szCs w:val="24"/>
        </w:rPr>
        <w:footnoteReference w:id="22"/>
      </w:r>
      <w:r w:rsidR="00A107F3">
        <w:rPr>
          <w:rFonts w:ascii="Times New Roman" w:hAnsi="Times New Roman" w:cs="Times New Roman"/>
          <w:sz w:val="24"/>
          <w:szCs w:val="24"/>
        </w:rPr>
        <w:t xml:space="preserve">, </w:t>
      </w:r>
      <w:r w:rsidR="00AA431E">
        <w:rPr>
          <w:rFonts w:ascii="Times New Roman" w:hAnsi="Times New Roman" w:cs="Times New Roman"/>
          <w:sz w:val="24"/>
          <w:szCs w:val="24"/>
        </w:rPr>
        <w:t>legalidade</w:t>
      </w:r>
      <w:r w:rsidR="000A32AA">
        <w:rPr>
          <w:rStyle w:val="Refdenotaderodap"/>
          <w:rFonts w:ascii="Times New Roman" w:hAnsi="Times New Roman" w:cs="Times New Roman"/>
          <w:sz w:val="24"/>
          <w:szCs w:val="24"/>
        </w:rPr>
        <w:footnoteReference w:id="23"/>
      </w:r>
      <w:r w:rsidR="00AA431E">
        <w:rPr>
          <w:rFonts w:ascii="Times New Roman" w:hAnsi="Times New Roman" w:cs="Times New Roman"/>
          <w:sz w:val="24"/>
          <w:szCs w:val="24"/>
        </w:rPr>
        <w:t xml:space="preserve"> e isonomia</w:t>
      </w:r>
      <w:r w:rsidR="00C412FB">
        <w:rPr>
          <w:rStyle w:val="Refdenotaderodap"/>
          <w:rFonts w:ascii="Times New Roman" w:hAnsi="Times New Roman" w:cs="Times New Roman"/>
          <w:sz w:val="24"/>
          <w:szCs w:val="24"/>
        </w:rPr>
        <w:footnoteReference w:id="24"/>
      </w:r>
      <w:r w:rsidR="00AA431E">
        <w:rPr>
          <w:rFonts w:ascii="Times New Roman" w:hAnsi="Times New Roman" w:cs="Times New Roman"/>
          <w:sz w:val="24"/>
          <w:szCs w:val="24"/>
        </w:rPr>
        <w:t xml:space="preserve">. Todavia, </w:t>
      </w:r>
      <w:r w:rsidR="004736D7">
        <w:rPr>
          <w:rFonts w:ascii="Times New Roman" w:hAnsi="Times New Roman" w:cs="Times New Roman"/>
          <w:sz w:val="24"/>
          <w:szCs w:val="24"/>
        </w:rPr>
        <w:t xml:space="preserve">tais </w:t>
      </w:r>
      <w:r w:rsidR="00155ACD">
        <w:rPr>
          <w:rFonts w:ascii="Times New Roman" w:hAnsi="Times New Roman" w:cs="Times New Roman"/>
          <w:sz w:val="24"/>
          <w:szCs w:val="24"/>
        </w:rPr>
        <w:t>obstáculos vêm</w:t>
      </w:r>
      <w:r w:rsidR="004736D7">
        <w:rPr>
          <w:rFonts w:ascii="Times New Roman" w:hAnsi="Times New Roman" w:cs="Times New Roman"/>
          <w:sz w:val="24"/>
          <w:szCs w:val="24"/>
        </w:rPr>
        <w:t xml:space="preserve"> sendo paulatinamente superados, sendo seguro afirmar que</w:t>
      </w:r>
      <w:r w:rsidR="00E21913">
        <w:rPr>
          <w:rFonts w:ascii="Times New Roman" w:hAnsi="Times New Roman" w:cs="Times New Roman"/>
          <w:sz w:val="24"/>
          <w:szCs w:val="24"/>
        </w:rPr>
        <w:t xml:space="preserve"> </w:t>
      </w:r>
      <w:r w:rsidR="004736D7">
        <w:rPr>
          <w:rFonts w:ascii="Times New Roman" w:hAnsi="Times New Roman" w:cs="Times New Roman"/>
          <w:sz w:val="24"/>
          <w:szCs w:val="24"/>
        </w:rPr>
        <w:t>já</w:t>
      </w:r>
      <w:r w:rsidR="00406899">
        <w:rPr>
          <w:rFonts w:ascii="Times New Roman" w:hAnsi="Times New Roman" w:cs="Times New Roman"/>
          <w:sz w:val="24"/>
          <w:szCs w:val="24"/>
        </w:rPr>
        <w:t xml:space="preserve"> existe uma sólida base </w:t>
      </w:r>
      <w:r w:rsidR="005613AB">
        <w:rPr>
          <w:rFonts w:ascii="Times New Roman" w:hAnsi="Times New Roman" w:cs="Times New Roman"/>
          <w:sz w:val="24"/>
          <w:szCs w:val="24"/>
        </w:rPr>
        <w:t>doutrinária</w:t>
      </w:r>
      <w:r w:rsidR="00B65D3B">
        <w:rPr>
          <w:rStyle w:val="Refdenotaderodap"/>
          <w:rFonts w:ascii="Times New Roman" w:hAnsi="Times New Roman" w:cs="Times New Roman"/>
          <w:sz w:val="24"/>
          <w:szCs w:val="24"/>
        </w:rPr>
        <w:footnoteReference w:id="25"/>
      </w:r>
      <w:r w:rsidR="005613AB">
        <w:rPr>
          <w:rFonts w:ascii="Times New Roman" w:hAnsi="Times New Roman" w:cs="Times New Roman"/>
          <w:sz w:val="24"/>
          <w:szCs w:val="24"/>
        </w:rPr>
        <w:t xml:space="preserve"> a respaldar </w:t>
      </w:r>
      <w:r w:rsidR="0043567F">
        <w:rPr>
          <w:rFonts w:ascii="Times New Roman" w:hAnsi="Times New Roman" w:cs="Times New Roman"/>
          <w:sz w:val="24"/>
          <w:szCs w:val="24"/>
        </w:rPr>
        <w:t>o desenvolvimento dos meios adequados de solução de conflitos em matéria fiscal</w:t>
      </w:r>
      <w:r w:rsidR="006D534F">
        <w:rPr>
          <w:rStyle w:val="Refdenotaderodap"/>
          <w:rFonts w:ascii="Times New Roman" w:hAnsi="Times New Roman" w:cs="Times New Roman"/>
          <w:sz w:val="24"/>
          <w:szCs w:val="24"/>
        </w:rPr>
        <w:footnoteReference w:id="26"/>
      </w:r>
      <w:r w:rsidR="0043567F">
        <w:rPr>
          <w:rFonts w:ascii="Times New Roman" w:hAnsi="Times New Roman" w:cs="Times New Roman"/>
          <w:sz w:val="24"/>
          <w:szCs w:val="24"/>
        </w:rPr>
        <w:t>.</w:t>
      </w:r>
    </w:p>
    <w:p w14:paraId="1827429B" w14:textId="3DC5FE7C" w:rsidR="0038753B" w:rsidRDefault="0057166F"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Digna de registro</w:t>
      </w:r>
      <w:r w:rsidR="0038753B">
        <w:rPr>
          <w:rFonts w:ascii="Times New Roman" w:hAnsi="Times New Roman" w:cs="Times New Roman"/>
          <w:sz w:val="24"/>
          <w:szCs w:val="24"/>
        </w:rPr>
        <w:t>, neste ponto, a colocação de Carlos Machado</w:t>
      </w:r>
      <w:r>
        <w:rPr>
          <w:rFonts w:ascii="Times New Roman" w:hAnsi="Times New Roman" w:cs="Times New Roman"/>
          <w:sz w:val="24"/>
          <w:szCs w:val="24"/>
        </w:rPr>
        <w:t>:</w:t>
      </w:r>
    </w:p>
    <w:p w14:paraId="3DD98643" w14:textId="5B82033B" w:rsidR="0057166F" w:rsidRPr="002B29A1" w:rsidRDefault="002B29A1" w:rsidP="0057166F">
      <w:pPr>
        <w:spacing w:after="0" w:line="240" w:lineRule="auto"/>
        <w:ind w:left="2268"/>
        <w:contextualSpacing/>
        <w:jc w:val="both"/>
        <w:rPr>
          <w:rFonts w:ascii="Times New Roman" w:hAnsi="Times New Roman" w:cs="Times New Roman"/>
          <w:sz w:val="20"/>
          <w:szCs w:val="20"/>
        </w:rPr>
      </w:pPr>
      <w:r w:rsidRPr="002B29A1">
        <w:rPr>
          <w:rFonts w:ascii="Times New Roman" w:hAnsi="Times New Roman" w:cs="Times New Roman"/>
          <w:sz w:val="20"/>
          <w:szCs w:val="20"/>
        </w:rPr>
        <w:t>o propósito das técnicas adequadas de solução de conflitos em matéria tributária, pelo menos na perspectiva da proposta que ora se coloca, não visa à vulneração dos balizamentos legislativos objetivamente traçados nos recintos da competência dos parlamentos, mas, sim, a um reconhecimento de espaços legítimos de diálogo e de integração entre os sujeitos envolvidos na relação fiscal, potencialmente indutores de litigiosidade.</w:t>
      </w:r>
      <w:r w:rsidRPr="002B29A1">
        <w:rPr>
          <w:rFonts w:ascii="Times New Roman" w:hAnsi="Times New Roman" w:cs="Times New Roman"/>
          <w:sz w:val="20"/>
          <w:szCs w:val="20"/>
          <w:vertAlign w:val="superscript"/>
        </w:rPr>
        <w:footnoteReference w:id="27"/>
      </w:r>
    </w:p>
    <w:p w14:paraId="5442067E" w14:textId="47727981" w:rsidR="00196C5C" w:rsidRDefault="00AA669A"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A própria disponibilidade do crédito tributário </w:t>
      </w:r>
      <w:r w:rsidR="00F02CA0">
        <w:rPr>
          <w:rFonts w:ascii="Times New Roman" w:hAnsi="Times New Roman" w:cs="Times New Roman"/>
          <w:sz w:val="24"/>
          <w:szCs w:val="24"/>
        </w:rPr>
        <w:t>vem sendo sustentada com considerável robustez</w:t>
      </w:r>
      <w:r w:rsidR="00DF629B">
        <w:rPr>
          <w:rStyle w:val="Refdenotaderodap"/>
          <w:rFonts w:ascii="Times New Roman" w:hAnsi="Times New Roman" w:cs="Times New Roman"/>
          <w:sz w:val="24"/>
          <w:szCs w:val="24"/>
        </w:rPr>
        <w:footnoteReference w:id="28"/>
      </w:r>
      <w:r w:rsidR="00AD6AA0">
        <w:rPr>
          <w:rFonts w:ascii="Times New Roman" w:hAnsi="Times New Roman" w:cs="Times New Roman"/>
          <w:sz w:val="24"/>
          <w:szCs w:val="24"/>
        </w:rPr>
        <w:t xml:space="preserve">, </w:t>
      </w:r>
      <w:r w:rsidR="007838E2">
        <w:rPr>
          <w:rFonts w:ascii="Times New Roman" w:hAnsi="Times New Roman" w:cs="Times New Roman"/>
          <w:sz w:val="24"/>
          <w:szCs w:val="24"/>
        </w:rPr>
        <w:t xml:space="preserve">tendo em vista que </w:t>
      </w:r>
      <w:r w:rsidR="00AD6AA0">
        <w:rPr>
          <w:rFonts w:ascii="Times New Roman" w:hAnsi="Times New Roman" w:cs="Times New Roman"/>
          <w:sz w:val="24"/>
          <w:szCs w:val="24"/>
        </w:rPr>
        <w:t xml:space="preserve">se trata de </w:t>
      </w:r>
      <w:r w:rsidR="00570043">
        <w:rPr>
          <w:rFonts w:ascii="Times New Roman" w:hAnsi="Times New Roman" w:cs="Times New Roman"/>
          <w:sz w:val="24"/>
          <w:szCs w:val="24"/>
        </w:rPr>
        <w:t xml:space="preserve">um </w:t>
      </w:r>
      <w:r w:rsidR="007838E2">
        <w:rPr>
          <w:rFonts w:ascii="Times New Roman" w:hAnsi="Times New Roman" w:cs="Times New Roman"/>
          <w:sz w:val="24"/>
          <w:szCs w:val="24"/>
        </w:rPr>
        <w:t xml:space="preserve">direito patrimonial, de interesse público secundário/fazendário, </w:t>
      </w:r>
      <w:r w:rsidR="00570043">
        <w:rPr>
          <w:rFonts w:ascii="Times New Roman" w:hAnsi="Times New Roman" w:cs="Times New Roman"/>
          <w:sz w:val="24"/>
          <w:szCs w:val="24"/>
        </w:rPr>
        <w:t>cuja disponibilidade é premissa adotada pelo Sistema Tributário Nacional,</w:t>
      </w:r>
      <w:r w:rsidR="00210368">
        <w:rPr>
          <w:rFonts w:ascii="Times New Roman" w:hAnsi="Times New Roman" w:cs="Times New Roman"/>
          <w:sz w:val="24"/>
          <w:szCs w:val="24"/>
        </w:rPr>
        <w:t xml:space="preserve"> ao </w:t>
      </w:r>
      <w:r w:rsidR="00210368">
        <w:rPr>
          <w:rFonts w:ascii="Times New Roman" w:hAnsi="Times New Roman" w:cs="Times New Roman"/>
          <w:sz w:val="24"/>
          <w:szCs w:val="24"/>
        </w:rPr>
        <w:lastRenderedPageBreak/>
        <w:t>permitir a sua disposição de forma direta</w:t>
      </w:r>
      <w:r w:rsidR="00C934DB">
        <w:rPr>
          <w:rFonts w:ascii="Times New Roman" w:hAnsi="Times New Roman" w:cs="Times New Roman"/>
          <w:sz w:val="24"/>
          <w:szCs w:val="24"/>
        </w:rPr>
        <w:t>,</w:t>
      </w:r>
      <w:r w:rsidR="002435C3">
        <w:rPr>
          <w:rFonts w:ascii="Times New Roman" w:hAnsi="Times New Roman" w:cs="Times New Roman"/>
          <w:sz w:val="24"/>
          <w:szCs w:val="24"/>
        </w:rPr>
        <w:t xml:space="preserve"> </w:t>
      </w:r>
      <w:r w:rsidR="00C934DB">
        <w:rPr>
          <w:rFonts w:ascii="Times New Roman" w:hAnsi="Times New Roman" w:cs="Times New Roman"/>
          <w:sz w:val="24"/>
          <w:szCs w:val="24"/>
        </w:rPr>
        <w:t>mas condicionada</w:t>
      </w:r>
      <w:r w:rsidR="00A336A6">
        <w:rPr>
          <w:rFonts w:ascii="Times New Roman" w:hAnsi="Times New Roman" w:cs="Times New Roman"/>
          <w:sz w:val="24"/>
          <w:szCs w:val="24"/>
        </w:rPr>
        <w:t>,</w:t>
      </w:r>
      <w:r w:rsidR="002435C3">
        <w:rPr>
          <w:rFonts w:ascii="Times New Roman" w:hAnsi="Times New Roman" w:cs="Times New Roman"/>
          <w:sz w:val="24"/>
          <w:szCs w:val="24"/>
        </w:rPr>
        <w:t xml:space="preserve"> por meio de instrumentos como a isenção, remissão, anistia, parcelamento e </w:t>
      </w:r>
      <w:r w:rsidR="007B4EDE">
        <w:rPr>
          <w:rFonts w:ascii="Times New Roman" w:hAnsi="Times New Roman" w:cs="Times New Roman"/>
          <w:sz w:val="24"/>
          <w:szCs w:val="24"/>
        </w:rPr>
        <w:t>a própria transação.</w:t>
      </w:r>
    </w:p>
    <w:p w14:paraId="693EF0DE" w14:textId="3CF0DC62" w:rsidR="00397F0A" w:rsidRPr="00F37735" w:rsidRDefault="00397F0A"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Entretanto, </w:t>
      </w:r>
      <w:r w:rsidR="00F37735">
        <w:rPr>
          <w:rFonts w:ascii="Times New Roman" w:hAnsi="Times New Roman" w:cs="Times New Roman"/>
          <w:sz w:val="24"/>
          <w:szCs w:val="24"/>
        </w:rPr>
        <w:t>o fato</w:t>
      </w:r>
      <w:r w:rsidR="00F71D83">
        <w:rPr>
          <w:rFonts w:ascii="Times New Roman" w:hAnsi="Times New Roman" w:cs="Times New Roman"/>
          <w:sz w:val="24"/>
          <w:szCs w:val="24"/>
        </w:rPr>
        <w:t xml:space="preserve"> de ser disponível </w:t>
      </w:r>
      <w:r w:rsidR="00F71D83" w:rsidRPr="00F37735">
        <w:rPr>
          <w:rFonts w:ascii="Times New Roman" w:hAnsi="Times New Roman" w:cs="Times New Roman"/>
          <w:sz w:val="24"/>
          <w:szCs w:val="24"/>
        </w:rPr>
        <w:t>“</w:t>
      </w:r>
      <w:r w:rsidR="00F37735" w:rsidRPr="00F37735">
        <w:rPr>
          <w:rFonts w:ascii="Times New Roman" w:hAnsi="Times New Roman" w:cs="Times New Roman"/>
          <w:sz w:val="24"/>
          <w:szCs w:val="24"/>
        </w:rPr>
        <w:t>não significa que o agente público possa dele dispor, livre e indiscriminadamente”</w:t>
      </w:r>
      <w:r w:rsidR="00445A2F">
        <w:rPr>
          <w:rStyle w:val="Refdenotaderodap"/>
          <w:rFonts w:ascii="Times New Roman" w:hAnsi="Times New Roman" w:cs="Times New Roman"/>
          <w:sz w:val="24"/>
          <w:szCs w:val="24"/>
        </w:rPr>
        <w:footnoteReference w:id="29"/>
      </w:r>
      <w:r w:rsidR="00EE1F71">
        <w:rPr>
          <w:rFonts w:ascii="Times New Roman" w:hAnsi="Times New Roman" w:cs="Times New Roman"/>
          <w:sz w:val="24"/>
          <w:szCs w:val="24"/>
        </w:rPr>
        <w:t>, sendo necess</w:t>
      </w:r>
      <w:r w:rsidR="00761CB5">
        <w:rPr>
          <w:rFonts w:ascii="Times New Roman" w:hAnsi="Times New Roman" w:cs="Times New Roman"/>
          <w:sz w:val="24"/>
          <w:szCs w:val="24"/>
        </w:rPr>
        <w:t>ário</w:t>
      </w:r>
      <w:r w:rsidR="006A395E">
        <w:rPr>
          <w:rFonts w:ascii="Times New Roman" w:hAnsi="Times New Roman" w:cs="Times New Roman"/>
          <w:sz w:val="24"/>
          <w:szCs w:val="24"/>
        </w:rPr>
        <w:t xml:space="preserve"> que esta disposição se</w:t>
      </w:r>
      <w:r w:rsidR="00CF7B3D">
        <w:rPr>
          <w:rFonts w:ascii="Times New Roman" w:hAnsi="Times New Roman" w:cs="Times New Roman"/>
          <w:sz w:val="24"/>
          <w:szCs w:val="24"/>
        </w:rPr>
        <w:t>ja autorizada</w:t>
      </w:r>
      <w:r w:rsidR="006A395E">
        <w:rPr>
          <w:rFonts w:ascii="Times New Roman" w:hAnsi="Times New Roman" w:cs="Times New Roman"/>
          <w:sz w:val="24"/>
          <w:szCs w:val="24"/>
        </w:rPr>
        <w:t xml:space="preserve"> </w:t>
      </w:r>
      <w:r w:rsidR="00874473">
        <w:rPr>
          <w:rFonts w:ascii="Times New Roman" w:hAnsi="Times New Roman" w:cs="Times New Roman"/>
          <w:sz w:val="24"/>
          <w:szCs w:val="24"/>
        </w:rPr>
        <w:t xml:space="preserve">por meio de lei, </w:t>
      </w:r>
      <w:r w:rsidR="00C934DB">
        <w:rPr>
          <w:rFonts w:ascii="Times New Roman" w:hAnsi="Times New Roman" w:cs="Times New Roman"/>
          <w:sz w:val="24"/>
          <w:szCs w:val="24"/>
        </w:rPr>
        <w:t>de</w:t>
      </w:r>
      <w:r w:rsidR="00874473">
        <w:rPr>
          <w:rFonts w:ascii="Times New Roman" w:hAnsi="Times New Roman" w:cs="Times New Roman"/>
          <w:sz w:val="24"/>
          <w:szCs w:val="24"/>
        </w:rPr>
        <w:t xml:space="preserve"> iniciativa do legítimo representante do povo, </w:t>
      </w:r>
      <w:r w:rsidR="002973D0">
        <w:rPr>
          <w:rFonts w:ascii="Times New Roman" w:hAnsi="Times New Roman" w:cs="Times New Roman"/>
          <w:sz w:val="24"/>
          <w:szCs w:val="24"/>
        </w:rPr>
        <w:t>e desde que se conforme ao sistema constitucional</w:t>
      </w:r>
      <w:r w:rsidR="00D21977">
        <w:rPr>
          <w:rFonts w:ascii="Times New Roman" w:hAnsi="Times New Roman" w:cs="Times New Roman"/>
          <w:sz w:val="24"/>
          <w:szCs w:val="24"/>
        </w:rPr>
        <w:t>,</w:t>
      </w:r>
      <w:r w:rsidR="002973D0">
        <w:rPr>
          <w:rFonts w:ascii="Times New Roman" w:hAnsi="Times New Roman" w:cs="Times New Roman"/>
          <w:sz w:val="24"/>
          <w:szCs w:val="24"/>
        </w:rPr>
        <w:t xml:space="preserve"> </w:t>
      </w:r>
      <w:r w:rsidR="00D21977">
        <w:rPr>
          <w:rFonts w:ascii="Times New Roman" w:hAnsi="Times New Roman" w:cs="Times New Roman"/>
          <w:sz w:val="24"/>
          <w:szCs w:val="24"/>
        </w:rPr>
        <w:t xml:space="preserve">ao </w:t>
      </w:r>
      <w:r w:rsidR="002973D0">
        <w:rPr>
          <w:rFonts w:ascii="Times New Roman" w:hAnsi="Times New Roman" w:cs="Times New Roman"/>
          <w:sz w:val="24"/>
          <w:szCs w:val="24"/>
        </w:rPr>
        <w:t>regime jurídico administrativo</w:t>
      </w:r>
      <w:r w:rsidR="00CE0161">
        <w:rPr>
          <w:rFonts w:ascii="Times New Roman" w:hAnsi="Times New Roman" w:cs="Times New Roman"/>
          <w:sz w:val="24"/>
          <w:szCs w:val="24"/>
        </w:rPr>
        <w:t xml:space="preserve"> e outras exigências que tem sido desenvolvidas com a </w:t>
      </w:r>
      <w:r w:rsidR="007B6D9D">
        <w:rPr>
          <w:rFonts w:ascii="Times New Roman" w:hAnsi="Times New Roman" w:cs="Times New Roman"/>
          <w:sz w:val="24"/>
          <w:szCs w:val="24"/>
        </w:rPr>
        <w:t>evolução do tema</w:t>
      </w:r>
      <w:r w:rsidR="0004671A">
        <w:rPr>
          <w:rFonts w:ascii="Times New Roman" w:hAnsi="Times New Roman" w:cs="Times New Roman"/>
          <w:sz w:val="24"/>
          <w:szCs w:val="24"/>
        </w:rPr>
        <w:t>, como a vantajosidade</w:t>
      </w:r>
      <w:r w:rsidR="001410CE">
        <w:rPr>
          <w:rFonts w:ascii="Times New Roman" w:hAnsi="Times New Roman" w:cs="Times New Roman"/>
          <w:sz w:val="24"/>
          <w:szCs w:val="24"/>
        </w:rPr>
        <w:t xml:space="preserve"> e a economicidade</w:t>
      </w:r>
      <w:r w:rsidR="00A23D37">
        <w:rPr>
          <w:rFonts w:ascii="Times New Roman" w:hAnsi="Times New Roman" w:cs="Times New Roman"/>
          <w:sz w:val="24"/>
          <w:szCs w:val="24"/>
        </w:rPr>
        <w:t xml:space="preserve"> da Administração Pública.</w:t>
      </w:r>
    </w:p>
    <w:p w14:paraId="712A8305" w14:textId="3995AD85" w:rsidR="00780170" w:rsidRDefault="00E45E58"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Isto posto, e c</w:t>
      </w:r>
      <w:r w:rsidR="0009467A">
        <w:rPr>
          <w:rFonts w:ascii="Times New Roman" w:hAnsi="Times New Roman" w:cs="Times New Roman"/>
          <w:sz w:val="24"/>
          <w:szCs w:val="24"/>
        </w:rPr>
        <w:t>onsiderando que atualmente</w:t>
      </w:r>
      <w:r w:rsidR="00CC61BD">
        <w:rPr>
          <w:rFonts w:ascii="Times New Roman" w:hAnsi="Times New Roman" w:cs="Times New Roman"/>
          <w:sz w:val="24"/>
          <w:szCs w:val="24"/>
        </w:rPr>
        <w:t xml:space="preserve"> </w:t>
      </w:r>
      <w:r w:rsidR="0009467A">
        <w:rPr>
          <w:rFonts w:ascii="Times New Roman" w:hAnsi="Times New Roman" w:cs="Times New Roman"/>
          <w:sz w:val="24"/>
          <w:szCs w:val="24"/>
        </w:rPr>
        <w:t xml:space="preserve">ainda há uma grande e desnecessária concentração </w:t>
      </w:r>
      <w:r w:rsidR="00D21D84">
        <w:rPr>
          <w:rFonts w:ascii="Times New Roman" w:hAnsi="Times New Roman" w:cs="Times New Roman"/>
          <w:sz w:val="24"/>
          <w:szCs w:val="24"/>
        </w:rPr>
        <w:t>da resolução dos litígios</w:t>
      </w:r>
      <w:r w:rsidR="00AF2627">
        <w:rPr>
          <w:rFonts w:ascii="Times New Roman" w:hAnsi="Times New Roman" w:cs="Times New Roman"/>
          <w:sz w:val="24"/>
          <w:szCs w:val="24"/>
        </w:rPr>
        <w:t xml:space="preserve"> tributários no </w:t>
      </w:r>
      <w:r w:rsidR="00016852">
        <w:rPr>
          <w:rFonts w:ascii="Times New Roman" w:hAnsi="Times New Roman" w:cs="Times New Roman"/>
          <w:sz w:val="24"/>
          <w:szCs w:val="24"/>
        </w:rPr>
        <w:t xml:space="preserve">âmbito do Judiciário, é </w:t>
      </w:r>
      <w:r w:rsidR="004D442B">
        <w:rPr>
          <w:rFonts w:ascii="Times New Roman" w:hAnsi="Times New Roman" w:cs="Times New Roman"/>
          <w:sz w:val="24"/>
          <w:szCs w:val="24"/>
        </w:rPr>
        <w:t>pertinente que se an</w:t>
      </w:r>
      <w:r>
        <w:rPr>
          <w:rFonts w:ascii="Times New Roman" w:hAnsi="Times New Roman" w:cs="Times New Roman"/>
          <w:sz w:val="24"/>
          <w:szCs w:val="24"/>
        </w:rPr>
        <w:t>a</w:t>
      </w:r>
      <w:r w:rsidR="004D442B">
        <w:rPr>
          <w:rFonts w:ascii="Times New Roman" w:hAnsi="Times New Roman" w:cs="Times New Roman"/>
          <w:sz w:val="24"/>
          <w:szCs w:val="24"/>
        </w:rPr>
        <w:t>lise os dados, cada vez mais robust</w:t>
      </w:r>
      <w:r w:rsidR="003B6C9D">
        <w:rPr>
          <w:rFonts w:ascii="Times New Roman" w:hAnsi="Times New Roman" w:cs="Times New Roman"/>
          <w:sz w:val="24"/>
          <w:szCs w:val="24"/>
        </w:rPr>
        <w:t>o</w:t>
      </w:r>
      <w:r w:rsidR="004D442B">
        <w:rPr>
          <w:rFonts w:ascii="Times New Roman" w:hAnsi="Times New Roman" w:cs="Times New Roman"/>
          <w:sz w:val="24"/>
          <w:szCs w:val="24"/>
        </w:rPr>
        <w:t>s e estruturad</w:t>
      </w:r>
      <w:r w:rsidR="003B6C9D">
        <w:rPr>
          <w:rFonts w:ascii="Times New Roman" w:hAnsi="Times New Roman" w:cs="Times New Roman"/>
          <w:sz w:val="24"/>
          <w:szCs w:val="24"/>
        </w:rPr>
        <w:t>o</w:t>
      </w:r>
      <w:r w:rsidR="004D442B">
        <w:rPr>
          <w:rFonts w:ascii="Times New Roman" w:hAnsi="Times New Roman" w:cs="Times New Roman"/>
          <w:sz w:val="24"/>
          <w:szCs w:val="24"/>
        </w:rPr>
        <w:t xml:space="preserve">s, </w:t>
      </w:r>
      <w:r w:rsidR="00E032EC">
        <w:rPr>
          <w:rFonts w:ascii="Times New Roman" w:hAnsi="Times New Roman" w:cs="Times New Roman"/>
          <w:sz w:val="24"/>
          <w:szCs w:val="24"/>
        </w:rPr>
        <w:t>advind</w:t>
      </w:r>
      <w:r w:rsidR="003B6C9D">
        <w:rPr>
          <w:rFonts w:ascii="Times New Roman" w:hAnsi="Times New Roman" w:cs="Times New Roman"/>
          <w:sz w:val="24"/>
          <w:szCs w:val="24"/>
        </w:rPr>
        <w:t>o</w:t>
      </w:r>
      <w:r w:rsidR="00E032EC">
        <w:rPr>
          <w:rFonts w:ascii="Times New Roman" w:hAnsi="Times New Roman" w:cs="Times New Roman"/>
          <w:sz w:val="24"/>
          <w:szCs w:val="24"/>
        </w:rPr>
        <w:t xml:space="preserve">s </w:t>
      </w:r>
      <w:r w:rsidR="00E92A45">
        <w:rPr>
          <w:rFonts w:ascii="Times New Roman" w:hAnsi="Times New Roman" w:cs="Times New Roman"/>
          <w:sz w:val="24"/>
          <w:szCs w:val="24"/>
        </w:rPr>
        <w:t xml:space="preserve">das crescentes pesquisas nesta seara, de forma a </w:t>
      </w:r>
      <w:r w:rsidR="00A21C36">
        <w:rPr>
          <w:rFonts w:ascii="Times New Roman" w:hAnsi="Times New Roman" w:cs="Times New Roman"/>
          <w:sz w:val="24"/>
          <w:szCs w:val="24"/>
        </w:rPr>
        <w:t>interpretar o estado de coisas atual</w:t>
      </w:r>
      <w:r w:rsidR="00EC4776">
        <w:rPr>
          <w:rFonts w:ascii="Times New Roman" w:hAnsi="Times New Roman" w:cs="Times New Roman"/>
          <w:sz w:val="24"/>
          <w:szCs w:val="24"/>
        </w:rPr>
        <w:t>, olhando para o passado, promovendo os ajustes necessários no presente,</w:t>
      </w:r>
      <w:r w:rsidR="00507112">
        <w:rPr>
          <w:rFonts w:ascii="Times New Roman" w:hAnsi="Times New Roman" w:cs="Times New Roman"/>
          <w:sz w:val="24"/>
          <w:szCs w:val="24"/>
        </w:rPr>
        <w:t xml:space="preserve"> </w:t>
      </w:r>
      <w:r w:rsidR="00AB7C0B">
        <w:rPr>
          <w:rFonts w:ascii="Times New Roman" w:hAnsi="Times New Roman" w:cs="Times New Roman"/>
          <w:sz w:val="24"/>
          <w:szCs w:val="24"/>
        </w:rPr>
        <w:t>com o</w:t>
      </w:r>
      <w:r w:rsidR="00507112">
        <w:rPr>
          <w:rFonts w:ascii="Times New Roman" w:hAnsi="Times New Roman" w:cs="Times New Roman"/>
          <w:sz w:val="24"/>
          <w:szCs w:val="24"/>
        </w:rPr>
        <w:t xml:space="preserve"> intuito de</w:t>
      </w:r>
      <w:r w:rsidR="00AB7C0B">
        <w:rPr>
          <w:rFonts w:ascii="Times New Roman" w:hAnsi="Times New Roman" w:cs="Times New Roman"/>
          <w:sz w:val="24"/>
          <w:szCs w:val="24"/>
        </w:rPr>
        <w:t xml:space="preserve"> impactar positivamente no futuro.</w:t>
      </w:r>
    </w:p>
    <w:p w14:paraId="0098974C" w14:textId="4AD045E5" w:rsidR="00107A9F" w:rsidRDefault="00107A9F" w:rsidP="00107A9F">
      <w:pPr>
        <w:spacing w:before="120" w:after="120" w:line="360" w:lineRule="auto"/>
        <w:ind w:right="-2" w:firstLine="851"/>
        <w:jc w:val="both"/>
        <w:rPr>
          <w:rFonts w:ascii="Times New Roman" w:hAnsi="Times New Roman" w:cs="Times New Roman"/>
          <w:sz w:val="24"/>
          <w:szCs w:val="24"/>
        </w:rPr>
      </w:pPr>
      <w:r w:rsidRPr="00107A9F">
        <w:rPr>
          <w:rFonts w:ascii="Times New Roman" w:hAnsi="Times New Roman" w:cs="Times New Roman"/>
          <w:sz w:val="24"/>
          <w:szCs w:val="24"/>
        </w:rPr>
        <w:t xml:space="preserve">Recente relatório publicado </w:t>
      </w:r>
      <w:r w:rsidR="00E866BD">
        <w:rPr>
          <w:rFonts w:ascii="Times New Roman" w:hAnsi="Times New Roman" w:cs="Times New Roman"/>
          <w:sz w:val="24"/>
          <w:szCs w:val="24"/>
        </w:rPr>
        <w:t xml:space="preserve">em </w:t>
      </w:r>
      <w:r w:rsidRPr="00107A9F">
        <w:rPr>
          <w:rFonts w:ascii="Times New Roman" w:hAnsi="Times New Roman" w:cs="Times New Roman"/>
          <w:sz w:val="24"/>
          <w:szCs w:val="24"/>
        </w:rPr>
        <w:t>2021 pelo Núcleo de Tributação do I</w:t>
      </w:r>
      <w:r w:rsidR="00E866BD">
        <w:rPr>
          <w:rFonts w:ascii="Times New Roman" w:hAnsi="Times New Roman" w:cs="Times New Roman"/>
          <w:sz w:val="24"/>
          <w:szCs w:val="24"/>
        </w:rPr>
        <w:t>NSPER</w:t>
      </w:r>
      <w:r w:rsidRPr="00107A9F">
        <w:rPr>
          <w:rFonts w:ascii="Times New Roman" w:hAnsi="Times New Roman" w:cs="Times New Roman"/>
          <w:sz w:val="24"/>
          <w:szCs w:val="24"/>
        </w:rPr>
        <w:t xml:space="preserve"> indica a utilização das soluções alternativas de conflitos na esfera tributária ainda na fase pré-contenciosa como instrumento de governança no cenário in</w:t>
      </w:r>
      <w:r w:rsidRPr="00107A9F">
        <w:rPr>
          <w:rFonts w:ascii="Times New Roman" w:hAnsi="Times New Roman" w:cs="Times New Roman"/>
          <w:sz w:val="24"/>
          <w:szCs w:val="24"/>
        </w:rPr>
        <w:softHyphen/>
        <w:t>ternacional. Países como Alemanha, França, Estados Unidos e Itália preveem em sua legislação a possibilidade de transação, enquanto Portugal e Itália autorizam a arbitragem de débitos tributários</w:t>
      </w:r>
      <w:r>
        <w:rPr>
          <w:rStyle w:val="Refdenotaderodap"/>
          <w:rFonts w:ascii="Times New Roman" w:hAnsi="Times New Roman" w:cs="Times New Roman"/>
          <w:sz w:val="24"/>
          <w:szCs w:val="24"/>
        </w:rPr>
        <w:footnoteReference w:id="30"/>
      </w:r>
      <w:r w:rsidRPr="00107A9F">
        <w:rPr>
          <w:rFonts w:ascii="Times New Roman" w:hAnsi="Times New Roman" w:cs="Times New Roman"/>
          <w:sz w:val="24"/>
          <w:szCs w:val="24"/>
        </w:rPr>
        <w:t>.</w:t>
      </w:r>
    </w:p>
    <w:p w14:paraId="3A03A08E" w14:textId="758B367E" w:rsidR="00CE589C" w:rsidRDefault="001A7D59"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Nesta linha</w:t>
      </w:r>
      <w:r w:rsidR="00CE589C">
        <w:rPr>
          <w:rFonts w:ascii="Times New Roman" w:hAnsi="Times New Roman" w:cs="Times New Roman"/>
          <w:sz w:val="24"/>
          <w:szCs w:val="24"/>
        </w:rPr>
        <w:t xml:space="preserve">, a intensificação dos estudos recentes, capitaneados pelo Conselho Nacional de Justiça (CNJ), evidenciam que </w:t>
      </w:r>
      <w:r w:rsidR="00FA29E7">
        <w:rPr>
          <w:rFonts w:ascii="Times New Roman" w:hAnsi="Times New Roman" w:cs="Times New Roman"/>
          <w:sz w:val="24"/>
          <w:szCs w:val="24"/>
        </w:rPr>
        <w:t xml:space="preserve">a imediata transformação na gestão do contencioso fiscal é crucial não só para as relações tributárias, mas para a sustentabilidade de todo o sistema </w:t>
      </w:r>
      <w:r w:rsidR="00691BC2">
        <w:rPr>
          <w:rFonts w:ascii="Times New Roman" w:hAnsi="Times New Roman" w:cs="Times New Roman"/>
          <w:sz w:val="24"/>
          <w:szCs w:val="24"/>
        </w:rPr>
        <w:t>j</w:t>
      </w:r>
      <w:r w:rsidR="00FA29E7">
        <w:rPr>
          <w:rFonts w:ascii="Times New Roman" w:hAnsi="Times New Roman" w:cs="Times New Roman"/>
          <w:sz w:val="24"/>
          <w:szCs w:val="24"/>
        </w:rPr>
        <w:t>udiciári</w:t>
      </w:r>
      <w:r w:rsidR="00E82937">
        <w:rPr>
          <w:rFonts w:ascii="Times New Roman" w:hAnsi="Times New Roman" w:cs="Times New Roman"/>
          <w:sz w:val="24"/>
          <w:szCs w:val="24"/>
        </w:rPr>
        <w:t>o</w:t>
      </w:r>
      <w:r w:rsidR="004A697B">
        <w:rPr>
          <w:rFonts w:ascii="Times New Roman" w:hAnsi="Times New Roman" w:cs="Times New Roman"/>
          <w:sz w:val="24"/>
          <w:szCs w:val="24"/>
        </w:rPr>
        <w:t>.</w:t>
      </w:r>
    </w:p>
    <w:p w14:paraId="4BFE7BFC" w14:textId="098CABD9" w:rsidR="00386D97" w:rsidRDefault="001A7D59" w:rsidP="00EE07B3">
      <w:pPr>
        <w:spacing w:before="120" w:after="120" w:line="360" w:lineRule="auto"/>
        <w:ind w:right="-2" w:firstLine="851"/>
        <w:jc w:val="both"/>
        <w:rPr>
          <w:rFonts w:ascii="Times New Roman" w:hAnsi="Times New Roman" w:cs="Times New Roman"/>
          <w:i/>
          <w:iCs/>
          <w:sz w:val="24"/>
          <w:szCs w:val="24"/>
        </w:rPr>
      </w:pPr>
      <w:r>
        <w:rPr>
          <w:rFonts w:ascii="Times New Roman" w:hAnsi="Times New Roman" w:cs="Times New Roman"/>
          <w:sz w:val="24"/>
          <w:szCs w:val="24"/>
        </w:rPr>
        <w:t>C</w:t>
      </w:r>
      <w:r w:rsidR="00386D97">
        <w:rPr>
          <w:rFonts w:ascii="Times New Roman" w:hAnsi="Times New Roman" w:cs="Times New Roman"/>
          <w:sz w:val="24"/>
          <w:szCs w:val="24"/>
        </w:rPr>
        <w:t xml:space="preserve">umpre dar destaque </w:t>
      </w:r>
      <w:r w:rsidR="00FD2378">
        <w:rPr>
          <w:rFonts w:ascii="Times New Roman" w:hAnsi="Times New Roman" w:cs="Times New Roman"/>
          <w:sz w:val="24"/>
          <w:szCs w:val="24"/>
        </w:rPr>
        <w:t>à 19ª edição do</w:t>
      </w:r>
      <w:r w:rsidR="00386D97">
        <w:rPr>
          <w:rFonts w:ascii="Times New Roman" w:hAnsi="Times New Roman" w:cs="Times New Roman"/>
          <w:sz w:val="24"/>
          <w:szCs w:val="24"/>
        </w:rPr>
        <w:t xml:space="preserve"> “Relatório Justiça em Números”</w:t>
      </w:r>
      <w:r w:rsidR="008559A5">
        <w:rPr>
          <w:rStyle w:val="Refdenotaderodap"/>
          <w:rFonts w:ascii="Times New Roman" w:hAnsi="Times New Roman" w:cs="Times New Roman"/>
          <w:sz w:val="24"/>
          <w:szCs w:val="24"/>
        </w:rPr>
        <w:footnoteReference w:id="31"/>
      </w:r>
      <w:r w:rsidR="00386D97">
        <w:rPr>
          <w:rFonts w:ascii="Times New Roman" w:hAnsi="Times New Roman" w:cs="Times New Roman"/>
          <w:sz w:val="24"/>
          <w:szCs w:val="24"/>
        </w:rPr>
        <w:t>,</w:t>
      </w:r>
      <w:r w:rsidR="00FD2378">
        <w:rPr>
          <w:rFonts w:ascii="Times New Roman" w:hAnsi="Times New Roman" w:cs="Times New Roman"/>
          <w:sz w:val="24"/>
          <w:szCs w:val="24"/>
        </w:rPr>
        <w:t xml:space="preserve"> publicado em 2022,</w:t>
      </w:r>
      <w:r w:rsidR="00386D97">
        <w:rPr>
          <w:rFonts w:ascii="Times New Roman" w:hAnsi="Times New Roman" w:cs="Times New Roman"/>
          <w:sz w:val="24"/>
          <w:szCs w:val="24"/>
        </w:rPr>
        <w:t xml:space="preserve"> que inaugurou </w:t>
      </w:r>
      <w:r w:rsidR="00386D97" w:rsidRPr="00644D89">
        <w:rPr>
          <w:rFonts w:ascii="Times New Roman" w:hAnsi="Times New Roman" w:cs="Times New Roman"/>
          <w:sz w:val="24"/>
          <w:szCs w:val="24"/>
        </w:rPr>
        <w:t>“nova etapa de construção metodológica dos dados estatísticos e indicadores do Poder Judiciário nacional”,</w:t>
      </w:r>
      <w:r w:rsidR="00386D97">
        <w:rPr>
          <w:rFonts w:ascii="Times New Roman" w:hAnsi="Times New Roman" w:cs="Times New Roman"/>
          <w:sz w:val="24"/>
          <w:szCs w:val="24"/>
        </w:rPr>
        <w:t xml:space="preserve"> tendo como objetivo a construção de uma cultura institucional baseada em dados (</w:t>
      </w:r>
      <w:r w:rsidR="00644D89">
        <w:rPr>
          <w:rFonts w:ascii="Times New Roman" w:hAnsi="Times New Roman" w:cs="Times New Roman"/>
          <w:i/>
          <w:iCs/>
          <w:sz w:val="24"/>
          <w:szCs w:val="24"/>
        </w:rPr>
        <w:t>“</w:t>
      </w:r>
      <w:r w:rsidR="00386D97" w:rsidRPr="00644D89">
        <w:rPr>
          <w:rFonts w:ascii="Times New Roman" w:hAnsi="Times New Roman" w:cs="Times New Roman"/>
          <w:i/>
          <w:iCs/>
          <w:sz w:val="24"/>
          <w:szCs w:val="24"/>
        </w:rPr>
        <w:t>data-driven administration</w:t>
      </w:r>
      <w:r w:rsidR="00644D89">
        <w:rPr>
          <w:rFonts w:ascii="Times New Roman" w:hAnsi="Times New Roman" w:cs="Times New Roman"/>
          <w:i/>
          <w:iCs/>
          <w:sz w:val="24"/>
          <w:szCs w:val="24"/>
        </w:rPr>
        <w:t>”</w:t>
      </w:r>
      <w:r w:rsidR="00386D97">
        <w:rPr>
          <w:rFonts w:ascii="Times New Roman" w:hAnsi="Times New Roman" w:cs="Times New Roman"/>
          <w:sz w:val="24"/>
          <w:szCs w:val="24"/>
        </w:rPr>
        <w:t xml:space="preserve">) e como pilar a utilização do Banco Nacional de Dados do Poder Judiciário (DataJud) como fonte originária de obtenção de dados, que tem como diferencial o envio </w:t>
      </w:r>
      <w:r w:rsidR="00386D97">
        <w:rPr>
          <w:rFonts w:ascii="Times New Roman" w:hAnsi="Times New Roman" w:cs="Times New Roman"/>
          <w:sz w:val="24"/>
          <w:szCs w:val="24"/>
        </w:rPr>
        <w:lastRenderedPageBreak/>
        <w:t xml:space="preserve">e recebimento automatizado de informações junto às cortes brasileiras, em iniciativa de </w:t>
      </w:r>
      <w:r w:rsidR="00386D97" w:rsidRPr="00644D89">
        <w:rPr>
          <w:rFonts w:ascii="Times New Roman" w:hAnsi="Times New Roman" w:cs="Times New Roman"/>
          <w:sz w:val="24"/>
          <w:szCs w:val="24"/>
        </w:rPr>
        <w:t>“transparência ativa, governança e democracia participativa”.</w:t>
      </w:r>
    </w:p>
    <w:p w14:paraId="4607E094" w14:textId="1D514E5C" w:rsidR="00EF722E" w:rsidRPr="00EF722E" w:rsidRDefault="00EF722E" w:rsidP="00EE07B3">
      <w:pPr>
        <w:spacing w:before="120" w:after="120" w:line="360" w:lineRule="auto"/>
        <w:ind w:right="-2" w:firstLine="851"/>
        <w:jc w:val="both"/>
        <w:rPr>
          <w:rFonts w:ascii="Times New Roman" w:hAnsi="Times New Roman" w:cs="Times New Roman"/>
          <w:sz w:val="24"/>
          <w:szCs w:val="24"/>
        </w:rPr>
      </w:pPr>
      <w:r w:rsidRPr="00EF722E">
        <w:rPr>
          <w:rFonts w:ascii="Times New Roman" w:hAnsi="Times New Roman" w:cs="Times New Roman"/>
          <w:sz w:val="24"/>
          <w:szCs w:val="24"/>
        </w:rPr>
        <w:t>O novo documento confirma as estatísticas – bastante divulgadas – dos anos anteriores, destacando que as execuções fiscais</w:t>
      </w:r>
      <w:r w:rsidR="00485997">
        <w:rPr>
          <w:rFonts w:ascii="Times New Roman" w:hAnsi="Times New Roman" w:cs="Times New Roman"/>
          <w:sz w:val="24"/>
          <w:szCs w:val="24"/>
        </w:rPr>
        <w:t xml:space="preserve"> </w:t>
      </w:r>
      <w:r w:rsidRPr="00EF722E">
        <w:rPr>
          <w:rFonts w:ascii="Times New Roman" w:hAnsi="Times New Roman" w:cs="Times New Roman"/>
          <w:sz w:val="24"/>
          <w:szCs w:val="24"/>
        </w:rPr>
        <w:t>representam 35% do total de casos pendentes e 65% das execuções pendentes no Poder Judiciário, com uma taxa de congestionamento de aproximadamente 90% e tempo médio de tramitação de 6 anos e 11 meses</w:t>
      </w:r>
      <w:r w:rsidR="0083367C">
        <w:rPr>
          <w:rStyle w:val="Refdenotaderodap"/>
          <w:rFonts w:ascii="Times New Roman" w:hAnsi="Times New Roman" w:cs="Times New Roman"/>
          <w:sz w:val="24"/>
          <w:szCs w:val="24"/>
        </w:rPr>
        <w:footnoteReference w:id="32"/>
      </w:r>
      <w:r w:rsidRPr="00EF722E">
        <w:rPr>
          <w:rFonts w:ascii="Times New Roman" w:hAnsi="Times New Roman" w:cs="Times New Roman"/>
          <w:sz w:val="24"/>
          <w:szCs w:val="24"/>
        </w:rPr>
        <w:t>.</w:t>
      </w:r>
    </w:p>
    <w:p w14:paraId="14938CB6" w14:textId="0B653B5C" w:rsidR="00EF722E" w:rsidRDefault="00881909"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Além disso, n</w:t>
      </w:r>
      <w:r w:rsidR="00EF722E" w:rsidRPr="00EF722E">
        <w:rPr>
          <w:rFonts w:ascii="Times New Roman" w:hAnsi="Times New Roman" w:cs="Times New Roman"/>
          <w:sz w:val="24"/>
          <w:szCs w:val="24"/>
        </w:rPr>
        <w:t xml:space="preserve">o capítulo em que se faz o levantamento das classes e assuntos mais demandados, </w:t>
      </w:r>
      <w:r w:rsidR="006A659F">
        <w:rPr>
          <w:rFonts w:ascii="Times New Roman" w:hAnsi="Times New Roman" w:cs="Times New Roman"/>
          <w:sz w:val="24"/>
          <w:szCs w:val="24"/>
        </w:rPr>
        <w:t xml:space="preserve">verificou-se que </w:t>
      </w:r>
      <w:r w:rsidR="007D3F54">
        <w:rPr>
          <w:rFonts w:ascii="Times New Roman" w:hAnsi="Times New Roman" w:cs="Times New Roman"/>
          <w:sz w:val="24"/>
          <w:szCs w:val="24"/>
        </w:rPr>
        <w:t>matérias de</w:t>
      </w:r>
      <w:r w:rsidR="00EF722E" w:rsidRPr="00EF722E">
        <w:rPr>
          <w:rFonts w:ascii="Times New Roman" w:hAnsi="Times New Roman" w:cs="Times New Roman"/>
          <w:sz w:val="24"/>
          <w:szCs w:val="24"/>
        </w:rPr>
        <w:t xml:space="preserve"> Direito Tributário</w:t>
      </w:r>
      <w:r w:rsidR="007D3F54">
        <w:rPr>
          <w:rFonts w:ascii="Times New Roman" w:hAnsi="Times New Roman" w:cs="Times New Roman"/>
          <w:sz w:val="24"/>
          <w:szCs w:val="24"/>
        </w:rPr>
        <w:t xml:space="preserve"> figura</w:t>
      </w:r>
      <w:r w:rsidR="00803878">
        <w:rPr>
          <w:rFonts w:ascii="Times New Roman" w:hAnsi="Times New Roman" w:cs="Times New Roman"/>
          <w:sz w:val="24"/>
          <w:szCs w:val="24"/>
        </w:rPr>
        <w:t>m</w:t>
      </w:r>
      <w:r w:rsidR="007D3F54">
        <w:rPr>
          <w:rFonts w:ascii="Times New Roman" w:hAnsi="Times New Roman" w:cs="Times New Roman"/>
          <w:sz w:val="24"/>
          <w:szCs w:val="24"/>
        </w:rPr>
        <w:t xml:space="preserve"> entre os</w:t>
      </w:r>
      <w:r w:rsidR="00EF722E" w:rsidRPr="00EF722E">
        <w:rPr>
          <w:rFonts w:ascii="Times New Roman" w:hAnsi="Times New Roman" w:cs="Times New Roman"/>
          <w:sz w:val="24"/>
          <w:szCs w:val="24"/>
        </w:rPr>
        <w:t xml:space="preserve"> assuntos mais recorrentes </w:t>
      </w:r>
      <w:r w:rsidR="004B2F06">
        <w:rPr>
          <w:rFonts w:ascii="Times New Roman" w:hAnsi="Times New Roman" w:cs="Times New Roman"/>
          <w:sz w:val="24"/>
          <w:szCs w:val="24"/>
        </w:rPr>
        <w:t>da</w:t>
      </w:r>
      <w:r w:rsidR="00EF722E" w:rsidRPr="00EF722E">
        <w:rPr>
          <w:rFonts w:ascii="Times New Roman" w:hAnsi="Times New Roman" w:cs="Times New Roman"/>
          <w:sz w:val="24"/>
          <w:szCs w:val="24"/>
        </w:rPr>
        <w:t xml:space="preserve"> Justiça Estadual e o assunto mais demandado no segundo grau na Justiça Federal.</w:t>
      </w:r>
    </w:p>
    <w:p w14:paraId="0F654E87" w14:textId="3D084441" w:rsidR="00406BE9" w:rsidRDefault="00A34ACF"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Em estudo ainda mais </w:t>
      </w:r>
      <w:r w:rsidRPr="004122FD">
        <w:rPr>
          <w:rFonts w:ascii="Times New Roman" w:hAnsi="Times New Roman" w:cs="Times New Roman"/>
          <w:sz w:val="24"/>
          <w:szCs w:val="24"/>
        </w:rPr>
        <w:t>especializado</w:t>
      </w:r>
      <w:r>
        <w:rPr>
          <w:rFonts w:ascii="Times New Roman" w:hAnsi="Times New Roman" w:cs="Times New Roman"/>
          <w:sz w:val="24"/>
          <w:szCs w:val="24"/>
        </w:rPr>
        <w:t xml:space="preserve">, </w:t>
      </w:r>
      <w:r w:rsidR="00033C15">
        <w:rPr>
          <w:rFonts w:ascii="Times New Roman" w:hAnsi="Times New Roman" w:cs="Times New Roman"/>
          <w:sz w:val="24"/>
          <w:szCs w:val="24"/>
        </w:rPr>
        <w:t>também realizado pelo CNJ</w:t>
      </w:r>
      <w:r w:rsidR="004122FD">
        <w:rPr>
          <w:rFonts w:ascii="Times New Roman" w:hAnsi="Times New Roman" w:cs="Times New Roman"/>
          <w:sz w:val="24"/>
          <w:szCs w:val="24"/>
        </w:rPr>
        <w:t>,</w:t>
      </w:r>
      <w:r w:rsidR="00495862">
        <w:rPr>
          <w:rFonts w:ascii="Times New Roman" w:hAnsi="Times New Roman" w:cs="Times New Roman"/>
          <w:sz w:val="24"/>
          <w:szCs w:val="24"/>
        </w:rPr>
        <w:t xml:space="preserve"> </w:t>
      </w:r>
      <w:r w:rsidR="00033C15">
        <w:rPr>
          <w:rFonts w:ascii="Times New Roman" w:hAnsi="Times New Roman" w:cs="Times New Roman"/>
          <w:sz w:val="24"/>
          <w:szCs w:val="24"/>
        </w:rPr>
        <w:t xml:space="preserve">em parceria com o INSPER, </w:t>
      </w:r>
      <w:r w:rsidR="002A2A93">
        <w:rPr>
          <w:rFonts w:ascii="Times New Roman" w:hAnsi="Times New Roman" w:cs="Times New Roman"/>
          <w:sz w:val="24"/>
          <w:szCs w:val="24"/>
        </w:rPr>
        <w:t>no âmbito da 5ª edição do “Justiça Pesquisa</w:t>
      </w:r>
      <w:r w:rsidR="00604E14">
        <w:rPr>
          <w:rFonts w:ascii="Times New Roman" w:hAnsi="Times New Roman" w:cs="Times New Roman"/>
          <w:sz w:val="24"/>
          <w:szCs w:val="24"/>
        </w:rPr>
        <w:t xml:space="preserve"> – Diagnóstico do Contencioso Judicial Tributário Brasileiro”</w:t>
      </w:r>
      <w:r w:rsidR="00983E63">
        <w:rPr>
          <w:rStyle w:val="Refdenotaderodap"/>
          <w:rFonts w:ascii="Times New Roman" w:hAnsi="Times New Roman" w:cs="Times New Roman"/>
          <w:sz w:val="24"/>
          <w:szCs w:val="24"/>
        </w:rPr>
        <w:footnoteReference w:id="33"/>
      </w:r>
      <w:r w:rsidR="002C4887">
        <w:rPr>
          <w:rFonts w:ascii="Times New Roman" w:hAnsi="Times New Roman" w:cs="Times New Roman"/>
          <w:sz w:val="24"/>
          <w:szCs w:val="24"/>
        </w:rPr>
        <w:t>, publicad</w:t>
      </w:r>
      <w:r w:rsidR="00FC7A04">
        <w:rPr>
          <w:rFonts w:ascii="Times New Roman" w:hAnsi="Times New Roman" w:cs="Times New Roman"/>
          <w:sz w:val="24"/>
          <w:szCs w:val="24"/>
        </w:rPr>
        <w:t>o</w:t>
      </w:r>
      <w:r w:rsidR="002C4887">
        <w:rPr>
          <w:rFonts w:ascii="Times New Roman" w:hAnsi="Times New Roman" w:cs="Times New Roman"/>
          <w:sz w:val="24"/>
          <w:szCs w:val="24"/>
        </w:rPr>
        <w:t xml:space="preserve"> em 2022,</w:t>
      </w:r>
      <w:r w:rsidR="00493483">
        <w:rPr>
          <w:rFonts w:ascii="Times New Roman" w:hAnsi="Times New Roman" w:cs="Times New Roman"/>
          <w:sz w:val="24"/>
          <w:szCs w:val="24"/>
        </w:rPr>
        <w:t xml:space="preserve"> </w:t>
      </w:r>
      <w:r w:rsidR="002401CE">
        <w:rPr>
          <w:rFonts w:ascii="Times New Roman" w:hAnsi="Times New Roman" w:cs="Times New Roman"/>
          <w:sz w:val="24"/>
          <w:szCs w:val="24"/>
        </w:rPr>
        <w:t>foram apresentados</w:t>
      </w:r>
      <w:r w:rsidR="00CE78E7">
        <w:rPr>
          <w:rFonts w:ascii="Times New Roman" w:hAnsi="Times New Roman" w:cs="Times New Roman"/>
          <w:sz w:val="24"/>
          <w:szCs w:val="24"/>
        </w:rPr>
        <w:t xml:space="preserve"> alguns dados </w:t>
      </w:r>
      <w:r w:rsidR="00FE1E92">
        <w:rPr>
          <w:rFonts w:ascii="Times New Roman" w:hAnsi="Times New Roman" w:cs="Times New Roman"/>
          <w:sz w:val="24"/>
          <w:szCs w:val="24"/>
        </w:rPr>
        <w:t xml:space="preserve">alarmantes, </w:t>
      </w:r>
      <w:r w:rsidR="006B7FCC">
        <w:rPr>
          <w:rFonts w:ascii="Times New Roman" w:hAnsi="Times New Roman" w:cs="Times New Roman"/>
          <w:sz w:val="24"/>
          <w:szCs w:val="24"/>
        </w:rPr>
        <w:t xml:space="preserve">como o de que o </w:t>
      </w:r>
      <w:r w:rsidR="00CE78E7">
        <w:rPr>
          <w:rFonts w:ascii="Times New Roman" w:hAnsi="Times New Roman" w:cs="Times New Roman"/>
          <w:sz w:val="24"/>
          <w:szCs w:val="24"/>
        </w:rPr>
        <w:t xml:space="preserve">valor discutido no </w:t>
      </w:r>
      <w:r w:rsidR="006B7FCC">
        <w:rPr>
          <w:rFonts w:ascii="Times New Roman" w:hAnsi="Times New Roman" w:cs="Times New Roman"/>
          <w:sz w:val="24"/>
          <w:szCs w:val="24"/>
        </w:rPr>
        <w:t>contencioso administrativo e judicial brasileiro na esfera tributária</w:t>
      </w:r>
      <w:r w:rsidR="00CE78E7">
        <w:rPr>
          <w:rFonts w:ascii="Times New Roman" w:hAnsi="Times New Roman" w:cs="Times New Roman"/>
          <w:sz w:val="24"/>
          <w:szCs w:val="24"/>
        </w:rPr>
        <w:t xml:space="preserve"> equivale a</w:t>
      </w:r>
      <w:r w:rsidR="006B7FCC" w:rsidRPr="000353E1">
        <w:rPr>
          <w:rFonts w:ascii="Times New Roman" w:hAnsi="Times New Roman" w:cs="Times New Roman"/>
          <w:sz w:val="24"/>
          <w:szCs w:val="24"/>
        </w:rPr>
        <w:t xml:space="preserve"> </w:t>
      </w:r>
      <w:r w:rsidR="00BC79C7" w:rsidRPr="000353E1">
        <w:rPr>
          <w:rFonts w:ascii="Times New Roman" w:hAnsi="Times New Roman" w:cs="Times New Roman"/>
          <w:sz w:val="24"/>
          <w:szCs w:val="24"/>
        </w:rPr>
        <w:t xml:space="preserve">quase </w:t>
      </w:r>
      <w:r w:rsidR="006B7FCC" w:rsidRPr="000353E1">
        <w:rPr>
          <w:rFonts w:ascii="Times New Roman" w:hAnsi="Times New Roman" w:cs="Times New Roman"/>
          <w:sz w:val="24"/>
          <w:szCs w:val="24"/>
        </w:rPr>
        <w:t>7</w:t>
      </w:r>
      <w:r w:rsidR="00BC79C7" w:rsidRPr="000353E1">
        <w:rPr>
          <w:rFonts w:ascii="Times New Roman" w:hAnsi="Times New Roman" w:cs="Times New Roman"/>
          <w:sz w:val="24"/>
          <w:szCs w:val="24"/>
        </w:rPr>
        <w:t>5</w:t>
      </w:r>
      <w:r w:rsidR="006B7FCC" w:rsidRPr="000353E1">
        <w:rPr>
          <w:rFonts w:ascii="Times New Roman" w:hAnsi="Times New Roman" w:cs="Times New Roman"/>
          <w:sz w:val="24"/>
          <w:szCs w:val="24"/>
        </w:rPr>
        <w:t>% do PIB</w:t>
      </w:r>
      <w:r w:rsidR="000353E1">
        <w:rPr>
          <w:rFonts w:ascii="Times New Roman" w:hAnsi="Times New Roman" w:cs="Times New Roman"/>
          <w:sz w:val="24"/>
          <w:szCs w:val="24"/>
        </w:rPr>
        <w:t xml:space="preserve"> </w:t>
      </w:r>
      <w:r w:rsidR="002401CE">
        <w:rPr>
          <w:rFonts w:ascii="Times New Roman" w:hAnsi="Times New Roman" w:cs="Times New Roman"/>
          <w:sz w:val="24"/>
          <w:szCs w:val="24"/>
        </w:rPr>
        <w:t xml:space="preserve">do país </w:t>
      </w:r>
      <w:r w:rsidR="00BC79C7">
        <w:rPr>
          <w:rFonts w:ascii="Times New Roman" w:hAnsi="Times New Roman" w:cs="Times New Roman"/>
          <w:sz w:val="24"/>
          <w:szCs w:val="24"/>
        </w:rPr>
        <w:t>e a de que</w:t>
      </w:r>
      <w:r w:rsidR="00616415">
        <w:rPr>
          <w:rFonts w:ascii="Times New Roman" w:hAnsi="Times New Roman" w:cs="Times New Roman"/>
          <w:sz w:val="24"/>
          <w:szCs w:val="24"/>
        </w:rPr>
        <w:t xml:space="preserve"> a conclusão de um processo tributário no </w:t>
      </w:r>
      <w:r w:rsidR="00766F22">
        <w:rPr>
          <w:rFonts w:ascii="Times New Roman" w:hAnsi="Times New Roman" w:cs="Times New Roman"/>
          <w:sz w:val="24"/>
          <w:szCs w:val="24"/>
        </w:rPr>
        <w:t>país</w:t>
      </w:r>
      <w:r w:rsidR="00616415">
        <w:rPr>
          <w:rFonts w:ascii="Times New Roman" w:hAnsi="Times New Roman" w:cs="Times New Roman"/>
          <w:sz w:val="24"/>
          <w:szCs w:val="24"/>
        </w:rPr>
        <w:t xml:space="preserve"> leva em média 18 anos e 11 meses, incluindo as fases administrativa e judicial.</w:t>
      </w:r>
    </w:p>
    <w:p w14:paraId="49789256" w14:textId="2B2848CA" w:rsidR="0085291A" w:rsidRDefault="0055479B"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E</w:t>
      </w:r>
      <w:r w:rsidR="00E23E76">
        <w:rPr>
          <w:rFonts w:ascii="Times New Roman" w:hAnsi="Times New Roman" w:cs="Times New Roman"/>
          <w:sz w:val="24"/>
          <w:szCs w:val="24"/>
        </w:rPr>
        <w:t>ste estado de</w:t>
      </w:r>
      <w:r w:rsidR="00BA7147">
        <w:rPr>
          <w:rFonts w:ascii="Times New Roman" w:hAnsi="Times New Roman" w:cs="Times New Roman"/>
          <w:sz w:val="24"/>
          <w:szCs w:val="24"/>
        </w:rPr>
        <w:t xml:space="preserve"> coisas provoca enorme</w:t>
      </w:r>
      <w:r w:rsidR="00E23E76">
        <w:rPr>
          <w:rFonts w:ascii="Times New Roman" w:hAnsi="Times New Roman" w:cs="Times New Roman"/>
          <w:sz w:val="24"/>
          <w:szCs w:val="24"/>
        </w:rPr>
        <w:t xml:space="preserve"> insegurança nas relações tributárias</w:t>
      </w:r>
      <w:r w:rsidR="00BA7147">
        <w:rPr>
          <w:rFonts w:ascii="Times New Roman" w:hAnsi="Times New Roman" w:cs="Times New Roman"/>
          <w:sz w:val="24"/>
          <w:szCs w:val="24"/>
        </w:rPr>
        <w:t>, trazendo</w:t>
      </w:r>
      <w:r w:rsidR="009F743F">
        <w:rPr>
          <w:rFonts w:ascii="Times New Roman" w:hAnsi="Times New Roman" w:cs="Times New Roman"/>
          <w:sz w:val="24"/>
          <w:szCs w:val="24"/>
        </w:rPr>
        <w:t xml:space="preserve"> diversos prejuízos</w:t>
      </w:r>
      <w:r w:rsidR="00404A9D">
        <w:rPr>
          <w:rFonts w:ascii="Times New Roman" w:hAnsi="Times New Roman" w:cs="Times New Roman"/>
          <w:sz w:val="24"/>
          <w:szCs w:val="24"/>
        </w:rPr>
        <w:t xml:space="preserve"> </w:t>
      </w:r>
      <w:r w:rsidR="004A3AE4">
        <w:rPr>
          <w:rFonts w:ascii="Times New Roman" w:hAnsi="Times New Roman" w:cs="Times New Roman"/>
          <w:sz w:val="24"/>
          <w:szCs w:val="24"/>
        </w:rPr>
        <w:t xml:space="preserve">socioeconômicos, </w:t>
      </w:r>
      <w:r w:rsidR="00171243">
        <w:rPr>
          <w:rFonts w:ascii="Times New Roman" w:hAnsi="Times New Roman" w:cs="Times New Roman"/>
          <w:sz w:val="24"/>
          <w:szCs w:val="24"/>
        </w:rPr>
        <w:t xml:space="preserve">que </w:t>
      </w:r>
      <w:r w:rsidR="00094E03">
        <w:rPr>
          <w:rFonts w:ascii="Times New Roman" w:hAnsi="Times New Roman" w:cs="Times New Roman"/>
          <w:sz w:val="24"/>
          <w:szCs w:val="24"/>
        </w:rPr>
        <w:t xml:space="preserve">interferem negativamente no desenvolvimento do país, </w:t>
      </w:r>
      <w:r w:rsidR="005572C4">
        <w:rPr>
          <w:rFonts w:ascii="Times New Roman" w:hAnsi="Times New Roman" w:cs="Times New Roman"/>
          <w:sz w:val="24"/>
          <w:szCs w:val="24"/>
        </w:rPr>
        <w:t xml:space="preserve">em razão de um péssimo </w:t>
      </w:r>
      <w:r w:rsidR="00727299">
        <w:rPr>
          <w:rFonts w:ascii="Times New Roman" w:hAnsi="Times New Roman" w:cs="Times New Roman"/>
          <w:sz w:val="24"/>
          <w:szCs w:val="24"/>
        </w:rPr>
        <w:t xml:space="preserve">ambiente de negócios, </w:t>
      </w:r>
      <w:r w:rsidR="00C80824">
        <w:rPr>
          <w:rFonts w:ascii="Times New Roman" w:hAnsi="Times New Roman" w:cs="Times New Roman"/>
          <w:sz w:val="24"/>
          <w:szCs w:val="24"/>
        </w:rPr>
        <w:t xml:space="preserve">dificuldade de </w:t>
      </w:r>
      <w:r w:rsidR="00727299">
        <w:rPr>
          <w:rFonts w:ascii="Times New Roman" w:hAnsi="Times New Roman" w:cs="Times New Roman"/>
          <w:sz w:val="24"/>
          <w:szCs w:val="24"/>
        </w:rPr>
        <w:t xml:space="preserve">atração de investimentos, </w:t>
      </w:r>
      <w:r w:rsidR="00C80824">
        <w:rPr>
          <w:rFonts w:ascii="Times New Roman" w:hAnsi="Times New Roman" w:cs="Times New Roman"/>
          <w:sz w:val="24"/>
          <w:szCs w:val="24"/>
        </w:rPr>
        <w:t>além d</w:t>
      </w:r>
      <w:r w:rsidR="00AD7CDB">
        <w:rPr>
          <w:rFonts w:ascii="Times New Roman" w:hAnsi="Times New Roman" w:cs="Times New Roman"/>
          <w:sz w:val="24"/>
          <w:szCs w:val="24"/>
        </w:rPr>
        <w:t>e um</w:t>
      </w:r>
      <w:r w:rsidR="00C80824">
        <w:rPr>
          <w:rFonts w:ascii="Times New Roman" w:hAnsi="Times New Roman" w:cs="Times New Roman"/>
          <w:sz w:val="24"/>
          <w:szCs w:val="24"/>
        </w:rPr>
        <w:t xml:space="preserve"> gigantesco </w:t>
      </w:r>
      <w:r w:rsidR="00A35218">
        <w:rPr>
          <w:rFonts w:ascii="Times New Roman" w:hAnsi="Times New Roman" w:cs="Times New Roman"/>
          <w:sz w:val="24"/>
          <w:szCs w:val="24"/>
        </w:rPr>
        <w:t>estoque de capital improdutivo</w:t>
      </w:r>
      <w:r w:rsidR="00AD7CDB">
        <w:rPr>
          <w:rFonts w:ascii="Times New Roman" w:hAnsi="Times New Roman" w:cs="Times New Roman"/>
          <w:sz w:val="24"/>
          <w:szCs w:val="24"/>
        </w:rPr>
        <w:t>, provisionado par</w:t>
      </w:r>
      <w:r w:rsidR="00250562">
        <w:rPr>
          <w:rFonts w:ascii="Times New Roman" w:hAnsi="Times New Roman" w:cs="Times New Roman"/>
          <w:sz w:val="24"/>
          <w:szCs w:val="24"/>
        </w:rPr>
        <w:t xml:space="preserve">a as </w:t>
      </w:r>
      <w:r w:rsidR="003C421E">
        <w:rPr>
          <w:rFonts w:ascii="Times New Roman" w:hAnsi="Times New Roman" w:cs="Times New Roman"/>
          <w:sz w:val="24"/>
          <w:szCs w:val="24"/>
        </w:rPr>
        <w:t>disputas</w:t>
      </w:r>
      <w:r w:rsidR="002546AA">
        <w:rPr>
          <w:rFonts w:ascii="Times New Roman" w:hAnsi="Times New Roman" w:cs="Times New Roman"/>
          <w:sz w:val="24"/>
          <w:szCs w:val="24"/>
        </w:rPr>
        <w:t xml:space="preserve"> fiscais.</w:t>
      </w:r>
    </w:p>
    <w:p w14:paraId="7ACB13BF" w14:textId="56135D64" w:rsidR="00EF518D" w:rsidRDefault="00C3714E"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T</w:t>
      </w:r>
      <w:r w:rsidR="000B3D1F">
        <w:rPr>
          <w:rFonts w:ascii="Times New Roman" w:hAnsi="Times New Roman" w:cs="Times New Roman"/>
          <w:sz w:val="24"/>
          <w:szCs w:val="24"/>
        </w:rPr>
        <w:t xml:space="preserve">ratando-se de problema complexo, </w:t>
      </w:r>
      <w:r w:rsidR="0012241B">
        <w:rPr>
          <w:rFonts w:ascii="Times New Roman" w:hAnsi="Times New Roman" w:cs="Times New Roman"/>
          <w:sz w:val="24"/>
          <w:szCs w:val="24"/>
        </w:rPr>
        <w:t xml:space="preserve">não haverá solução </w:t>
      </w:r>
      <w:r w:rsidR="00A72FED">
        <w:rPr>
          <w:rFonts w:ascii="Times New Roman" w:hAnsi="Times New Roman" w:cs="Times New Roman"/>
          <w:sz w:val="24"/>
          <w:szCs w:val="24"/>
        </w:rPr>
        <w:t xml:space="preserve">única, </w:t>
      </w:r>
      <w:r>
        <w:rPr>
          <w:rFonts w:ascii="Times New Roman" w:hAnsi="Times New Roman" w:cs="Times New Roman"/>
          <w:sz w:val="24"/>
          <w:szCs w:val="24"/>
        </w:rPr>
        <w:t>de modo que</w:t>
      </w:r>
      <w:r w:rsidR="009F73A4">
        <w:rPr>
          <w:rFonts w:ascii="Times New Roman" w:hAnsi="Times New Roman" w:cs="Times New Roman"/>
          <w:sz w:val="24"/>
          <w:szCs w:val="24"/>
        </w:rPr>
        <w:t>,</w:t>
      </w:r>
      <w:r>
        <w:rPr>
          <w:rFonts w:ascii="Times New Roman" w:hAnsi="Times New Roman" w:cs="Times New Roman"/>
          <w:sz w:val="24"/>
          <w:szCs w:val="24"/>
        </w:rPr>
        <w:t xml:space="preserve"> </w:t>
      </w:r>
      <w:r w:rsidR="00CE044D">
        <w:rPr>
          <w:rFonts w:ascii="Times New Roman" w:hAnsi="Times New Roman" w:cs="Times New Roman"/>
          <w:sz w:val="24"/>
          <w:szCs w:val="24"/>
        </w:rPr>
        <w:t>um</w:t>
      </w:r>
      <w:r w:rsidR="00B02A74">
        <w:rPr>
          <w:rFonts w:ascii="Times New Roman" w:hAnsi="Times New Roman" w:cs="Times New Roman"/>
          <w:sz w:val="24"/>
          <w:szCs w:val="24"/>
        </w:rPr>
        <w:t xml:space="preserve">a transformação </w:t>
      </w:r>
      <w:r w:rsidR="00745603">
        <w:rPr>
          <w:rFonts w:ascii="Times New Roman" w:hAnsi="Times New Roman" w:cs="Times New Roman"/>
          <w:sz w:val="24"/>
          <w:szCs w:val="24"/>
        </w:rPr>
        <w:t>demanda</w:t>
      </w:r>
      <w:r w:rsidR="0036722B">
        <w:rPr>
          <w:rFonts w:ascii="Times New Roman" w:hAnsi="Times New Roman" w:cs="Times New Roman"/>
          <w:sz w:val="24"/>
          <w:szCs w:val="24"/>
        </w:rPr>
        <w:t>, por exemplo,</w:t>
      </w:r>
      <w:r w:rsidR="00745603">
        <w:rPr>
          <w:rFonts w:ascii="Times New Roman" w:hAnsi="Times New Roman" w:cs="Times New Roman"/>
          <w:sz w:val="24"/>
          <w:szCs w:val="24"/>
        </w:rPr>
        <w:t xml:space="preserve"> medidas de prevenção de litígios, como </w:t>
      </w:r>
      <w:r w:rsidR="00293C11">
        <w:rPr>
          <w:rFonts w:ascii="Times New Roman" w:hAnsi="Times New Roman" w:cs="Times New Roman"/>
          <w:sz w:val="24"/>
          <w:szCs w:val="24"/>
        </w:rPr>
        <w:t>a consolidação</w:t>
      </w:r>
      <w:r w:rsidR="001055F5">
        <w:rPr>
          <w:rFonts w:ascii="Times New Roman" w:hAnsi="Times New Roman" w:cs="Times New Roman"/>
          <w:sz w:val="24"/>
          <w:szCs w:val="24"/>
        </w:rPr>
        <w:t>,</w:t>
      </w:r>
      <w:r w:rsidR="008928C7">
        <w:rPr>
          <w:rFonts w:ascii="Times New Roman" w:hAnsi="Times New Roman" w:cs="Times New Roman"/>
          <w:sz w:val="24"/>
          <w:szCs w:val="24"/>
        </w:rPr>
        <w:t xml:space="preserve"> simplificação,</w:t>
      </w:r>
      <w:r w:rsidR="00293C11">
        <w:rPr>
          <w:rFonts w:ascii="Times New Roman" w:hAnsi="Times New Roman" w:cs="Times New Roman"/>
          <w:sz w:val="24"/>
          <w:szCs w:val="24"/>
        </w:rPr>
        <w:t xml:space="preserve"> sistematização</w:t>
      </w:r>
      <w:r w:rsidR="001055F5">
        <w:rPr>
          <w:rFonts w:ascii="Times New Roman" w:hAnsi="Times New Roman" w:cs="Times New Roman"/>
          <w:sz w:val="24"/>
          <w:szCs w:val="24"/>
        </w:rPr>
        <w:t xml:space="preserve"> e avaliação periódica </w:t>
      </w:r>
      <w:r w:rsidR="00293C11">
        <w:rPr>
          <w:rFonts w:ascii="Times New Roman" w:hAnsi="Times New Roman" w:cs="Times New Roman"/>
          <w:sz w:val="24"/>
          <w:szCs w:val="24"/>
        </w:rPr>
        <w:t xml:space="preserve">da legislação </w:t>
      </w:r>
      <w:r w:rsidR="005825BD">
        <w:rPr>
          <w:rFonts w:ascii="Times New Roman" w:hAnsi="Times New Roman" w:cs="Times New Roman"/>
          <w:sz w:val="24"/>
          <w:szCs w:val="24"/>
        </w:rPr>
        <w:t>e do sistema tributário como um todo</w:t>
      </w:r>
      <w:r w:rsidR="0062269D">
        <w:rPr>
          <w:rFonts w:ascii="Times New Roman" w:hAnsi="Times New Roman" w:cs="Times New Roman"/>
          <w:sz w:val="24"/>
          <w:szCs w:val="24"/>
        </w:rPr>
        <w:t xml:space="preserve"> (vide o esforço para a aprovação d</w:t>
      </w:r>
      <w:r w:rsidR="00F44CF3">
        <w:rPr>
          <w:rFonts w:ascii="Times New Roman" w:hAnsi="Times New Roman" w:cs="Times New Roman"/>
          <w:sz w:val="24"/>
          <w:szCs w:val="24"/>
        </w:rPr>
        <w:t>a</w:t>
      </w:r>
      <w:r w:rsidR="0062269D">
        <w:rPr>
          <w:rFonts w:ascii="Times New Roman" w:hAnsi="Times New Roman" w:cs="Times New Roman"/>
          <w:sz w:val="24"/>
          <w:szCs w:val="24"/>
        </w:rPr>
        <w:t xml:space="preserve"> Reforma Tributária)</w:t>
      </w:r>
      <w:r w:rsidR="00C218F6">
        <w:rPr>
          <w:rFonts w:ascii="Times New Roman" w:hAnsi="Times New Roman" w:cs="Times New Roman"/>
          <w:sz w:val="24"/>
          <w:szCs w:val="24"/>
        </w:rPr>
        <w:t xml:space="preserve">; </w:t>
      </w:r>
      <w:r w:rsidR="00F33ED1">
        <w:rPr>
          <w:rFonts w:ascii="Times New Roman" w:hAnsi="Times New Roman" w:cs="Times New Roman"/>
          <w:sz w:val="24"/>
          <w:szCs w:val="24"/>
        </w:rPr>
        <w:t xml:space="preserve"> </w:t>
      </w:r>
      <w:r w:rsidR="00397D43">
        <w:rPr>
          <w:rFonts w:ascii="Times New Roman" w:hAnsi="Times New Roman" w:cs="Times New Roman"/>
          <w:sz w:val="24"/>
          <w:szCs w:val="24"/>
        </w:rPr>
        <w:t xml:space="preserve">criação de estímulos positivos </w:t>
      </w:r>
      <w:r w:rsidR="009A2418">
        <w:rPr>
          <w:rFonts w:ascii="Times New Roman" w:hAnsi="Times New Roman" w:cs="Times New Roman"/>
          <w:sz w:val="24"/>
          <w:szCs w:val="24"/>
        </w:rPr>
        <w:t xml:space="preserve">de facilitação do cumprimento de obrigações </w:t>
      </w:r>
      <w:r w:rsidR="00724D20">
        <w:rPr>
          <w:rFonts w:ascii="Times New Roman" w:hAnsi="Times New Roman" w:cs="Times New Roman"/>
          <w:sz w:val="24"/>
          <w:szCs w:val="24"/>
        </w:rPr>
        <w:t>tributárias</w:t>
      </w:r>
      <w:r w:rsidR="009A2418">
        <w:rPr>
          <w:rFonts w:ascii="Times New Roman" w:hAnsi="Times New Roman" w:cs="Times New Roman"/>
          <w:sz w:val="24"/>
          <w:szCs w:val="24"/>
        </w:rPr>
        <w:t xml:space="preserve"> e de</w:t>
      </w:r>
      <w:r w:rsidR="00397D43">
        <w:rPr>
          <w:rFonts w:ascii="Times New Roman" w:hAnsi="Times New Roman" w:cs="Times New Roman"/>
          <w:sz w:val="24"/>
          <w:szCs w:val="24"/>
        </w:rPr>
        <w:t xml:space="preserve"> autorregularização </w:t>
      </w:r>
      <w:r w:rsidR="009A2418">
        <w:rPr>
          <w:rFonts w:ascii="Times New Roman" w:hAnsi="Times New Roman" w:cs="Times New Roman"/>
          <w:sz w:val="24"/>
          <w:szCs w:val="24"/>
        </w:rPr>
        <w:t>(por meio, por exemplo, de programas de conformidade tributária)</w:t>
      </w:r>
      <w:r w:rsidR="005A46EA">
        <w:rPr>
          <w:rFonts w:ascii="Times New Roman" w:hAnsi="Times New Roman" w:cs="Times New Roman"/>
          <w:sz w:val="24"/>
          <w:szCs w:val="24"/>
        </w:rPr>
        <w:t>;</w:t>
      </w:r>
      <w:r w:rsidR="00073546">
        <w:rPr>
          <w:rFonts w:ascii="Times New Roman" w:hAnsi="Times New Roman" w:cs="Times New Roman"/>
          <w:sz w:val="24"/>
          <w:szCs w:val="24"/>
        </w:rPr>
        <w:t xml:space="preserve"> </w:t>
      </w:r>
      <w:r w:rsidR="00CE044D">
        <w:rPr>
          <w:rFonts w:ascii="Times New Roman" w:hAnsi="Times New Roman" w:cs="Times New Roman"/>
          <w:sz w:val="24"/>
          <w:szCs w:val="24"/>
        </w:rPr>
        <w:t xml:space="preserve">além da </w:t>
      </w:r>
      <w:r w:rsidR="0074716A">
        <w:rPr>
          <w:rFonts w:ascii="Times New Roman" w:hAnsi="Times New Roman" w:cs="Times New Roman"/>
          <w:sz w:val="24"/>
          <w:szCs w:val="24"/>
        </w:rPr>
        <w:t xml:space="preserve">construção de uma relação </w:t>
      </w:r>
      <w:r w:rsidR="008873CB">
        <w:rPr>
          <w:rFonts w:ascii="Times New Roman" w:hAnsi="Times New Roman" w:cs="Times New Roman"/>
          <w:sz w:val="24"/>
          <w:szCs w:val="24"/>
        </w:rPr>
        <w:t>dialógica e cooperativa entre o Fisco e os contribuintes</w:t>
      </w:r>
      <w:r w:rsidR="00744226">
        <w:rPr>
          <w:rFonts w:ascii="Times New Roman" w:hAnsi="Times New Roman" w:cs="Times New Roman"/>
          <w:sz w:val="24"/>
          <w:szCs w:val="24"/>
        </w:rPr>
        <w:t xml:space="preserve">, </w:t>
      </w:r>
      <w:r w:rsidR="009F73A4">
        <w:rPr>
          <w:rFonts w:ascii="Times New Roman" w:hAnsi="Times New Roman" w:cs="Times New Roman"/>
          <w:sz w:val="24"/>
          <w:szCs w:val="24"/>
        </w:rPr>
        <w:t xml:space="preserve">com </w:t>
      </w:r>
      <w:r w:rsidR="00C04C3A">
        <w:rPr>
          <w:rFonts w:ascii="Times New Roman" w:hAnsi="Times New Roman" w:cs="Times New Roman"/>
          <w:sz w:val="24"/>
          <w:szCs w:val="24"/>
        </w:rPr>
        <w:t xml:space="preserve">menos coerção e </w:t>
      </w:r>
      <w:r w:rsidR="00744226">
        <w:rPr>
          <w:rFonts w:ascii="Times New Roman" w:hAnsi="Times New Roman" w:cs="Times New Roman"/>
          <w:sz w:val="24"/>
          <w:szCs w:val="24"/>
        </w:rPr>
        <w:t>mai</w:t>
      </w:r>
      <w:r w:rsidR="00C04C3A">
        <w:rPr>
          <w:rFonts w:ascii="Times New Roman" w:hAnsi="Times New Roman" w:cs="Times New Roman"/>
          <w:sz w:val="24"/>
          <w:szCs w:val="24"/>
        </w:rPr>
        <w:t>s</w:t>
      </w:r>
      <w:r w:rsidR="00744226">
        <w:rPr>
          <w:rFonts w:ascii="Times New Roman" w:hAnsi="Times New Roman" w:cs="Times New Roman"/>
          <w:sz w:val="24"/>
          <w:szCs w:val="24"/>
        </w:rPr>
        <w:t xml:space="preserve"> transparência</w:t>
      </w:r>
      <w:r w:rsidR="009F73A4">
        <w:rPr>
          <w:rFonts w:ascii="Times New Roman" w:hAnsi="Times New Roman" w:cs="Times New Roman"/>
          <w:sz w:val="24"/>
          <w:szCs w:val="24"/>
        </w:rPr>
        <w:t xml:space="preserve"> e </w:t>
      </w:r>
      <w:r w:rsidR="00861E61">
        <w:rPr>
          <w:rFonts w:ascii="Times New Roman" w:hAnsi="Times New Roman" w:cs="Times New Roman"/>
          <w:sz w:val="24"/>
          <w:szCs w:val="24"/>
        </w:rPr>
        <w:t>confiança</w:t>
      </w:r>
      <w:r w:rsidR="009F73A4">
        <w:rPr>
          <w:rFonts w:ascii="Times New Roman" w:hAnsi="Times New Roman" w:cs="Times New Roman"/>
          <w:sz w:val="24"/>
          <w:szCs w:val="24"/>
        </w:rPr>
        <w:t>.</w:t>
      </w:r>
    </w:p>
    <w:p w14:paraId="25789461" w14:textId="463A3951" w:rsidR="000D6337" w:rsidRDefault="00B04AAA" w:rsidP="000D6337">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lastRenderedPageBreak/>
        <w:t>Assim</w:t>
      </w:r>
      <w:r w:rsidR="00EA660C">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EA660C">
        <w:rPr>
          <w:rFonts w:ascii="Times New Roman" w:hAnsi="Times New Roman" w:cs="Times New Roman"/>
          <w:sz w:val="24"/>
          <w:szCs w:val="24"/>
        </w:rPr>
        <w:t>além d</w:t>
      </w:r>
      <w:r>
        <w:rPr>
          <w:rFonts w:ascii="Times New Roman" w:hAnsi="Times New Roman" w:cs="Times New Roman"/>
          <w:sz w:val="24"/>
          <w:szCs w:val="24"/>
        </w:rPr>
        <w:t>est</w:t>
      </w:r>
      <w:r w:rsidR="00EA660C">
        <w:rPr>
          <w:rFonts w:ascii="Times New Roman" w:hAnsi="Times New Roman" w:cs="Times New Roman"/>
          <w:sz w:val="24"/>
          <w:szCs w:val="24"/>
        </w:rPr>
        <w:t xml:space="preserve">as medidas de prevenção </w:t>
      </w:r>
      <w:r w:rsidR="00837CB0">
        <w:rPr>
          <w:rFonts w:ascii="Times New Roman" w:hAnsi="Times New Roman" w:cs="Times New Roman"/>
          <w:sz w:val="24"/>
          <w:szCs w:val="24"/>
        </w:rPr>
        <w:t xml:space="preserve">à litigiosidade, </w:t>
      </w:r>
      <w:r w:rsidR="00CE517A">
        <w:rPr>
          <w:rFonts w:ascii="Times New Roman" w:hAnsi="Times New Roman" w:cs="Times New Roman"/>
          <w:sz w:val="24"/>
          <w:szCs w:val="24"/>
        </w:rPr>
        <w:t xml:space="preserve">enfatizamos </w:t>
      </w:r>
      <w:r w:rsidR="00886C1B">
        <w:rPr>
          <w:rFonts w:ascii="Times New Roman" w:hAnsi="Times New Roman" w:cs="Times New Roman"/>
          <w:sz w:val="24"/>
          <w:szCs w:val="24"/>
        </w:rPr>
        <w:t xml:space="preserve">a necessidade da construção de um sistema multiportas </w:t>
      </w:r>
      <w:r w:rsidR="0022514F">
        <w:rPr>
          <w:rFonts w:ascii="Times New Roman" w:hAnsi="Times New Roman" w:cs="Times New Roman"/>
          <w:sz w:val="24"/>
          <w:szCs w:val="24"/>
        </w:rPr>
        <w:t xml:space="preserve">em âmbito tributário, </w:t>
      </w:r>
      <w:r w:rsidR="00F67535">
        <w:rPr>
          <w:rFonts w:ascii="Times New Roman" w:hAnsi="Times New Roman" w:cs="Times New Roman"/>
          <w:sz w:val="24"/>
          <w:szCs w:val="24"/>
        </w:rPr>
        <w:t>por meio do</w:t>
      </w:r>
      <w:r w:rsidR="007B63D0">
        <w:rPr>
          <w:rFonts w:ascii="Times New Roman" w:hAnsi="Times New Roman" w:cs="Times New Roman"/>
          <w:sz w:val="24"/>
          <w:szCs w:val="24"/>
        </w:rPr>
        <w:t xml:space="preserve"> desenvolv</w:t>
      </w:r>
      <w:r w:rsidR="00F67535">
        <w:rPr>
          <w:rFonts w:ascii="Times New Roman" w:hAnsi="Times New Roman" w:cs="Times New Roman"/>
          <w:sz w:val="24"/>
          <w:szCs w:val="24"/>
        </w:rPr>
        <w:t>imento d</w:t>
      </w:r>
      <w:r w:rsidR="007B63D0">
        <w:rPr>
          <w:rFonts w:ascii="Times New Roman" w:hAnsi="Times New Roman" w:cs="Times New Roman"/>
          <w:sz w:val="24"/>
          <w:szCs w:val="24"/>
        </w:rPr>
        <w:t>a cultura da consensualidade e</w:t>
      </w:r>
      <w:r w:rsidR="002F537D">
        <w:rPr>
          <w:rFonts w:ascii="Times New Roman" w:hAnsi="Times New Roman" w:cs="Times New Roman"/>
          <w:sz w:val="24"/>
          <w:szCs w:val="24"/>
        </w:rPr>
        <w:t xml:space="preserve"> da</w:t>
      </w:r>
      <w:r w:rsidR="0022514F">
        <w:rPr>
          <w:rFonts w:ascii="Times New Roman" w:hAnsi="Times New Roman" w:cs="Times New Roman"/>
          <w:sz w:val="24"/>
          <w:szCs w:val="24"/>
        </w:rPr>
        <w:t xml:space="preserve"> legitima</w:t>
      </w:r>
      <w:r w:rsidR="002F537D">
        <w:rPr>
          <w:rFonts w:ascii="Times New Roman" w:hAnsi="Times New Roman" w:cs="Times New Roman"/>
          <w:sz w:val="24"/>
          <w:szCs w:val="24"/>
        </w:rPr>
        <w:t>ção</w:t>
      </w:r>
      <w:r w:rsidR="0022514F">
        <w:rPr>
          <w:rFonts w:ascii="Times New Roman" w:hAnsi="Times New Roman" w:cs="Times New Roman"/>
          <w:sz w:val="24"/>
          <w:szCs w:val="24"/>
        </w:rPr>
        <w:t xml:space="preserve"> d</w:t>
      </w:r>
      <w:r w:rsidR="002F537D">
        <w:rPr>
          <w:rFonts w:ascii="Times New Roman" w:hAnsi="Times New Roman" w:cs="Times New Roman"/>
          <w:sz w:val="24"/>
          <w:szCs w:val="24"/>
        </w:rPr>
        <w:t>os</w:t>
      </w:r>
      <w:r w:rsidR="0022514F">
        <w:rPr>
          <w:rFonts w:ascii="Times New Roman" w:hAnsi="Times New Roman" w:cs="Times New Roman"/>
          <w:sz w:val="24"/>
          <w:szCs w:val="24"/>
        </w:rPr>
        <w:t xml:space="preserve"> métodos adequados de solução dos conflitos fiscais</w:t>
      </w:r>
      <w:r w:rsidR="00757EE1">
        <w:rPr>
          <w:rFonts w:ascii="Times New Roman" w:hAnsi="Times New Roman" w:cs="Times New Roman"/>
          <w:sz w:val="24"/>
          <w:szCs w:val="24"/>
        </w:rPr>
        <w:t xml:space="preserve">, que se revelem como </w:t>
      </w:r>
      <w:r w:rsidR="005773FD">
        <w:rPr>
          <w:rFonts w:ascii="Times New Roman" w:hAnsi="Times New Roman" w:cs="Times New Roman"/>
          <w:sz w:val="24"/>
          <w:szCs w:val="24"/>
        </w:rPr>
        <w:t xml:space="preserve">alternativas </w:t>
      </w:r>
      <w:r w:rsidR="00860E01">
        <w:rPr>
          <w:rFonts w:ascii="Times New Roman" w:hAnsi="Times New Roman" w:cs="Times New Roman"/>
          <w:sz w:val="24"/>
          <w:szCs w:val="24"/>
        </w:rPr>
        <w:t xml:space="preserve">de igual estatura à </w:t>
      </w:r>
      <w:r w:rsidR="007B63D0">
        <w:rPr>
          <w:rFonts w:ascii="Times New Roman" w:hAnsi="Times New Roman" w:cs="Times New Roman"/>
          <w:sz w:val="24"/>
          <w:szCs w:val="24"/>
        </w:rPr>
        <w:t xml:space="preserve">via </w:t>
      </w:r>
      <w:r w:rsidR="00180568">
        <w:rPr>
          <w:rFonts w:ascii="Times New Roman" w:hAnsi="Times New Roman" w:cs="Times New Roman"/>
          <w:sz w:val="24"/>
          <w:szCs w:val="24"/>
        </w:rPr>
        <w:t xml:space="preserve">da </w:t>
      </w:r>
      <w:r w:rsidR="00860E01">
        <w:rPr>
          <w:rFonts w:ascii="Times New Roman" w:hAnsi="Times New Roman" w:cs="Times New Roman"/>
          <w:sz w:val="24"/>
          <w:szCs w:val="24"/>
        </w:rPr>
        <w:t>justiça estatal.</w:t>
      </w:r>
    </w:p>
    <w:p w14:paraId="4DBADD27" w14:textId="5D5DA40A" w:rsidR="00882192" w:rsidRPr="008517C6" w:rsidRDefault="003527CA" w:rsidP="00006520">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Confirmando a importância desta mudança de paradigma, destacamos </w:t>
      </w:r>
      <w:r w:rsidR="002C41D4">
        <w:rPr>
          <w:rFonts w:ascii="Times New Roman" w:hAnsi="Times New Roman" w:cs="Times New Roman"/>
          <w:sz w:val="24"/>
          <w:szCs w:val="24"/>
        </w:rPr>
        <w:t>o</w:t>
      </w:r>
      <w:r>
        <w:rPr>
          <w:rFonts w:ascii="Times New Roman" w:hAnsi="Times New Roman" w:cs="Times New Roman"/>
          <w:sz w:val="24"/>
          <w:szCs w:val="24"/>
        </w:rPr>
        <w:t xml:space="preserve"> esforço do</w:t>
      </w:r>
      <w:r w:rsidR="002C41D4">
        <w:rPr>
          <w:rFonts w:ascii="Times New Roman" w:hAnsi="Times New Roman" w:cs="Times New Roman"/>
          <w:sz w:val="24"/>
          <w:szCs w:val="24"/>
        </w:rPr>
        <w:t xml:space="preserve"> </w:t>
      </w:r>
      <w:r w:rsidR="00900272">
        <w:rPr>
          <w:rFonts w:ascii="Times New Roman" w:hAnsi="Times New Roman" w:cs="Times New Roman"/>
          <w:sz w:val="24"/>
          <w:szCs w:val="24"/>
        </w:rPr>
        <w:t>CNJ</w:t>
      </w:r>
      <w:r w:rsidR="002C41D4">
        <w:rPr>
          <w:rFonts w:ascii="Times New Roman" w:hAnsi="Times New Roman" w:cs="Times New Roman"/>
          <w:sz w:val="24"/>
          <w:szCs w:val="24"/>
        </w:rPr>
        <w:t>, que nos últimos publicou pelo menos dois atos normativos</w:t>
      </w:r>
      <w:r w:rsidR="00900272">
        <w:rPr>
          <w:rFonts w:ascii="Times New Roman" w:hAnsi="Times New Roman" w:cs="Times New Roman"/>
          <w:sz w:val="24"/>
          <w:szCs w:val="24"/>
        </w:rPr>
        <w:t xml:space="preserve"> </w:t>
      </w:r>
      <w:r w:rsidR="005769D7">
        <w:rPr>
          <w:rFonts w:ascii="Times New Roman" w:hAnsi="Times New Roman" w:cs="Times New Roman"/>
          <w:sz w:val="24"/>
          <w:szCs w:val="24"/>
        </w:rPr>
        <w:t xml:space="preserve">neste </w:t>
      </w:r>
      <w:r>
        <w:rPr>
          <w:rFonts w:ascii="Times New Roman" w:hAnsi="Times New Roman" w:cs="Times New Roman"/>
          <w:sz w:val="24"/>
          <w:szCs w:val="24"/>
        </w:rPr>
        <w:t>sentido,</w:t>
      </w:r>
      <w:r w:rsidR="00900272">
        <w:rPr>
          <w:rFonts w:ascii="Times New Roman" w:hAnsi="Times New Roman" w:cs="Times New Roman"/>
          <w:sz w:val="24"/>
          <w:szCs w:val="24"/>
        </w:rPr>
        <w:t xml:space="preserve"> a Recomendação nº 120</w:t>
      </w:r>
      <w:r w:rsidR="008517C6">
        <w:rPr>
          <w:rFonts w:ascii="Times New Roman" w:hAnsi="Times New Roman" w:cs="Times New Roman"/>
          <w:sz w:val="24"/>
          <w:szCs w:val="24"/>
        </w:rPr>
        <w:t>/2021</w:t>
      </w:r>
      <w:r w:rsidR="004C306A">
        <w:rPr>
          <w:rFonts w:ascii="Times New Roman" w:hAnsi="Times New Roman" w:cs="Times New Roman"/>
          <w:sz w:val="24"/>
          <w:szCs w:val="24"/>
        </w:rPr>
        <w:t xml:space="preserve">, em que </w:t>
      </w:r>
      <w:r w:rsidR="004C306A" w:rsidRPr="003527CA">
        <w:rPr>
          <w:rFonts w:ascii="Times New Roman" w:hAnsi="Times New Roman" w:cs="Times New Roman"/>
          <w:sz w:val="24"/>
          <w:szCs w:val="24"/>
        </w:rPr>
        <w:t>“Recomenda o tratamento adequado de conflitos de natureza tributária, quando possível pela via da autocomposição”</w:t>
      </w:r>
      <w:r>
        <w:rPr>
          <w:rFonts w:ascii="Times New Roman" w:hAnsi="Times New Roman" w:cs="Times New Roman"/>
          <w:i/>
          <w:iCs/>
          <w:sz w:val="24"/>
          <w:szCs w:val="24"/>
        </w:rPr>
        <w:t xml:space="preserve"> </w:t>
      </w:r>
      <w:r>
        <w:rPr>
          <w:rFonts w:ascii="Times New Roman" w:hAnsi="Times New Roman" w:cs="Times New Roman"/>
          <w:sz w:val="24"/>
          <w:szCs w:val="24"/>
        </w:rPr>
        <w:t xml:space="preserve">e a </w:t>
      </w:r>
      <w:r w:rsidRPr="003527CA">
        <w:rPr>
          <w:rFonts w:ascii="Times New Roman" w:hAnsi="Times New Roman" w:cs="Times New Roman"/>
          <w:sz w:val="24"/>
          <w:szCs w:val="24"/>
        </w:rPr>
        <w:t>Resolução nº 471</w:t>
      </w:r>
      <w:r w:rsidR="008517C6">
        <w:rPr>
          <w:rFonts w:ascii="Times New Roman" w:hAnsi="Times New Roman" w:cs="Times New Roman"/>
          <w:sz w:val="24"/>
          <w:szCs w:val="24"/>
        </w:rPr>
        <w:t>/2022</w:t>
      </w:r>
      <w:r w:rsidRPr="003527CA">
        <w:rPr>
          <w:rFonts w:ascii="Times New Roman" w:hAnsi="Times New Roman" w:cs="Times New Roman"/>
          <w:sz w:val="24"/>
          <w:szCs w:val="24"/>
        </w:rPr>
        <w:t xml:space="preserve">, que “Dispõe sobre a Política Judiciária Nacional de Tratamento Adequado à Alta Litigiosidade do Contencioso Tributário no âmbito do Poder Judiciário”, que </w:t>
      </w:r>
      <w:r w:rsidR="00D8745C">
        <w:rPr>
          <w:rFonts w:ascii="Times New Roman" w:hAnsi="Times New Roman" w:cs="Times New Roman"/>
          <w:sz w:val="24"/>
          <w:szCs w:val="24"/>
        </w:rPr>
        <w:t>tem como uma de suas</w:t>
      </w:r>
      <w:r w:rsidRPr="003527CA">
        <w:rPr>
          <w:rFonts w:ascii="Times New Roman" w:hAnsi="Times New Roman" w:cs="Times New Roman"/>
          <w:sz w:val="24"/>
          <w:szCs w:val="24"/>
        </w:rPr>
        <w:t xml:space="preserve"> diretrizes, a </w:t>
      </w:r>
      <w:r w:rsidR="008517C6">
        <w:rPr>
          <w:rFonts w:ascii="Times New Roman" w:hAnsi="Times New Roman" w:cs="Times New Roman"/>
          <w:sz w:val="24"/>
          <w:szCs w:val="24"/>
        </w:rPr>
        <w:t>“</w:t>
      </w:r>
      <w:r w:rsidRPr="008517C6">
        <w:rPr>
          <w:rFonts w:ascii="Times New Roman" w:hAnsi="Times New Roman" w:cs="Times New Roman"/>
          <w:sz w:val="24"/>
          <w:szCs w:val="24"/>
        </w:rPr>
        <w:t>priorização de soluções consensuais em disputas tributárias e a prevenção e desjudicialização de demandas tributárias</w:t>
      </w:r>
      <w:r w:rsidR="008517C6">
        <w:rPr>
          <w:rFonts w:ascii="Times New Roman" w:hAnsi="Times New Roman" w:cs="Times New Roman"/>
          <w:sz w:val="24"/>
          <w:szCs w:val="24"/>
        </w:rPr>
        <w:t>”</w:t>
      </w:r>
      <w:r w:rsidRPr="008517C6">
        <w:rPr>
          <w:rFonts w:ascii="Times New Roman" w:hAnsi="Times New Roman" w:cs="Times New Roman"/>
          <w:sz w:val="24"/>
          <w:szCs w:val="24"/>
        </w:rPr>
        <w:t>.</w:t>
      </w:r>
    </w:p>
    <w:p w14:paraId="6427D87E" w14:textId="4A1B4D61" w:rsidR="00733CB5" w:rsidRDefault="00A57EBA" w:rsidP="00F10E9D">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A primeira, editada </w:t>
      </w:r>
      <w:r w:rsidR="00A55370">
        <w:rPr>
          <w:rFonts w:ascii="Times New Roman" w:hAnsi="Times New Roman" w:cs="Times New Roman"/>
          <w:sz w:val="24"/>
          <w:szCs w:val="24"/>
        </w:rPr>
        <w:t xml:space="preserve">a título de </w:t>
      </w:r>
      <w:r w:rsidR="00A55370" w:rsidRPr="005E7DBD">
        <w:rPr>
          <w:rFonts w:ascii="Times New Roman" w:hAnsi="Times New Roman" w:cs="Times New Roman"/>
          <w:i/>
          <w:iCs/>
          <w:sz w:val="24"/>
          <w:szCs w:val="24"/>
        </w:rPr>
        <w:t>recomendação</w:t>
      </w:r>
      <w:r w:rsidR="00A55370">
        <w:rPr>
          <w:rFonts w:ascii="Times New Roman" w:hAnsi="Times New Roman" w:cs="Times New Roman"/>
          <w:sz w:val="24"/>
          <w:szCs w:val="24"/>
        </w:rPr>
        <w:t xml:space="preserve">, </w:t>
      </w:r>
      <w:r w:rsidR="00E961B6">
        <w:rPr>
          <w:rFonts w:ascii="Times New Roman" w:hAnsi="Times New Roman" w:cs="Times New Roman"/>
          <w:sz w:val="24"/>
          <w:szCs w:val="24"/>
        </w:rPr>
        <w:t>mencionou</w:t>
      </w:r>
      <w:r w:rsidR="00A55370">
        <w:rPr>
          <w:rFonts w:ascii="Times New Roman" w:hAnsi="Times New Roman" w:cs="Times New Roman"/>
          <w:sz w:val="24"/>
          <w:szCs w:val="24"/>
        </w:rPr>
        <w:t xml:space="preserve"> expressamente </w:t>
      </w:r>
      <w:r w:rsidR="00AF388A">
        <w:rPr>
          <w:rFonts w:ascii="Times New Roman" w:hAnsi="Times New Roman" w:cs="Times New Roman"/>
          <w:sz w:val="24"/>
          <w:szCs w:val="24"/>
        </w:rPr>
        <w:t>o microssistema nor</w:t>
      </w:r>
      <w:r w:rsidR="007343F7">
        <w:rPr>
          <w:rFonts w:ascii="Times New Roman" w:hAnsi="Times New Roman" w:cs="Times New Roman"/>
          <w:sz w:val="24"/>
          <w:szCs w:val="24"/>
        </w:rPr>
        <w:t>mativo de métodos adequados de tratamento de conflitos</w:t>
      </w:r>
      <w:r w:rsidR="00B21C83">
        <w:rPr>
          <w:rFonts w:ascii="Times New Roman" w:hAnsi="Times New Roman" w:cs="Times New Roman"/>
          <w:sz w:val="24"/>
          <w:szCs w:val="24"/>
        </w:rPr>
        <w:t xml:space="preserve"> </w:t>
      </w:r>
      <w:r w:rsidR="00625CF4">
        <w:rPr>
          <w:rFonts w:ascii="Times New Roman" w:hAnsi="Times New Roman" w:cs="Times New Roman"/>
          <w:sz w:val="24"/>
          <w:szCs w:val="24"/>
        </w:rPr>
        <w:t xml:space="preserve">e justifica </w:t>
      </w:r>
      <w:r w:rsidR="00C42EEC">
        <w:rPr>
          <w:rFonts w:ascii="Times New Roman" w:hAnsi="Times New Roman" w:cs="Times New Roman"/>
          <w:sz w:val="24"/>
          <w:szCs w:val="24"/>
        </w:rPr>
        <w:t>suas</w:t>
      </w:r>
      <w:r w:rsidR="00E42C8A">
        <w:rPr>
          <w:rFonts w:ascii="Times New Roman" w:hAnsi="Times New Roman" w:cs="Times New Roman"/>
          <w:sz w:val="24"/>
          <w:szCs w:val="24"/>
        </w:rPr>
        <w:t xml:space="preserve"> </w:t>
      </w:r>
      <w:r w:rsidR="004B48B4">
        <w:rPr>
          <w:rFonts w:ascii="Times New Roman" w:hAnsi="Times New Roman" w:cs="Times New Roman"/>
          <w:sz w:val="24"/>
          <w:szCs w:val="24"/>
        </w:rPr>
        <w:t xml:space="preserve">orientações </w:t>
      </w:r>
      <w:r w:rsidR="00E42C8A">
        <w:rPr>
          <w:rFonts w:ascii="Times New Roman" w:hAnsi="Times New Roman" w:cs="Times New Roman"/>
          <w:sz w:val="24"/>
          <w:szCs w:val="24"/>
        </w:rPr>
        <w:t xml:space="preserve">com estatísticas </w:t>
      </w:r>
      <w:r w:rsidR="00A4541E">
        <w:rPr>
          <w:rFonts w:ascii="Times New Roman" w:hAnsi="Times New Roman" w:cs="Times New Roman"/>
          <w:sz w:val="24"/>
          <w:szCs w:val="24"/>
        </w:rPr>
        <w:t>d</w:t>
      </w:r>
      <w:r w:rsidR="00E42C8A">
        <w:rPr>
          <w:rFonts w:ascii="Times New Roman" w:hAnsi="Times New Roman" w:cs="Times New Roman"/>
          <w:sz w:val="24"/>
          <w:szCs w:val="24"/>
        </w:rPr>
        <w:t xml:space="preserve">o contencioso tributário, </w:t>
      </w:r>
      <w:r w:rsidR="005C4D79">
        <w:rPr>
          <w:rFonts w:ascii="Times New Roman" w:hAnsi="Times New Roman" w:cs="Times New Roman"/>
          <w:sz w:val="24"/>
          <w:szCs w:val="24"/>
        </w:rPr>
        <w:t xml:space="preserve">mencionando a necessidade de tratamento das demandas </w:t>
      </w:r>
      <w:r w:rsidR="007462F6">
        <w:rPr>
          <w:rFonts w:ascii="Times New Roman" w:hAnsi="Times New Roman" w:cs="Times New Roman"/>
          <w:sz w:val="24"/>
          <w:szCs w:val="24"/>
        </w:rPr>
        <w:t xml:space="preserve">fiscais </w:t>
      </w:r>
      <w:r w:rsidR="005C4D79">
        <w:rPr>
          <w:rFonts w:ascii="Times New Roman" w:hAnsi="Times New Roman" w:cs="Times New Roman"/>
          <w:sz w:val="24"/>
          <w:szCs w:val="24"/>
        </w:rPr>
        <w:t>repetitivas</w:t>
      </w:r>
      <w:r w:rsidR="007462F6">
        <w:rPr>
          <w:rFonts w:ascii="Times New Roman" w:hAnsi="Times New Roman" w:cs="Times New Roman"/>
          <w:sz w:val="24"/>
          <w:szCs w:val="24"/>
        </w:rPr>
        <w:t xml:space="preserve"> e de iniciativas de redução </w:t>
      </w:r>
      <w:r w:rsidR="005C4C83">
        <w:rPr>
          <w:rFonts w:ascii="Times New Roman" w:hAnsi="Times New Roman" w:cs="Times New Roman"/>
          <w:sz w:val="24"/>
          <w:szCs w:val="24"/>
        </w:rPr>
        <w:t>e solução dos litígios tributários</w:t>
      </w:r>
      <w:r w:rsidR="0034557C">
        <w:rPr>
          <w:rFonts w:ascii="Times New Roman" w:hAnsi="Times New Roman" w:cs="Times New Roman"/>
          <w:sz w:val="24"/>
          <w:szCs w:val="24"/>
        </w:rPr>
        <w:t>.</w:t>
      </w:r>
      <w:r w:rsidR="00F10E9D">
        <w:rPr>
          <w:rFonts w:ascii="Times New Roman" w:hAnsi="Times New Roman" w:cs="Times New Roman"/>
          <w:sz w:val="24"/>
          <w:szCs w:val="24"/>
        </w:rPr>
        <w:t xml:space="preserve"> </w:t>
      </w:r>
      <w:r w:rsidR="0034557C">
        <w:rPr>
          <w:rFonts w:ascii="Times New Roman" w:hAnsi="Times New Roman" w:cs="Times New Roman"/>
          <w:sz w:val="24"/>
          <w:szCs w:val="24"/>
        </w:rPr>
        <w:t>O</w:t>
      </w:r>
      <w:r w:rsidR="003C5BE3" w:rsidRPr="003C5BE3">
        <w:rPr>
          <w:rFonts w:ascii="Times New Roman" w:hAnsi="Times New Roman" w:cs="Times New Roman"/>
          <w:sz w:val="24"/>
          <w:szCs w:val="24"/>
        </w:rPr>
        <w:t xml:space="preserve"> objetivo </w:t>
      </w:r>
      <w:r w:rsidR="00F01D5F">
        <w:rPr>
          <w:rFonts w:ascii="Times New Roman" w:hAnsi="Times New Roman" w:cs="Times New Roman"/>
          <w:sz w:val="24"/>
          <w:szCs w:val="24"/>
        </w:rPr>
        <w:t xml:space="preserve">é </w:t>
      </w:r>
      <w:r w:rsidR="003C5BE3" w:rsidRPr="003C5BE3">
        <w:rPr>
          <w:rFonts w:ascii="Times New Roman" w:hAnsi="Times New Roman" w:cs="Times New Roman"/>
          <w:sz w:val="24"/>
          <w:szCs w:val="24"/>
        </w:rPr>
        <w:t xml:space="preserve">orientar os magistrados que atuam em questões tributárias a priorizar, sempre que possível, a resolução consensual de conflitos, incentivando a negociação, conciliação, mediação </w:t>
      </w:r>
      <w:r w:rsidR="0034557C">
        <w:rPr>
          <w:rFonts w:ascii="Times New Roman" w:hAnsi="Times New Roman" w:cs="Times New Roman"/>
          <w:sz w:val="24"/>
          <w:szCs w:val="24"/>
        </w:rPr>
        <w:t>e</w:t>
      </w:r>
      <w:r w:rsidR="003C5BE3" w:rsidRPr="003C5BE3">
        <w:rPr>
          <w:rFonts w:ascii="Times New Roman" w:hAnsi="Times New Roman" w:cs="Times New Roman"/>
          <w:sz w:val="24"/>
          <w:szCs w:val="24"/>
        </w:rPr>
        <w:t xml:space="preserve"> a transação tributária</w:t>
      </w:r>
      <w:r w:rsidR="004439D5">
        <w:rPr>
          <w:rFonts w:ascii="Times New Roman" w:hAnsi="Times New Roman" w:cs="Times New Roman"/>
          <w:sz w:val="24"/>
          <w:szCs w:val="24"/>
        </w:rPr>
        <w:t xml:space="preserve"> (também há menção aos negócios jurídicos processuais e à arbitragem tributária)</w:t>
      </w:r>
      <w:r w:rsidR="003C5BE3" w:rsidRPr="003C5BE3">
        <w:rPr>
          <w:rFonts w:ascii="Times New Roman" w:hAnsi="Times New Roman" w:cs="Times New Roman"/>
          <w:sz w:val="24"/>
          <w:szCs w:val="24"/>
        </w:rPr>
        <w:t xml:space="preserve">. </w:t>
      </w:r>
    </w:p>
    <w:p w14:paraId="21332010" w14:textId="53FC89D2" w:rsidR="0053029C" w:rsidRDefault="005A6CE9" w:rsidP="00EE07B3">
      <w:pPr>
        <w:spacing w:before="120" w:after="120" w:line="360" w:lineRule="auto"/>
        <w:ind w:right="-2" w:firstLine="851"/>
        <w:jc w:val="both"/>
        <w:rPr>
          <w:rFonts w:ascii="Times New Roman" w:hAnsi="Times New Roman" w:cs="Times New Roman"/>
          <w:sz w:val="24"/>
          <w:szCs w:val="24"/>
        </w:rPr>
      </w:pPr>
      <w:r w:rsidRPr="005A6CE9">
        <w:rPr>
          <w:rFonts w:ascii="Times New Roman" w:hAnsi="Times New Roman" w:cs="Times New Roman"/>
          <w:sz w:val="24"/>
          <w:szCs w:val="24"/>
        </w:rPr>
        <w:t>Recomenda</w:t>
      </w:r>
      <w:r>
        <w:rPr>
          <w:rFonts w:ascii="Times New Roman" w:hAnsi="Times New Roman" w:cs="Times New Roman"/>
          <w:sz w:val="24"/>
          <w:szCs w:val="24"/>
        </w:rPr>
        <w:t>, ainda,</w:t>
      </w:r>
      <w:r w:rsidRPr="005A6CE9">
        <w:rPr>
          <w:rFonts w:ascii="Times New Roman" w:hAnsi="Times New Roman" w:cs="Times New Roman"/>
          <w:sz w:val="24"/>
          <w:szCs w:val="24"/>
        </w:rPr>
        <w:t xml:space="preserve"> a implementação de Centros Judiciários de Solução de Conflitos Tributários (CEJUSC Tributário) para o tratamento pré-processual ou em demandas já ajuizadas</w:t>
      </w:r>
      <w:r>
        <w:rPr>
          <w:rFonts w:ascii="Times New Roman" w:hAnsi="Times New Roman" w:cs="Times New Roman"/>
          <w:sz w:val="24"/>
          <w:szCs w:val="24"/>
        </w:rPr>
        <w:t xml:space="preserve">, propondo a </w:t>
      </w:r>
      <w:r w:rsidRPr="005A6CE9">
        <w:rPr>
          <w:rFonts w:ascii="Times New Roman" w:hAnsi="Times New Roman" w:cs="Times New Roman"/>
          <w:sz w:val="24"/>
          <w:szCs w:val="24"/>
        </w:rPr>
        <w:t>celebração de protocolos institucionais com os entes públicos para facilitar a autocomposição, divulgação de propostas de transação e otimização de fluxos administrativos.</w:t>
      </w:r>
    </w:p>
    <w:p w14:paraId="6B1EB50B" w14:textId="64AD14BD" w:rsidR="0029279D" w:rsidRPr="0029279D" w:rsidRDefault="00D92BA8" w:rsidP="004E5866">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Em seguida, como resultado do amadurecimento dos estudos </w:t>
      </w:r>
      <w:r w:rsidR="005F6C66">
        <w:rPr>
          <w:rFonts w:ascii="Times New Roman" w:hAnsi="Times New Roman" w:cs="Times New Roman"/>
          <w:sz w:val="24"/>
          <w:szCs w:val="24"/>
        </w:rPr>
        <w:t xml:space="preserve">e do fortalecimento </w:t>
      </w:r>
      <w:r w:rsidR="007C480D">
        <w:rPr>
          <w:rFonts w:ascii="Times New Roman" w:hAnsi="Times New Roman" w:cs="Times New Roman"/>
          <w:sz w:val="24"/>
          <w:szCs w:val="24"/>
        </w:rPr>
        <w:t xml:space="preserve">da consensualidade, </w:t>
      </w:r>
      <w:r w:rsidR="004E5866">
        <w:rPr>
          <w:rFonts w:ascii="Times New Roman" w:hAnsi="Times New Roman" w:cs="Times New Roman"/>
          <w:sz w:val="24"/>
          <w:szCs w:val="24"/>
        </w:rPr>
        <w:t xml:space="preserve">foi </w:t>
      </w:r>
      <w:r w:rsidR="007C480D">
        <w:rPr>
          <w:rFonts w:ascii="Times New Roman" w:hAnsi="Times New Roman" w:cs="Times New Roman"/>
          <w:sz w:val="24"/>
          <w:szCs w:val="24"/>
        </w:rPr>
        <w:t>public</w:t>
      </w:r>
      <w:r w:rsidR="004E5866">
        <w:rPr>
          <w:rFonts w:ascii="Times New Roman" w:hAnsi="Times New Roman" w:cs="Times New Roman"/>
          <w:sz w:val="24"/>
          <w:szCs w:val="24"/>
        </w:rPr>
        <w:t>ada</w:t>
      </w:r>
      <w:r w:rsidR="007C480D">
        <w:rPr>
          <w:rFonts w:ascii="Times New Roman" w:hAnsi="Times New Roman" w:cs="Times New Roman"/>
          <w:sz w:val="24"/>
          <w:szCs w:val="24"/>
        </w:rPr>
        <w:t xml:space="preserve"> </w:t>
      </w:r>
      <w:r w:rsidR="0069450E">
        <w:rPr>
          <w:rFonts w:ascii="Times New Roman" w:hAnsi="Times New Roman" w:cs="Times New Roman"/>
          <w:sz w:val="24"/>
          <w:szCs w:val="24"/>
        </w:rPr>
        <w:t>a Resolução nº 471</w:t>
      </w:r>
      <w:r w:rsidR="004E5866">
        <w:rPr>
          <w:rFonts w:ascii="Times New Roman" w:hAnsi="Times New Roman" w:cs="Times New Roman"/>
          <w:sz w:val="24"/>
          <w:szCs w:val="24"/>
        </w:rPr>
        <w:t>/2022, cujo</w:t>
      </w:r>
      <w:r w:rsidR="0029279D">
        <w:rPr>
          <w:rFonts w:ascii="Times New Roman" w:hAnsi="Times New Roman" w:cs="Times New Roman"/>
          <w:sz w:val="24"/>
          <w:szCs w:val="24"/>
        </w:rPr>
        <w:t xml:space="preserve"> </w:t>
      </w:r>
      <w:r w:rsidR="0029279D" w:rsidRPr="0029279D">
        <w:rPr>
          <w:rFonts w:ascii="Times New Roman" w:hAnsi="Times New Roman" w:cs="Times New Roman"/>
          <w:sz w:val="24"/>
          <w:szCs w:val="24"/>
        </w:rPr>
        <w:t xml:space="preserve">objetivo é </w:t>
      </w:r>
      <w:r w:rsidR="00816383">
        <w:rPr>
          <w:rFonts w:ascii="Times New Roman" w:hAnsi="Times New Roman" w:cs="Times New Roman"/>
          <w:sz w:val="24"/>
          <w:szCs w:val="24"/>
        </w:rPr>
        <w:t>aprimorar</w:t>
      </w:r>
      <w:r w:rsidR="00397226">
        <w:rPr>
          <w:rFonts w:ascii="Times New Roman" w:hAnsi="Times New Roman" w:cs="Times New Roman"/>
          <w:sz w:val="24"/>
          <w:szCs w:val="24"/>
        </w:rPr>
        <w:t>, a nível de Política Judiciária</w:t>
      </w:r>
      <w:r w:rsidR="00816383">
        <w:rPr>
          <w:rFonts w:ascii="Times New Roman" w:hAnsi="Times New Roman" w:cs="Times New Roman"/>
          <w:sz w:val="24"/>
          <w:szCs w:val="24"/>
        </w:rPr>
        <w:t xml:space="preserve"> o tratamento da</w:t>
      </w:r>
      <w:r w:rsidR="0029279D" w:rsidRPr="0029279D">
        <w:rPr>
          <w:rFonts w:ascii="Times New Roman" w:hAnsi="Times New Roman" w:cs="Times New Roman"/>
          <w:sz w:val="24"/>
          <w:szCs w:val="24"/>
        </w:rPr>
        <w:t xml:space="preserve"> elevada quantidade de processos tributários em andamento, buscando soluções consensuais e promovendo a cooperação entre os </w:t>
      </w:r>
      <w:r w:rsidR="0020719D">
        <w:rPr>
          <w:rFonts w:ascii="Times New Roman" w:hAnsi="Times New Roman" w:cs="Times New Roman"/>
          <w:sz w:val="24"/>
          <w:szCs w:val="24"/>
        </w:rPr>
        <w:t>atores envolvidos</w:t>
      </w:r>
      <w:r w:rsidR="0029279D" w:rsidRPr="0029279D">
        <w:rPr>
          <w:rFonts w:ascii="Times New Roman" w:hAnsi="Times New Roman" w:cs="Times New Roman"/>
          <w:sz w:val="24"/>
          <w:szCs w:val="24"/>
        </w:rPr>
        <w:t>.</w:t>
      </w:r>
    </w:p>
    <w:p w14:paraId="413201EA" w14:textId="58552A96" w:rsidR="0029279D" w:rsidRDefault="0029279D" w:rsidP="00F2017D">
      <w:pPr>
        <w:spacing w:before="120" w:after="120" w:line="360" w:lineRule="auto"/>
        <w:ind w:right="-2" w:firstLine="851"/>
        <w:jc w:val="both"/>
        <w:rPr>
          <w:rFonts w:ascii="Times New Roman" w:hAnsi="Times New Roman" w:cs="Times New Roman"/>
          <w:sz w:val="24"/>
          <w:szCs w:val="24"/>
        </w:rPr>
      </w:pPr>
      <w:r w:rsidRPr="0029279D">
        <w:rPr>
          <w:rFonts w:ascii="Times New Roman" w:hAnsi="Times New Roman" w:cs="Times New Roman"/>
          <w:sz w:val="24"/>
          <w:szCs w:val="24"/>
        </w:rPr>
        <w:t>Para implementar a política, recomenda a formação de uma rede constituída por todos os órgãos do Poder Judiciário e entidades parceiras</w:t>
      </w:r>
      <w:r w:rsidR="00816383">
        <w:rPr>
          <w:rFonts w:ascii="Times New Roman" w:hAnsi="Times New Roman" w:cs="Times New Roman"/>
          <w:sz w:val="24"/>
          <w:szCs w:val="24"/>
        </w:rPr>
        <w:t xml:space="preserve">, </w:t>
      </w:r>
      <w:r w:rsidR="00DC6AE2">
        <w:rPr>
          <w:rFonts w:ascii="Times New Roman" w:hAnsi="Times New Roman" w:cs="Times New Roman"/>
          <w:sz w:val="24"/>
          <w:szCs w:val="24"/>
        </w:rPr>
        <w:t xml:space="preserve">com </w:t>
      </w:r>
      <w:r w:rsidRPr="0029279D">
        <w:rPr>
          <w:rFonts w:ascii="Times New Roman" w:hAnsi="Times New Roman" w:cs="Times New Roman"/>
          <w:sz w:val="24"/>
          <w:szCs w:val="24"/>
        </w:rPr>
        <w:t xml:space="preserve">a missão de desenvolver ações, pesquisas e projetos para reduzir a alta litigiosidade </w:t>
      </w:r>
      <w:r w:rsidR="00816383">
        <w:rPr>
          <w:rFonts w:ascii="Times New Roman" w:hAnsi="Times New Roman" w:cs="Times New Roman"/>
          <w:sz w:val="24"/>
          <w:szCs w:val="24"/>
        </w:rPr>
        <w:t>fiscal</w:t>
      </w:r>
      <w:r w:rsidRPr="0029279D">
        <w:rPr>
          <w:rFonts w:ascii="Times New Roman" w:hAnsi="Times New Roman" w:cs="Times New Roman"/>
          <w:sz w:val="24"/>
          <w:szCs w:val="24"/>
        </w:rPr>
        <w:t xml:space="preserve"> e aplicar uniformemente a legislação tributária.</w:t>
      </w:r>
      <w:r w:rsidR="004F1BE3">
        <w:rPr>
          <w:rFonts w:ascii="Times New Roman" w:hAnsi="Times New Roman" w:cs="Times New Roman"/>
          <w:sz w:val="24"/>
          <w:szCs w:val="24"/>
        </w:rPr>
        <w:t xml:space="preserve"> Também </w:t>
      </w:r>
      <w:r w:rsidRPr="0029279D">
        <w:rPr>
          <w:rFonts w:ascii="Times New Roman" w:hAnsi="Times New Roman" w:cs="Times New Roman"/>
          <w:sz w:val="24"/>
          <w:szCs w:val="24"/>
        </w:rPr>
        <w:t>incentiva práticas de autocomposição</w:t>
      </w:r>
      <w:r w:rsidR="004F1BE3">
        <w:rPr>
          <w:rFonts w:ascii="Times New Roman" w:hAnsi="Times New Roman" w:cs="Times New Roman"/>
          <w:sz w:val="24"/>
          <w:szCs w:val="24"/>
        </w:rPr>
        <w:t xml:space="preserve"> </w:t>
      </w:r>
      <w:r w:rsidRPr="0029279D">
        <w:rPr>
          <w:rFonts w:ascii="Times New Roman" w:hAnsi="Times New Roman" w:cs="Times New Roman"/>
          <w:sz w:val="24"/>
          <w:szCs w:val="24"/>
        </w:rPr>
        <w:t xml:space="preserve">e o aprimoramento de ferramentas digitais para tratamento de demandas </w:t>
      </w:r>
      <w:r w:rsidR="00AE7BCF">
        <w:rPr>
          <w:rFonts w:ascii="Times New Roman" w:hAnsi="Times New Roman" w:cs="Times New Roman"/>
          <w:sz w:val="24"/>
          <w:szCs w:val="24"/>
        </w:rPr>
        <w:t>fiscais</w:t>
      </w:r>
      <w:r w:rsidR="00F2017D">
        <w:rPr>
          <w:rFonts w:ascii="Times New Roman" w:hAnsi="Times New Roman" w:cs="Times New Roman"/>
          <w:sz w:val="24"/>
          <w:szCs w:val="24"/>
        </w:rPr>
        <w:t xml:space="preserve">, visando </w:t>
      </w:r>
      <w:r w:rsidRPr="0029279D">
        <w:rPr>
          <w:rFonts w:ascii="Times New Roman" w:hAnsi="Times New Roman" w:cs="Times New Roman"/>
          <w:sz w:val="24"/>
          <w:szCs w:val="24"/>
        </w:rPr>
        <w:t>aprimorar a prestação jurisdicional e garantir eficiência e segurança jurídica no tratamento de</w:t>
      </w:r>
      <w:r w:rsidR="00E05E50">
        <w:rPr>
          <w:rFonts w:ascii="Times New Roman" w:hAnsi="Times New Roman" w:cs="Times New Roman"/>
          <w:sz w:val="24"/>
          <w:szCs w:val="24"/>
        </w:rPr>
        <w:t>stes</w:t>
      </w:r>
      <w:r w:rsidRPr="0029279D">
        <w:rPr>
          <w:rFonts w:ascii="Times New Roman" w:hAnsi="Times New Roman" w:cs="Times New Roman"/>
          <w:sz w:val="24"/>
          <w:szCs w:val="24"/>
        </w:rPr>
        <w:t xml:space="preserve"> conflitos.</w:t>
      </w:r>
    </w:p>
    <w:p w14:paraId="01AD82BD" w14:textId="75506352" w:rsidR="000375A1" w:rsidRDefault="005D7B65" w:rsidP="00342CA2">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lastRenderedPageBreak/>
        <w:t>O</w:t>
      </w:r>
      <w:r w:rsidR="00DD3CBA">
        <w:rPr>
          <w:rFonts w:ascii="Times New Roman" w:hAnsi="Times New Roman" w:cs="Times New Roman"/>
          <w:sz w:val="24"/>
          <w:szCs w:val="24"/>
        </w:rPr>
        <w:t xml:space="preserve"> CNJ é </w:t>
      </w:r>
      <w:r w:rsidR="0097178C">
        <w:rPr>
          <w:rFonts w:ascii="Times New Roman" w:hAnsi="Times New Roman" w:cs="Times New Roman"/>
          <w:sz w:val="24"/>
          <w:szCs w:val="24"/>
        </w:rPr>
        <w:t xml:space="preserve">órgão do </w:t>
      </w:r>
      <w:r w:rsidR="00543B4B">
        <w:rPr>
          <w:rFonts w:ascii="Times New Roman" w:hAnsi="Times New Roman" w:cs="Times New Roman"/>
          <w:sz w:val="24"/>
          <w:szCs w:val="24"/>
        </w:rPr>
        <w:t>Poder Judiciário</w:t>
      </w:r>
      <w:r w:rsidR="00587786">
        <w:rPr>
          <w:rFonts w:ascii="Times New Roman" w:hAnsi="Times New Roman" w:cs="Times New Roman"/>
          <w:sz w:val="24"/>
          <w:szCs w:val="24"/>
        </w:rPr>
        <w:t xml:space="preserve"> e tem </w:t>
      </w:r>
      <w:r w:rsidR="004371D3">
        <w:rPr>
          <w:rFonts w:ascii="Times New Roman" w:hAnsi="Times New Roman" w:cs="Times New Roman"/>
          <w:sz w:val="24"/>
          <w:szCs w:val="24"/>
        </w:rPr>
        <w:t xml:space="preserve">como uma das funções </w:t>
      </w:r>
      <w:r w:rsidR="00543B4B" w:rsidRPr="00543B4B">
        <w:rPr>
          <w:rFonts w:ascii="Times New Roman" w:hAnsi="Times New Roman" w:cs="Times New Roman"/>
          <w:sz w:val="24"/>
          <w:szCs w:val="24"/>
        </w:rPr>
        <w:t>promover o aprimoramento da prestação jurisdicional</w:t>
      </w:r>
      <w:r w:rsidR="004371D3">
        <w:rPr>
          <w:rFonts w:ascii="Times New Roman" w:hAnsi="Times New Roman" w:cs="Times New Roman"/>
          <w:sz w:val="24"/>
          <w:szCs w:val="24"/>
        </w:rPr>
        <w:t xml:space="preserve"> e</w:t>
      </w:r>
      <w:r w:rsidR="00543B4B" w:rsidRPr="00543B4B">
        <w:rPr>
          <w:rFonts w:ascii="Times New Roman" w:hAnsi="Times New Roman" w:cs="Times New Roman"/>
          <w:sz w:val="24"/>
          <w:szCs w:val="24"/>
        </w:rPr>
        <w:t xml:space="preserve"> incentivar métodos consensuais de resolução de conflitos, </w:t>
      </w:r>
      <w:r w:rsidR="004371D3">
        <w:rPr>
          <w:rFonts w:ascii="Times New Roman" w:hAnsi="Times New Roman" w:cs="Times New Roman"/>
          <w:sz w:val="24"/>
          <w:szCs w:val="24"/>
        </w:rPr>
        <w:t>tendo claramente</w:t>
      </w:r>
      <w:r w:rsidR="00F45C9D">
        <w:rPr>
          <w:rFonts w:ascii="Times New Roman" w:hAnsi="Times New Roman" w:cs="Times New Roman"/>
          <w:sz w:val="24"/>
          <w:szCs w:val="24"/>
        </w:rPr>
        <w:t xml:space="preserve"> </w:t>
      </w:r>
      <w:r w:rsidR="002B461D">
        <w:rPr>
          <w:rFonts w:ascii="Times New Roman" w:hAnsi="Times New Roman" w:cs="Times New Roman"/>
          <w:sz w:val="24"/>
          <w:szCs w:val="24"/>
        </w:rPr>
        <w:t>consolid</w:t>
      </w:r>
      <w:r w:rsidR="004371D3">
        <w:rPr>
          <w:rFonts w:ascii="Times New Roman" w:hAnsi="Times New Roman" w:cs="Times New Roman"/>
          <w:sz w:val="24"/>
          <w:szCs w:val="24"/>
        </w:rPr>
        <w:t>ado</w:t>
      </w:r>
      <w:r w:rsidR="002B461D">
        <w:rPr>
          <w:rFonts w:ascii="Times New Roman" w:hAnsi="Times New Roman" w:cs="Times New Roman"/>
          <w:sz w:val="24"/>
          <w:szCs w:val="24"/>
        </w:rPr>
        <w:t xml:space="preserve"> a imprescin</w:t>
      </w:r>
      <w:r w:rsidR="00F0689B">
        <w:rPr>
          <w:rFonts w:ascii="Times New Roman" w:hAnsi="Times New Roman" w:cs="Times New Roman"/>
          <w:sz w:val="24"/>
          <w:szCs w:val="24"/>
        </w:rPr>
        <w:t>dibilidade de se efetivar a cultura da consensualidade</w:t>
      </w:r>
      <w:r w:rsidR="004275CB">
        <w:rPr>
          <w:rFonts w:ascii="Times New Roman" w:hAnsi="Times New Roman" w:cs="Times New Roman"/>
          <w:sz w:val="24"/>
          <w:szCs w:val="24"/>
        </w:rPr>
        <w:t>, dando grande relevância ao contencioso tributário</w:t>
      </w:r>
      <w:r w:rsidR="000375A1">
        <w:rPr>
          <w:rFonts w:ascii="Times New Roman" w:hAnsi="Times New Roman" w:cs="Times New Roman"/>
          <w:sz w:val="24"/>
          <w:szCs w:val="24"/>
        </w:rPr>
        <w:t>.</w:t>
      </w:r>
      <w:r w:rsidR="00342CA2">
        <w:rPr>
          <w:rFonts w:ascii="Times New Roman" w:hAnsi="Times New Roman" w:cs="Times New Roman"/>
          <w:sz w:val="24"/>
          <w:szCs w:val="24"/>
        </w:rPr>
        <w:t xml:space="preserve"> </w:t>
      </w:r>
      <w:r w:rsidR="000375A1">
        <w:rPr>
          <w:rFonts w:ascii="Times New Roman" w:hAnsi="Times New Roman" w:cs="Times New Roman"/>
          <w:sz w:val="24"/>
          <w:szCs w:val="24"/>
        </w:rPr>
        <w:t>Todavia, para que se avance efetivamente na efetividade da tutela jurisdicional</w:t>
      </w:r>
      <w:r w:rsidR="00872092">
        <w:rPr>
          <w:rFonts w:ascii="Times New Roman" w:hAnsi="Times New Roman" w:cs="Times New Roman"/>
          <w:sz w:val="24"/>
          <w:szCs w:val="24"/>
        </w:rPr>
        <w:t xml:space="preserve"> e no acesso à justiça</w:t>
      </w:r>
      <w:r w:rsidR="00EA0374">
        <w:rPr>
          <w:rFonts w:ascii="Times New Roman" w:hAnsi="Times New Roman" w:cs="Times New Roman"/>
          <w:sz w:val="24"/>
          <w:szCs w:val="24"/>
        </w:rPr>
        <w:t xml:space="preserve">, é necessário o engajamento dos outros </w:t>
      </w:r>
      <w:r w:rsidR="00BC0F3F">
        <w:rPr>
          <w:rFonts w:ascii="Times New Roman" w:hAnsi="Times New Roman" w:cs="Times New Roman"/>
          <w:sz w:val="24"/>
          <w:szCs w:val="24"/>
        </w:rPr>
        <w:t>p</w:t>
      </w:r>
      <w:r w:rsidR="00EA0374">
        <w:rPr>
          <w:rFonts w:ascii="Times New Roman" w:hAnsi="Times New Roman" w:cs="Times New Roman"/>
          <w:sz w:val="24"/>
          <w:szCs w:val="24"/>
        </w:rPr>
        <w:t>oderes e d</w:t>
      </w:r>
      <w:r w:rsidR="00342CA2">
        <w:rPr>
          <w:rFonts w:ascii="Times New Roman" w:hAnsi="Times New Roman" w:cs="Times New Roman"/>
          <w:sz w:val="24"/>
          <w:szCs w:val="24"/>
        </w:rPr>
        <w:t xml:space="preserve">as demais </w:t>
      </w:r>
      <w:r w:rsidR="00786497">
        <w:rPr>
          <w:rFonts w:ascii="Times New Roman" w:hAnsi="Times New Roman" w:cs="Times New Roman"/>
          <w:sz w:val="24"/>
          <w:szCs w:val="24"/>
        </w:rPr>
        <w:t>funções essenciais à justiça, sobretudo a Advocacia Pública.</w:t>
      </w:r>
    </w:p>
    <w:p w14:paraId="7B0FE727" w14:textId="53EA0984" w:rsidR="00490A24" w:rsidRDefault="007434CC" w:rsidP="0017162C">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É de se reconhecer que o Legislativo </w:t>
      </w:r>
      <w:r w:rsidR="00634188">
        <w:rPr>
          <w:rFonts w:ascii="Times New Roman" w:hAnsi="Times New Roman" w:cs="Times New Roman"/>
          <w:sz w:val="24"/>
          <w:szCs w:val="24"/>
        </w:rPr>
        <w:t xml:space="preserve">também </w:t>
      </w:r>
      <w:r w:rsidR="0016582F">
        <w:rPr>
          <w:rFonts w:ascii="Times New Roman" w:hAnsi="Times New Roman" w:cs="Times New Roman"/>
          <w:sz w:val="24"/>
          <w:szCs w:val="24"/>
        </w:rPr>
        <w:t xml:space="preserve">vem </w:t>
      </w:r>
      <w:r w:rsidR="00634188">
        <w:rPr>
          <w:rFonts w:ascii="Times New Roman" w:hAnsi="Times New Roman" w:cs="Times New Roman"/>
          <w:sz w:val="24"/>
          <w:szCs w:val="24"/>
        </w:rPr>
        <w:t>cumprindo parcialmente sua missão</w:t>
      </w:r>
      <w:r w:rsidR="00BE4334">
        <w:rPr>
          <w:rFonts w:ascii="Times New Roman" w:hAnsi="Times New Roman" w:cs="Times New Roman"/>
          <w:sz w:val="24"/>
          <w:szCs w:val="24"/>
        </w:rPr>
        <w:t>, pois é possível identificar</w:t>
      </w:r>
      <w:r w:rsidR="00B709F1">
        <w:rPr>
          <w:rFonts w:ascii="Times New Roman" w:hAnsi="Times New Roman" w:cs="Times New Roman"/>
          <w:sz w:val="24"/>
          <w:szCs w:val="24"/>
        </w:rPr>
        <w:t xml:space="preserve"> o</w:t>
      </w:r>
      <w:r w:rsidR="00BE4334">
        <w:rPr>
          <w:rFonts w:ascii="Times New Roman" w:hAnsi="Times New Roman" w:cs="Times New Roman"/>
          <w:sz w:val="24"/>
          <w:szCs w:val="24"/>
        </w:rPr>
        <w:t xml:space="preserve"> microssistema normativo de métodos adequados de solução de conflitos</w:t>
      </w:r>
      <w:r w:rsidR="00490A24">
        <w:rPr>
          <w:rFonts w:ascii="Times New Roman" w:hAnsi="Times New Roman" w:cs="Times New Roman"/>
          <w:sz w:val="24"/>
          <w:szCs w:val="24"/>
        </w:rPr>
        <w:t>.</w:t>
      </w:r>
      <w:r w:rsidR="0017162C">
        <w:rPr>
          <w:rFonts w:ascii="Times New Roman" w:hAnsi="Times New Roman" w:cs="Times New Roman"/>
          <w:sz w:val="24"/>
          <w:szCs w:val="24"/>
        </w:rPr>
        <w:t xml:space="preserve"> </w:t>
      </w:r>
      <w:r w:rsidR="00490A24">
        <w:rPr>
          <w:rFonts w:ascii="Times New Roman" w:hAnsi="Times New Roman" w:cs="Times New Roman"/>
          <w:sz w:val="24"/>
          <w:szCs w:val="24"/>
        </w:rPr>
        <w:t xml:space="preserve">Por outro lado, </w:t>
      </w:r>
      <w:r w:rsidR="009346D8">
        <w:rPr>
          <w:rFonts w:ascii="Times New Roman" w:hAnsi="Times New Roman" w:cs="Times New Roman"/>
          <w:sz w:val="24"/>
          <w:szCs w:val="24"/>
        </w:rPr>
        <w:t>existem ainda lacunas legislativas</w:t>
      </w:r>
      <w:r w:rsidR="008305D8">
        <w:rPr>
          <w:rFonts w:ascii="Times New Roman" w:hAnsi="Times New Roman" w:cs="Times New Roman"/>
          <w:sz w:val="24"/>
          <w:szCs w:val="24"/>
        </w:rPr>
        <w:t xml:space="preserve"> a serem supridas, tanto em âmbito nacional (regulamentação da arbitragem tributária</w:t>
      </w:r>
      <w:r w:rsidR="00627D0C">
        <w:rPr>
          <w:rFonts w:ascii="Times New Roman" w:hAnsi="Times New Roman" w:cs="Times New Roman"/>
          <w:sz w:val="24"/>
          <w:szCs w:val="24"/>
        </w:rPr>
        <w:t xml:space="preserve"> e de normas gerais de transação</w:t>
      </w:r>
      <w:r w:rsidR="007C792A">
        <w:rPr>
          <w:rFonts w:ascii="Times New Roman" w:hAnsi="Times New Roman" w:cs="Times New Roman"/>
          <w:sz w:val="24"/>
          <w:szCs w:val="24"/>
        </w:rPr>
        <w:t xml:space="preserve"> tributária)</w:t>
      </w:r>
      <w:r w:rsidR="00494348">
        <w:rPr>
          <w:rFonts w:ascii="Times New Roman" w:hAnsi="Times New Roman" w:cs="Times New Roman"/>
          <w:sz w:val="24"/>
          <w:szCs w:val="24"/>
        </w:rPr>
        <w:t>, mas principalmente em âmbito local (</w:t>
      </w:r>
      <w:r w:rsidR="007A5222">
        <w:rPr>
          <w:rFonts w:ascii="Times New Roman" w:hAnsi="Times New Roman" w:cs="Times New Roman"/>
          <w:sz w:val="24"/>
          <w:szCs w:val="24"/>
        </w:rPr>
        <w:t xml:space="preserve">diversos </w:t>
      </w:r>
      <w:r w:rsidR="00B709F1">
        <w:rPr>
          <w:rFonts w:ascii="Times New Roman" w:hAnsi="Times New Roman" w:cs="Times New Roman"/>
          <w:sz w:val="24"/>
          <w:szCs w:val="24"/>
        </w:rPr>
        <w:t>e</w:t>
      </w:r>
      <w:r w:rsidR="007A5222">
        <w:rPr>
          <w:rFonts w:ascii="Times New Roman" w:hAnsi="Times New Roman" w:cs="Times New Roman"/>
          <w:sz w:val="24"/>
          <w:szCs w:val="24"/>
        </w:rPr>
        <w:t>stados ainda não possuem Câmara</w:t>
      </w:r>
      <w:r w:rsidR="00C479A5">
        <w:rPr>
          <w:rFonts w:ascii="Times New Roman" w:hAnsi="Times New Roman" w:cs="Times New Roman"/>
          <w:sz w:val="24"/>
          <w:szCs w:val="24"/>
        </w:rPr>
        <w:t>s</w:t>
      </w:r>
      <w:r w:rsidR="007A5222">
        <w:rPr>
          <w:rFonts w:ascii="Times New Roman" w:hAnsi="Times New Roman" w:cs="Times New Roman"/>
          <w:sz w:val="24"/>
          <w:szCs w:val="24"/>
        </w:rPr>
        <w:t xml:space="preserve"> de Autocomposição</w:t>
      </w:r>
      <w:r w:rsidR="00C328E0">
        <w:rPr>
          <w:rFonts w:ascii="Times New Roman" w:hAnsi="Times New Roman" w:cs="Times New Roman"/>
          <w:sz w:val="24"/>
          <w:szCs w:val="24"/>
        </w:rPr>
        <w:t xml:space="preserve">, </w:t>
      </w:r>
      <w:r w:rsidR="005573E9">
        <w:rPr>
          <w:rFonts w:ascii="Times New Roman" w:hAnsi="Times New Roman" w:cs="Times New Roman"/>
          <w:sz w:val="24"/>
          <w:szCs w:val="24"/>
        </w:rPr>
        <w:t>leis de transação tributária</w:t>
      </w:r>
      <w:r w:rsidR="00FB0538">
        <w:rPr>
          <w:rFonts w:ascii="Times New Roman" w:hAnsi="Times New Roman" w:cs="Times New Roman"/>
          <w:sz w:val="24"/>
          <w:szCs w:val="24"/>
        </w:rPr>
        <w:t>, tampouco</w:t>
      </w:r>
      <w:r w:rsidR="0028645A">
        <w:rPr>
          <w:rFonts w:ascii="Times New Roman" w:hAnsi="Times New Roman" w:cs="Times New Roman"/>
          <w:sz w:val="24"/>
          <w:szCs w:val="24"/>
        </w:rPr>
        <w:t xml:space="preserve"> delegações autorizando</w:t>
      </w:r>
      <w:r w:rsidR="009E4963">
        <w:rPr>
          <w:rFonts w:ascii="Times New Roman" w:hAnsi="Times New Roman" w:cs="Times New Roman"/>
          <w:sz w:val="24"/>
          <w:szCs w:val="24"/>
        </w:rPr>
        <w:t xml:space="preserve"> as Procuradorias</w:t>
      </w:r>
      <w:r w:rsidR="0028645A">
        <w:rPr>
          <w:rFonts w:ascii="Times New Roman" w:hAnsi="Times New Roman" w:cs="Times New Roman"/>
          <w:sz w:val="24"/>
          <w:szCs w:val="24"/>
        </w:rPr>
        <w:t xml:space="preserve"> </w:t>
      </w:r>
      <w:r w:rsidR="00FB0538">
        <w:rPr>
          <w:rFonts w:ascii="Times New Roman" w:hAnsi="Times New Roman" w:cs="Times New Roman"/>
          <w:sz w:val="24"/>
          <w:szCs w:val="24"/>
        </w:rPr>
        <w:t xml:space="preserve">a </w:t>
      </w:r>
      <w:r w:rsidR="0028645A">
        <w:rPr>
          <w:rFonts w:ascii="Times New Roman" w:hAnsi="Times New Roman" w:cs="Times New Roman"/>
          <w:sz w:val="24"/>
          <w:szCs w:val="24"/>
        </w:rPr>
        <w:t>celebra</w:t>
      </w:r>
      <w:r w:rsidR="009E4963">
        <w:rPr>
          <w:rFonts w:ascii="Times New Roman" w:hAnsi="Times New Roman" w:cs="Times New Roman"/>
          <w:sz w:val="24"/>
          <w:szCs w:val="24"/>
        </w:rPr>
        <w:t>r</w:t>
      </w:r>
      <w:r w:rsidR="0028645A">
        <w:rPr>
          <w:rFonts w:ascii="Times New Roman" w:hAnsi="Times New Roman" w:cs="Times New Roman"/>
          <w:sz w:val="24"/>
          <w:szCs w:val="24"/>
        </w:rPr>
        <w:t xml:space="preserve"> acordos</w:t>
      </w:r>
      <w:r w:rsidR="00056FC3">
        <w:rPr>
          <w:rFonts w:ascii="Times New Roman" w:hAnsi="Times New Roman" w:cs="Times New Roman"/>
          <w:sz w:val="24"/>
          <w:szCs w:val="24"/>
        </w:rPr>
        <w:t>)</w:t>
      </w:r>
      <w:r w:rsidR="00135ABF">
        <w:rPr>
          <w:rFonts w:ascii="Times New Roman" w:hAnsi="Times New Roman" w:cs="Times New Roman"/>
          <w:sz w:val="24"/>
          <w:szCs w:val="24"/>
        </w:rPr>
        <w:t>.</w:t>
      </w:r>
    </w:p>
    <w:p w14:paraId="1F08F877" w14:textId="709967DE" w:rsidR="00135ABF" w:rsidRDefault="00E67F27"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Ainda assim, </w:t>
      </w:r>
      <w:r w:rsidR="0076403E">
        <w:rPr>
          <w:rFonts w:ascii="Times New Roman" w:hAnsi="Times New Roman" w:cs="Times New Roman"/>
          <w:sz w:val="24"/>
          <w:szCs w:val="24"/>
        </w:rPr>
        <w:t>é do Poder Executivo que se deve esperar</w:t>
      </w:r>
      <w:r w:rsidR="001F7052">
        <w:rPr>
          <w:rFonts w:ascii="Times New Roman" w:hAnsi="Times New Roman" w:cs="Times New Roman"/>
          <w:sz w:val="24"/>
          <w:szCs w:val="24"/>
        </w:rPr>
        <w:t xml:space="preserve"> maior </w:t>
      </w:r>
      <w:r w:rsidR="004E28B8">
        <w:rPr>
          <w:rFonts w:ascii="Times New Roman" w:hAnsi="Times New Roman" w:cs="Times New Roman"/>
          <w:sz w:val="24"/>
          <w:szCs w:val="24"/>
        </w:rPr>
        <w:t>esforço</w:t>
      </w:r>
      <w:r w:rsidR="001F7052">
        <w:rPr>
          <w:rFonts w:ascii="Times New Roman" w:hAnsi="Times New Roman" w:cs="Times New Roman"/>
          <w:sz w:val="24"/>
          <w:szCs w:val="24"/>
        </w:rPr>
        <w:t xml:space="preserve"> na atuação preventiva e resolutiva dos litígios</w:t>
      </w:r>
      <w:r w:rsidR="00946157">
        <w:rPr>
          <w:rFonts w:ascii="Times New Roman" w:hAnsi="Times New Roman" w:cs="Times New Roman"/>
          <w:sz w:val="24"/>
          <w:szCs w:val="24"/>
        </w:rPr>
        <w:t xml:space="preserve">, especialmente em matéria fiscal, devendo a Advocacia Pública </w:t>
      </w:r>
      <w:r w:rsidR="00787F17">
        <w:rPr>
          <w:rFonts w:ascii="Times New Roman" w:hAnsi="Times New Roman" w:cs="Times New Roman"/>
          <w:sz w:val="24"/>
          <w:szCs w:val="24"/>
        </w:rPr>
        <w:t xml:space="preserve">assumir o protagonismo no convencimento </w:t>
      </w:r>
      <w:r w:rsidR="00CE0313">
        <w:rPr>
          <w:rFonts w:ascii="Times New Roman" w:hAnsi="Times New Roman" w:cs="Times New Roman"/>
          <w:sz w:val="24"/>
          <w:szCs w:val="24"/>
        </w:rPr>
        <w:t>e no assessoramento para a construção da estrutura normativa</w:t>
      </w:r>
      <w:r w:rsidR="0079342A">
        <w:rPr>
          <w:rFonts w:ascii="Times New Roman" w:hAnsi="Times New Roman" w:cs="Times New Roman"/>
          <w:sz w:val="24"/>
          <w:szCs w:val="24"/>
        </w:rPr>
        <w:t xml:space="preserve"> necessária </w:t>
      </w:r>
      <w:r w:rsidR="008E3898">
        <w:rPr>
          <w:rFonts w:ascii="Times New Roman" w:hAnsi="Times New Roman" w:cs="Times New Roman"/>
          <w:sz w:val="24"/>
          <w:szCs w:val="24"/>
        </w:rPr>
        <w:t>à</w:t>
      </w:r>
      <w:r w:rsidR="0079342A">
        <w:rPr>
          <w:rFonts w:ascii="Times New Roman" w:hAnsi="Times New Roman" w:cs="Times New Roman"/>
          <w:sz w:val="24"/>
          <w:szCs w:val="24"/>
        </w:rPr>
        <w:t xml:space="preserve"> legitimação da consensualidade</w:t>
      </w:r>
      <w:r w:rsidR="00BE7854">
        <w:rPr>
          <w:rFonts w:ascii="Times New Roman" w:hAnsi="Times New Roman" w:cs="Times New Roman"/>
          <w:sz w:val="24"/>
          <w:szCs w:val="24"/>
        </w:rPr>
        <w:t xml:space="preserve"> e na operacionalização </w:t>
      </w:r>
      <w:r w:rsidR="00AE627C">
        <w:rPr>
          <w:rFonts w:ascii="Times New Roman" w:hAnsi="Times New Roman" w:cs="Times New Roman"/>
          <w:sz w:val="24"/>
          <w:szCs w:val="24"/>
        </w:rPr>
        <w:t>do sistema multiportas</w:t>
      </w:r>
      <w:r w:rsidR="00A76CD6">
        <w:rPr>
          <w:rFonts w:ascii="Times New Roman" w:hAnsi="Times New Roman" w:cs="Times New Roman"/>
          <w:sz w:val="24"/>
          <w:szCs w:val="24"/>
        </w:rPr>
        <w:t xml:space="preserve"> na Administração Pública.</w:t>
      </w:r>
    </w:p>
    <w:p w14:paraId="6E7BFD1D" w14:textId="53DF642B" w:rsidR="002B3CF3" w:rsidRPr="00A6325A" w:rsidRDefault="002F6AB3" w:rsidP="00A6325A">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Em primeiro lugar</w:t>
      </w:r>
      <w:r w:rsidR="00A16EBB">
        <w:rPr>
          <w:rFonts w:ascii="Times New Roman" w:hAnsi="Times New Roman" w:cs="Times New Roman"/>
          <w:sz w:val="24"/>
          <w:szCs w:val="24"/>
        </w:rPr>
        <w:t xml:space="preserve"> </w:t>
      </w:r>
      <w:r>
        <w:rPr>
          <w:rFonts w:ascii="Times New Roman" w:hAnsi="Times New Roman" w:cs="Times New Roman"/>
          <w:sz w:val="24"/>
          <w:szCs w:val="24"/>
        </w:rPr>
        <w:t>porque, de modo geral, os diplomas legais necessários são de sua iniciativa privativa</w:t>
      </w:r>
      <w:r w:rsidR="004E28B8">
        <w:rPr>
          <w:rFonts w:ascii="Times New Roman" w:hAnsi="Times New Roman" w:cs="Times New Roman"/>
          <w:sz w:val="24"/>
          <w:szCs w:val="24"/>
        </w:rPr>
        <w:t>; e</w:t>
      </w:r>
      <w:r>
        <w:rPr>
          <w:rFonts w:ascii="Times New Roman" w:hAnsi="Times New Roman" w:cs="Times New Roman"/>
          <w:sz w:val="24"/>
          <w:szCs w:val="24"/>
        </w:rPr>
        <w:t xml:space="preserve">m segundo lugar </w:t>
      </w:r>
      <w:r w:rsidR="00ED5924">
        <w:rPr>
          <w:rFonts w:ascii="Times New Roman" w:hAnsi="Times New Roman" w:cs="Times New Roman"/>
          <w:sz w:val="24"/>
          <w:szCs w:val="24"/>
        </w:rPr>
        <w:t>porque</w:t>
      </w:r>
      <w:r w:rsidR="00EA0AB0">
        <w:rPr>
          <w:rFonts w:ascii="Times New Roman" w:hAnsi="Times New Roman" w:cs="Times New Roman"/>
          <w:sz w:val="24"/>
          <w:szCs w:val="24"/>
        </w:rPr>
        <w:t>, segundo o painel “Grandes Litigantes”</w:t>
      </w:r>
      <w:r w:rsidR="00BF19C2">
        <w:rPr>
          <w:rFonts w:ascii="Times New Roman" w:hAnsi="Times New Roman" w:cs="Times New Roman"/>
          <w:sz w:val="24"/>
          <w:szCs w:val="24"/>
        </w:rPr>
        <w:t xml:space="preserve"> </w:t>
      </w:r>
      <w:r w:rsidR="00EA0AB0">
        <w:rPr>
          <w:rFonts w:ascii="Times New Roman" w:hAnsi="Times New Roman" w:cs="Times New Roman"/>
          <w:sz w:val="24"/>
          <w:szCs w:val="24"/>
        </w:rPr>
        <w:t>do CNJ</w:t>
      </w:r>
      <w:r w:rsidR="00EA0AB0">
        <w:rPr>
          <w:rStyle w:val="Refdenotaderodap"/>
          <w:rFonts w:ascii="Times New Roman" w:hAnsi="Times New Roman" w:cs="Times New Roman"/>
          <w:sz w:val="24"/>
          <w:szCs w:val="24"/>
        </w:rPr>
        <w:footnoteReference w:id="34"/>
      </w:r>
      <w:r w:rsidR="0029091D">
        <w:rPr>
          <w:rFonts w:ascii="Times New Roman" w:hAnsi="Times New Roman" w:cs="Times New Roman"/>
          <w:sz w:val="24"/>
          <w:szCs w:val="24"/>
        </w:rPr>
        <w:t xml:space="preserve">, </w:t>
      </w:r>
      <w:r w:rsidR="00CF0A6C">
        <w:rPr>
          <w:rFonts w:ascii="Times New Roman" w:hAnsi="Times New Roman" w:cs="Times New Roman"/>
          <w:sz w:val="24"/>
          <w:szCs w:val="24"/>
        </w:rPr>
        <w:t>os entes públicos</w:t>
      </w:r>
      <w:r w:rsidR="004C36AE">
        <w:rPr>
          <w:rFonts w:ascii="Times New Roman" w:hAnsi="Times New Roman" w:cs="Times New Roman"/>
          <w:sz w:val="24"/>
          <w:szCs w:val="24"/>
        </w:rPr>
        <w:t xml:space="preserve"> (incluindo</w:t>
      </w:r>
      <w:r w:rsidR="00F37DE7">
        <w:rPr>
          <w:rFonts w:ascii="Times New Roman" w:hAnsi="Times New Roman" w:cs="Times New Roman"/>
          <w:sz w:val="24"/>
          <w:szCs w:val="24"/>
        </w:rPr>
        <w:t xml:space="preserve"> entidades da Administração Indireta e o Ministério Público)</w:t>
      </w:r>
      <w:r w:rsidR="00CF0A6C">
        <w:rPr>
          <w:rFonts w:ascii="Times New Roman" w:hAnsi="Times New Roman" w:cs="Times New Roman"/>
          <w:sz w:val="24"/>
          <w:szCs w:val="24"/>
        </w:rPr>
        <w:t xml:space="preserve"> </w:t>
      </w:r>
      <w:r w:rsidR="0070676C">
        <w:rPr>
          <w:rFonts w:ascii="Times New Roman" w:hAnsi="Times New Roman" w:cs="Times New Roman"/>
          <w:sz w:val="24"/>
          <w:szCs w:val="24"/>
        </w:rPr>
        <w:t xml:space="preserve">aparecem </w:t>
      </w:r>
      <w:r w:rsidR="00DA249A">
        <w:rPr>
          <w:rFonts w:ascii="Times New Roman" w:hAnsi="Times New Roman" w:cs="Times New Roman"/>
          <w:sz w:val="24"/>
          <w:szCs w:val="24"/>
        </w:rPr>
        <w:t>repetidamente entre os</w:t>
      </w:r>
      <w:r w:rsidR="0070676C">
        <w:rPr>
          <w:rFonts w:ascii="Times New Roman" w:hAnsi="Times New Roman" w:cs="Times New Roman"/>
          <w:sz w:val="24"/>
          <w:szCs w:val="24"/>
        </w:rPr>
        <w:t xml:space="preserve"> maiores l</w:t>
      </w:r>
      <w:r w:rsidR="004C36AE">
        <w:rPr>
          <w:rFonts w:ascii="Times New Roman" w:hAnsi="Times New Roman" w:cs="Times New Roman"/>
          <w:sz w:val="24"/>
          <w:szCs w:val="24"/>
        </w:rPr>
        <w:t>itigantes</w:t>
      </w:r>
      <w:r w:rsidR="00DA249A">
        <w:rPr>
          <w:rFonts w:ascii="Times New Roman" w:hAnsi="Times New Roman" w:cs="Times New Roman"/>
          <w:sz w:val="24"/>
          <w:szCs w:val="24"/>
        </w:rPr>
        <w:t xml:space="preserve">, </w:t>
      </w:r>
      <w:r w:rsidR="00A7143D">
        <w:rPr>
          <w:rFonts w:ascii="Times New Roman" w:hAnsi="Times New Roman" w:cs="Times New Roman"/>
          <w:sz w:val="24"/>
          <w:szCs w:val="24"/>
        </w:rPr>
        <w:t xml:space="preserve">em casos pendentes ou novos, </w:t>
      </w:r>
      <w:r w:rsidR="00A6325A">
        <w:rPr>
          <w:rFonts w:ascii="Times New Roman" w:hAnsi="Times New Roman" w:cs="Times New Roman"/>
          <w:sz w:val="24"/>
          <w:szCs w:val="24"/>
        </w:rPr>
        <w:t xml:space="preserve">em ambos os </w:t>
      </w:r>
      <w:r w:rsidR="004C36AE">
        <w:rPr>
          <w:rFonts w:ascii="Times New Roman" w:hAnsi="Times New Roman" w:cs="Times New Roman"/>
          <w:sz w:val="24"/>
          <w:szCs w:val="24"/>
        </w:rPr>
        <w:t>polo</w:t>
      </w:r>
      <w:r w:rsidR="00A6325A">
        <w:rPr>
          <w:rFonts w:ascii="Times New Roman" w:hAnsi="Times New Roman" w:cs="Times New Roman"/>
          <w:sz w:val="24"/>
          <w:szCs w:val="24"/>
        </w:rPr>
        <w:t>s</w:t>
      </w:r>
      <w:r w:rsidR="00D55274">
        <w:rPr>
          <w:rFonts w:ascii="Times New Roman" w:hAnsi="Times New Roman" w:cs="Times New Roman"/>
          <w:sz w:val="24"/>
          <w:szCs w:val="24"/>
        </w:rPr>
        <w:t>;</w:t>
      </w:r>
      <w:r w:rsidR="00FF752D">
        <w:rPr>
          <w:rFonts w:ascii="Times New Roman" w:hAnsi="Times New Roman" w:cs="Times New Roman"/>
          <w:sz w:val="24"/>
          <w:szCs w:val="24"/>
        </w:rPr>
        <w:t xml:space="preserve"> </w:t>
      </w:r>
      <w:r w:rsidR="00D55274">
        <w:rPr>
          <w:rFonts w:ascii="Times New Roman" w:hAnsi="Times New Roman" w:cs="Times New Roman"/>
          <w:sz w:val="24"/>
          <w:szCs w:val="24"/>
        </w:rPr>
        <w:t>e</w:t>
      </w:r>
      <w:r w:rsidR="00781FE6" w:rsidRPr="00781FE6">
        <w:rPr>
          <w:rFonts w:ascii="Times New Roman" w:hAnsi="Times New Roman" w:cs="Times New Roman"/>
          <w:sz w:val="24"/>
          <w:szCs w:val="24"/>
        </w:rPr>
        <w:t xml:space="preserve">m terceiro lugar </w:t>
      </w:r>
      <w:r w:rsidR="00F902FC">
        <w:rPr>
          <w:rFonts w:ascii="Times New Roman" w:hAnsi="Times New Roman" w:cs="Times New Roman"/>
          <w:sz w:val="24"/>
          <w:szCs w:val="24"/>
        </w:rPr>
        <w:t>porque</w:t>
      </w:r>
      <w:r w:rsidR="00A16EBB">
        <w:rPr>
          <w:rFonts w:ascii="Times New Roman" w:hAnsi="Times New Roman" w:cs="Times New Roman"/>
          <w:sz w:val="24"/>
          <w:szCs w:val="24"/>
        </w:rPr>
        <w:t>,</w:t>
      </w:r>
      <w:r w:rsidR="00F902FC">
        <w:rPr>
          <w:rFonts w:ascii="Times New Roman" w:hAnsi="Times New Roman" w:cs="Times New Roman"/>
          <w:sz w:val="24"/>
          <w:szCs w:val="24"/>
        </w:rPr>
        <w:t xml:space="preserve"> </w:t>
      </w:r>
      <w:r w:rsidR="00781FE6" w:rsidRPr="00781FE6">
        <w:rPr>
          <w:rFonts w:ascii="Times New Roman" w:hAnsi="Times New Roman" w:cs="Times New Roman"/>
          <w:sz w:val="24"/>
          <w:szCs w:val="24"/>
        </w:rPr>
        <w:t>o acesso à justiça é direito fundamental garantido constitucionalmente e dever do Estado</w:t>
      </w:r>
      <w:r w:rsidR="00A6325A">
        <w:rPr>
          <w:rFonts w:ascii="Times New Roman" w:hAnsi="Times New Roman" w:cs="Times New Roman"/>
          <w:sz w:val="24"/>
          <w:szCs w:val="24"/>
        </w:rPr>
        <w:t xml:space="preserve"> (</w:t>
      </w:r>
      <w:r w:rsidR="00781FE6" w:rsidRPr="00781FE6">
        <w:rPr>
          <w:rFonts w:ascii="Times New Roman" w:hAnsi="Times New Roman" w:cs="Times New Roman"/>
          <w:sz w:val="24"/>
          <w:szCs w:val="24"/>
        </w:rPr>
        <w:t>art. 3º, §2º, do CPC</w:t>
      </w:r>
      <w:r w:rsidR="00A6325A">
        <w:rPr>
          <w:rFonts w:ascii="Times New Roman" w:hAnsi="Times New Roman" w:cs="Times New Roman"/>
          <w:sz w:val="24"/>
          <w:szCs w:val="24"/>
        </w:rPr>
        <w:t>)</w:t>
      </w:r>
      <w:r w:rsidR="00CD360B">
        <w:rPr>
          <w:rFonts w:ascii="Times New Roman" w:hAnsi="Times New Roman" w:cs="Times New Roman"/>
          <w:sz w:val="24"/>
          <w:szCs w:val="24"/>
        </w:rPr>
        <w:t xml:space="preserve">, que </w:t>
      </w:r>
      <w:r w:rsidR="00781FE6" w:rsidRPr="00781FE6">
        <w:rPr>
          <w:rFonts w:ascii="Times New Roman" w:hAnsi="Times New Roman" w:cs="Times New Roman"/>
          <w:sz w:val="24"/>
          <w:szCs w:val="24"/>
        </w:rPr>
        <w:t xml:space="preserve">passa por uma nova concepção, que se afasta da noção de inafastabilidade da jurisdição como “reserva de mercado” para o </w:t>
      </w:r>
      <w:r w:rsidR="00781FE6" w:rsidRPr="00781FE6">
        <w:rPr>
          <w:rFonts w:ascii="Times New Roman" w:hAnsi="Times New Roman" w:cs="Times New Roman"/>
          <w:i/>
          <w:iCs/>
          <w:sz w:val="24"/>
          <w:szCs w:val="24"/>
        </w:rPr>
        <w:t>monopólio da justiça estatal</w:t>
      </w:r>
      <w:r w:rsidR="007D5AEC">
        <w:rPr>
          <w:rStyle w:val="Refdenotaderodap"/>
          <w:rFonts w:ascii="Times New Roman" w:hAnsi="Times New Roman" w:cs="Times New Roman"/>
          <w:i/>
          <w:iCs/>
          <w:sz w:val="24"/>
          <w:szCs w:val="24"/>
        </w:rPr>
        <w:footnoteReference w:id="35"/>
      </w:r>
      <w:r w:rsidR="00781FE6" w:rsidRPr="00781FE6">
        <w:rPr>
          <w:rFonts w:ascii="Times New Roman" w:hAnsi="Times New Roman" w:cs="Times New Roman"/>
          <w:sz w:val="24"/>
          <w:szCs w:val="24"/>
        </w:rPr>
        <w:t>,</w:t>
      </w:r>
      <w:r w:rsidR="00675BC8">
        <w:rPr>
          <w:rFonts w:ascii="Times New Roman" w:hAnsi="Times New Roman" w:cs="Times New Roman"/>
          <w:sz w:val="24"/>
          <w:szCs w:val="24"/>
        </w:rPr>
        <w:t xml:space="preserve"> e se aproxima</w:t>
      </w:r>
      <w:r w:rsidR="00781FE6" w:rsidRPr="00781FE6">
        <w:rPr>
          <w:rFonts w:ascii="Times New Roman" w:hAnsi="Times New Roman" w:cs="Times New Roman"/>
          <w:sz w:val="24"/>
          <w:szCs w:val="24"/>
        </w:rPr>
        <w:t xml:space="preserve"> dos modernos conceitos de </w:t>
      </w:r>
      <w:r w:rsidR="00781FE6" w:rsidRPr="00781FE6">
        <w:rPr>
          <w:rFonts w:ascii="Times New Roman" w:hAnsi="Times New Roman" w:cs="Times New Roman"/>
          <w:i/>
          <w:iCs/>
          <w:sz w:val="24"/>
          <w:szCs w:val="24"/>
        </w:rPr>
        <w:t>justiça coexistencial</w:t>
      </w:r>
      <w:r w:rsidR="00B14CEA" w:rsidRPr="003E549B">
        <w:rPr>
          <w:rStyle w:val="Refdenotaderodap"/>
          <w:rFonts w:ascii="Times New Roman" w:hAnsi="Times New Roman" w:cs="Times New Roman"/>
          <w:i/>
          <w:iCs/>
          <w:sz w:val="24"/>
          <w:szCs w:val="24"/>
        </w:rPr>
        <w:footnoteReference w:id="36"/>
      </w:r>
      <w:r w:rsidR="00781FE6" w:rsidRPr="00781FE6">
        <w:rPr>
          <w:rFonts w:ascii="Times New Roman" w:hAnsi="Times New Roman" w:cs="Times New Roman"/>
          <w:sz w:val="24"/>
          <w:szCs w:val="24"/>
        </w:rPr>
        <w:t xml:space="preserve">, </w:t>
      </w:r>
      <w:r w:rsidR="00781FE6" w:rsidRPr="00781FE6">
        <w:rPr>
          <w:rFonts w:ascii="Times New Roman" w:hAnsi="Times New Roman" w:cs="Times New Roman"/>
          <w:i/>
          <w:iCs/>
          <w:sz w:val="24"/>
          <w:szCs w:val="24"/>
        </w:rPr>
        <w:t>jurisdição compartilhada</w:t>
      </w:r>
      <w:r w:rsidR="00781FE6" w:rsidRPr="00781FE6">
        <w:rPr>
          <w:rFonts w:ascii="Times New Roman" w:hAnsi="Times New Roman" w:cs="Times New Roman"/>
          <w:sz w:val="24"/>
          <w:szCs w:val="24"/>
        </w:rPr>
        <w:t xml:space="preserve"> e de </w:t>
      </w:r>
      <w:r w:rsidR="00781FE6" w:rsidRPr="00781FE6">
        <w:rPr>
          <w:rFonts w:ascii="Times New Roman" w:hAnsi="Times New Roman" w:cs="Times New Roman"/>
          <w:i/>
          <w:iCs/>
          <w:sz w:val="24"/>
          <w:szCs w:val="24"/>
        </w:rPr>
        <w:t>equivalentes jurisdicionais</w:t>
      </w:r>
      <w:r w:rsidR="00B14CEA" w:rsidRPr="003E549B">
        <w:rPr>
          <w:rStyle w:val="Refdenotaderodap"/>
          <w:rFonts w:ascii="Times New Roman" w:hAnsi="Times New Roman" w:cs="Times New Roman"/>
          <w:i/>
          <w:iCs/>
          <w:sz w:val="24"/>
          <w:szCs w:val="24"/>
        </w:rPr>
        <w:footnoteReference w:id="37"/>
      </w:r>
      <w:r w:rsidR="00781FE6" w:rsidRPr="00781FE6">
        <w:rPr>
          <w:rFonts w:ascii="Times New Roman" w:hAnsi="Times New Roman" w:cs="Times New Roman"/>
          <w:i/>
          <w:iCs/>
          <w:sz w:val="24"/>
          <w:szCs w:val="24"/>
        </w:rPr>
        <w:t>.</w:t>
      </w:r>
      <w:r w:rsidR="00FF752D">
        <w:rPr>
          <w:rFonts w:ascii="Times New Roman" w:hAnsi="Times New Roman" w:cs="Times New Roman"/>
          <w:i/>
          <w:iCs/>
          <w:sz w:val="24"/>
          <w:szCs w:val="24"/>
        </w:rPr>
        <w:t xml:space="preserve"> </w:t>
      </w:r>
    </w:p>
    <w:p w14:paraId="37FA5396" w14:textId="3446F715" w:rsidR="00781FE6" w:rsidRDefault="002B3CF3"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lastRenderedPageBreak/>
        <w:t>Tais</w:t>
      </w:r>
      <w:r w:rsidR="00781FE6" w:rsidRPr="00781FE6">
        <w:rPr>
          <w:rFonts w:ascii="Times New Roman" w:hAnsi="Times New Roman" w:cs="Times New Roman"/>
          <w:sz w:val="24"/>
          <w:szCs w:val="24"/>
        </w:rPr>
        <w:t xml:space="preserve"> ideias vão ao encontro de uma visão de função jurisdicional como dever </w:t>
      </w:r>
      <w:r w:rsidR="007C1DF5">
        <w:rPr>
          <w:rFonts w:ascii="Times New Roman" w:hAnsi="Times New Roman" w:cs="Times New Roman"/>
          <w:sz w:val="24"/>
          <w:szCs w:val="24"/>
        </w:rPr>
        <w:t>estatal</w:t>
      </w:r>
      <w:r w:rsidR="00781FE6" w:rsidRPr="00781FE6">
        <w:rPr>
          <w:rFonts w:ascii="Times New Roman" w:hAnsi="Times New Roman" w:cs="Times New Roman"/>
          <w:sz w:val="24"/>
          <w:szCs w:val="24"/>
        </w:rPr>
        <w:t xml:space="preserve"> de promover a prevenção e a justa composição dos conflitos, </w:t>
      </w:r>
      <w:r w:rsidR="00E0367A">
        <w:rPr>
          <w:rFonts w:ascii="Times New Roman" w:hAnsi="Times New Roman" w:cs="Times New Roman"/>
          <w:sz w:val="24"/>
          <w:szCs w:val="24"/>
        </w:rPr>
        <w:t>através do</w:t>
      </w:r>
      <w:r w:rsidR="00781FE6" w:rsidRPr="00781FE6">
        <w:rPr>
          <w:rFonts w:ascii="Times New Roman" w:hAnsi="Times New Roman" w:cs="Times New Roman"/>
          <w:sz w:val="24"/>
          <w:szCs w:val="24"/>
        </w:rPr>
        <w:t xml:space="preserve"> método mais adequado a cada controvérsia</w:t>
      </w:r>
      <w:r w:rsidR="007A1F55">
        <w:rPr>
          <w:rFonts w:ascii="Times New Roman" w:hAnsi="Times New Roman" w:cs="Times New Roman"/>
          <w:sz w:val="24"/>
          <w:szCs w:val="24"/>
        </w:rPr>
        <w:t xml:space="preserve">, </w:t>
      </w:r>
      <w:r w:rsidR="00781FE6" w:rsidRPr="00781FE6">
        <w:rPr>
          <w:rFonts w:ascii="Times New Roman" w:hAnsi="Times New Roman" w:cs="Times New Roman"/>
          <w:sz w:val="24"/>
          <w:szCs w:val="24"/>
        </w:rPr>
        <w:t>proporciona</w:t>
      </w:r>
      <w:r w:rsidR="006300D3">
        <w:rPr>
          <w:rFonts w:ascii="Times New Roman" w:hAnsi="Times New Roman" w:cs="Times New Roman"/>
          <w:sz w:val="24"/>
          <w:szCs w:val="24"/>
        </w:rPr>
        <w:t xml:space="preserve">ndo </w:t>
      </w:r>
      <w:r w:rsidR="00781FE6" w:rsidRPr="00781FE6">
        <w:rPr>
          <w:rFonts w:ascii="Times New Roman" w:hAnsi="Times New Roman" w:cs="Times New Roman"/>
          <w:sz w:val="24"/>
          <w:szCs w:val="24"/>
        </w:rPr>
        <w:t>diferentes vias para a pacificação e garantia da harmonia social.</w:t>
      </w:r>
    </w:p>
    <w:p w14:paraId="7ED94629" w14:textId="0805E0D6" w:rsidR="00B61437" w:rsidRDefault="009A553E"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Com mais razão ainda n</w:t>
      </w:r>
      <w:r w:rsidR="005E640A">
        <w:rPr>
          <w:rFonts w:ascii="Times New Roman" w:hAnsi="Times New Roman" w:cs="Times New Roman"/>
          <w:sz w:val="24"/>
          <w:szCs w:val="24"/>
        </w:rPr>
        <w:t>as relações fiscais</w:t>
      </w:r>
      <w:r w:rsidR="003E6F58">
        <w:rPr>
          <w:rFonts w:ascii="Times New Roman" w:hAnsi="Times New Roman" w:cs="Times New Roman"/>
          <w:sz w:val="24"/>
          <w:szCs w:val="24"/>
        </w:rPr>
        <w:t>,</w:t>
      </w:r>
      <w:r>
        <w:rPr>
          <w:rFonts w:ascii="Times New Roman" w:hAnsi="Times New Roman" w:cs="Times New Roman"/>
          <w:sz w:val="24"/>
          <w:szCs w:val="24"/>
        </w:rPr>
        <w:t xml:space="preserve"> em que</w:t>
      </w:r>
      <w:r w:rsidR="00D15487">
        <w:rPr>
          <w:rFonts w:ascii="Times New Roman" w:hAnsi="Times New Roman" w:cs="Times New Roman"/>
          <w:sz w:val="24"/>
          <w:szCs w:val="24"/>
        </w:rPr>
        <w:t>, para Rodolfo de Camargo Mancuso</w:t>
      </w:r>
      <w:r w:rsidR="0003481A">
        <w:rPr>
          <w:rFonts w:ascii="Times New Roman" w:hAnsi="Times New Roman" w:cs="Times New Roman"/>
          <w:sz w:val="24"/>
          <w:szCs w:val="24"/>
        </w:rPr>
        <w:t>:</w:t>
      </w:r>
    </w:p>
    <w:p w14:paraId="5B90A450" w14:textId="4AF6EC38" w:rsidR="006034F0" w:rsidRPr="00D40C53" w:rsidRDefault="0003481A" w:rsidP="00D40C53">
      <w:pPr>
        <w:spacing w:before="120" w:after="120" w:line="240" w:lineRule="auto"/>
        <w:ind w:left="2268"/>
        <w:jc w:val="both"/>
        <w:rPr>
          <w:rFonts w:ascii="Times New Roman" w:hAnsi="Times New Roman" w:cs="Times New Roman"/>
          <w:i/>
          <w:iCs/>
          <w:sz w:val="20"/>
          <w:szCs w:val="20"/>
        </w:rPr>
      </w:pPr>
      <w:r w:rsidRPr="00D40C53">
        <w:rPr>
          <w:rFonts w:ascii="Times New Roman" w:hAnsi="Times New Roman" w:cs="Times New Roman"/>
          <w:sz w:val="20"/>
          <w:szCs w:val="20"/>
        </w:rPr>
        <w:t xml:space="preserve">esta </w:t>
      </w:r>
      <w:r w:rsidR="00E33BBC" w:rsidRPr="00D40C53">
        <w:rPr>
          <w:rFonts w:ascii="Times New Roman" w:hAnsi="Times New Roman" w:cs="Times New Roman"/>
          <w:sz w:val="20"/>
          <w:szCs w:val="20"/>
        </w:rPr>
        <w:t>proeminência do judiciário (...) não é de aplicar-se à cobrança da dívida ativa do Poder Público</w:t>
      </w:r>
      <w:r w:rsidR="003E6F58" w:rsidRPr="00D40C53">
        <w:rPr>
          <w:rFonts w:ascii="Times New Roman" w:hAnsi="Times New Roman" w:cs="Times New Roman"/>
          <w:sz w:val="20"/>
          <w:szCs w:val="20"/>
        </w:rPr>
        <w:t>,</w:t>
      </w:r>
      <w:r w:rsidR="00E33BBC" w:rsidRPr="00D40C53">
        <w:rPr>
          <w:rFonts w:ascii="Times New Roman" w:hAnsi="Times New Roman" w:cs="Times New Roman"/>
          <w:sz w:val="20"/>
          <w:szCs w:val="20"/>
        </w:rPr>
        <w:t xml:space="preserve"> o que bem pode ser realizado em seus próprios quadros administrativos, o que não ofende diret</w:t>
      </w:r>
      <w:r w:rsidR="00DD66F4" w:rsidRPr="00D40C53">
        <w:rPr>
          <w:rFonts w:ascii="Times New Roman" w:hAnsi="Times New Roman" w:cs="Times New Roman"/>
          <w:sz w:val="20"/>
          <w:szCs w:val="20"/>
        </w:rPr>
        <w:t>a</w:t>
      </w:r>
      <w:r w:rsidR="00AA5E53" w:rsidRPr="00D40C53">
        <w:rPr>
          <w:rFonts w:ascii="Times New Roman" w:hAnsi="Times New Roman" w:cs="Times New Roman"/>
          <w:sz w:val="20"/>
          <w:szCs w:val="20"/>
        </w:rPr>
        <w:t xml:space="preserve"> nem</w:t>
      </w:r>
      <w:r w:rsidR="00DD66F4" w:rsidRPr="00D40C53">
        <w:rPr>
          <w:rFonts w:ascii="Times New Roman" w:hAnsi="Times New Roman" w:cs="Times New Roman"/>
          <w:sz w:val="20"/>
          <w:szCs w:val="20"/>
        </w:rPr>
        <w:t xml:space="preserve"> </w:t>
      </w:r>
      <w:r w:rsidR="00E33BBC" w:rsidRPr="00D40C53">
        <w:rPr>
          <w:rFonts w:ascii="Times New Roman" w:hAnsi="Times New Roman" w:cs="Times New Roman"/>
          <w:sz w:val="20"/>
          <w:szCs w:val="20"/>
        </w:rPr>
        <w:t>obliquamente o princípio da inafastabilidade da jurisdição</w:t>
      </w:r>
      <w:r w:rsidR="00DD66F4" w:rsidRPr="00D40C53">
        <w:rPr>
          <w:rFonts w:ascii="Times New Roman" w:hAnsi="Times New Roman" w:cs="Times New Roman"/>
          <w:sz w:val="20"/>
          <w:szCs w:val="20"/>
        </w:rPr>
        <w:t>,</w:t>
      </w:r>
      <w:r w:rsidR="00E33BBC" w:rsidRPr="00D40C53">
        <w:rPr>
          <w:rFonts w:ascii="Times New Roman" w:hAnsi="Times New Roman" w:cs="Times New Roman"/>
          <w:sz w:val="20"/>
          <w:szCs w:val="20"/>
        </w:rPr>
        <w:t xml:space="preserve"> pois tal dispositivo não afirma qualquer sorte de monopólio da justiça estatal e ainda certo que a obrigação tributária integra o âmbito do interesse fazendário</w:t>
      </w:r>
      <w:r w:rsidR="00DD66F4" w:rsidRPr="00D40C53">
        <w:rPr>
          <w:rFonts w:ascii="Times New Roman" w:hAnsi="Times New Roman" w:cs="Times New Roman"/>
          <w:sz w:val="20"/>
          <w:szCs w:val="20"/>
        </w:rPr>
        <w:t>,</w:t>
      </w:r>
      <w:r w:rsidR="00E33BBC" w:rsidRPr="00D40C53">
        <w:rPr>
          <w:rFonts w:ascii="Times New Roman" w:hAnsi="Times New Roman" w:cs="Times New Roman"/>
          <w:sz w:val="20"/>
          <w:szCs w:val="20"/>
        </w:rPr>
        <w:t xml:space="preserve"> ou seja</w:t>
      </w:r>
      <w:r w:rsidR="00DD66F4" w:rsidRPr="00D40C53">
        <w:rPr>
          <w:rFonts w:ascii="Times New Roman" w:hAnsi="Times New Roman" w:cs="Times New Roman"/>
          <w:sz w:val="20"/>
          <w:szCs w:val="20"/>
        </w:rPr>
        <w:t>,</w:t>
      </w:r>
      <w:r w:rsidR="00E33BBC" w:rsidRPr="00D40C53">
        <w:rPr>
          <w:rFonts w:ascii="Times New Roman" w:hAnsi="Times New Roman" w:cs="Times New Roman"/>
          <w:sz w:val="20"/>
          <w:szCs w:val="20"/>
        </w:rPr>
        <w:t xml:space="preserve"> interesse público secundário passível de ser transacionado</w:t>
      </w:r>
      <w:r w:rsidR="00DD66F4" w:rsidRPr="00D40C53">
        <w:rPr>
          <w:rFonts w:ascii="Times New Roman" w:hAnsi="Times New Roman" w:cs="Times New Roman"/>
          <w:sz w:val="20"/>
          <w:szCs w:val="20"/>
        </w:rPr>
        <w:t>,</w:t>
      </w:r>
      <w:r w:rsidR="00E33BBC" w:rsidRPr="00D40C53">
        <w:rPr>
          <w:rFonts w:ascii="Times New Roman" w:hAnsi="Times New Roman" w:cs="Times New Roman"/>
          <w:sz w:val="20"/>
          <w:szCs w:val="20"/>
        </w:rPr>
        <w:t xml:space="preserve"> por exemplo</w:t>
      </w:r>
      <w:r w:rsidR="00DD66F4" w:rsidRPr="00D40C53">
        <w:rPr>
          <w:rStyle w:val="Refdenotaderodap"/>
          <w:rFonts w:ascii="Times New Roman" w:hAnsi="Times New Roman" w:cs="Times New Roman"/>
          <w:i/>
          <w:iCs/>
          <w:sz w:val="20"/>
          <w:szCs w:val="20"/>
        </w:rPr>
        <w:footnoteReference w:id="38"/>
      </w:r>
      <w:r w:rsidR="00E33BBC" w:rsidRPr="00D40C53">
        <w:rPr>
          <w:rFonts w:ascii="Times New Roman" w:hAnsi="Times New Roman" w:cs="Times New Roman"/>
          <w:i/>
          <w:iCs/>
          <w:sz w:val="20"/>
          <w:szCs w:val="20"/>
        </w:rPr>
        <w:t>.</w:t>
      </w:r>
    </w:p>
    <w:p w14:paraId="23ADD633" w14:textId="6CC86300" w:rsidR="001A6339" w:rsidRDefault="00EC2FA4" w:rsidP="00D957FA">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Assim, </w:t>
      </w:r>
      <w:r w:rsidR="00F966A9">
        <w:rPr>
          <w:rFonts w:ascii="Times New Roman" w:hAnsi="Times New Roman" w:cs="Times New Roman"/>
          <w:sz w:val="24"/>
          <w:szCs w:val="24"/>
        </w:rPr>
        <w:t>p</w:t>
      </w:r>
      <w:r w:rsidR="001A6339" w:rsidRPr="001A6339">
        <w:rPr>
          <w:rFonts w:ascii="Times New Roman" w:hAnsi="Times New Roman" w:cs="Times New Roman"/>
          <w:sz w:val="24"/>
          <w:szCs w:val="24"/>
        </w:rPr>
        <w:t xml:space="preserve">ara além dos esforços do CNJ, </w:t>
      </w:r>
      <w:r w:rsidR="001A6339">
        <w:rPr>
          <w:rFonts w:ascii="Times New Roman" w:hAnsi="Times New Roman" w:cs="Times New Roman"/>
          <w:sz w:val="24"/>
          <w:szCs w:val="24"/>
        </w:rPr>
        <w:t>d</w:t>
      </w:r>
      <w:r w:rsidR="001A6339" w:rsidRPr="001A6339">
        <w:rPr>
          <w:rFonts w:ascii="Times New Roman" w:hAnsi="Times New Roman" w:cs="Times New Roman"/>
          <w:sz w:val="24"/>
          <w:szCs w:val="24"/>
        </w:rPr>
        <w:t>eve</w:t>
      </w:r>
      <w:r w:rsidR="001A6339">
        <w:rPr>
          <w:rFonts w:ascii="Times New Roman" w:hAnsi="Times New Roman" w:cs="Times New Roman"/>
          <w:sz w:val="24"/>
          <w:szCs w:val="24"/>
        </w:rPr>
        <w:t>-se</w:t>
      </w:r>
      <w:r w:rsidR="001A6339" w:rsidRPr="001A6339">
        <w:rPr>
          <w:rFonts w:ascii="Times New Roman" w:hAnsi="Times New Roman" w:cs="Times New Roman"/>
          <w:sz w:val="24"/>
          <w:szCs w:val="24"/>
        </w:rPr>
        <w:t xml:space="preserve"> ultrapassar a ideia de que </w:t>
      </w:r>
      <w:r w:rsidR="00562301">
        <w:rPr>
          <w:rFonts w:ascii="Times New Roman" w:hAnsi="Times New Roman" w:cs="Times New Roman"/>
          <w:sz w:val="24"/>
          <w:szCs w:val="24"/>
        </w:rPr>
        <w:t>o fomento à</w:t>
      </w:r>
      <w:r w:rsidR="001A6339" w:rsidRPr="001A6339">
        <w:rPr>
          <w:rFonts w:ascii="Times New Roman" w:hAnsi="Times New Roman" w:cs="Times New Roman"/>
          <w:sz w:val="24"/>
          <w:szCs w:val="24"/>
        </w:rPr>
        <w:t xml:space="preserve"> consensualidade é papel somente de </w:t>
      </w:r>
      <w:r w:rsidR="001A6339">
        <w:rPr>
          <w:rFonts w:ascii="Times New Roman" w:hAnsi="Times New Roman" w:cs="Times New Roman"/>
          <w:sz w:val="24"/>
          <w:szCs w:val="24"/>
        </w:rPr>
        <w:t>P</w:t>
      </w:r>
      <w:r w:rsidR="001A6339" w:rsidRPr="001A6339">
        <w:rPr>
          <w:rFonts w:ascii="Times New Roman" w:hAnsi="Times New Roman" w:cs="Times New Roman"/>
          <w:sz w:val="24"/>
          <w:szCs w:val="24"/>
        </w:rPr>
        <w:t xml:space="preserve">olítica </w:t>
      </w:r>
      <w:r w:rsidR="001A6339">
        <w:rPr>
          <w:rFonts w:ascii="Times New Roman" w:hAnsi="Times New Roman" w:cs="Times New Roman"/>
          <w:sz w:val="24"/>
          <w:szCs w:val="24"/>
        </w:rPr>
        <w:t>J</w:t>
      </w:r>
      <w:r w:rsidR="001A6339" w:rsidRPr="001A6339">
        <w:rPr>
          <w:rFonts w:ascii="Times New Roman" w:hAnsi="Times New Roman" w:cs="Times New Roman"/>
          <w:sz w:val="24"/>
          <w:szCs w:val="24"/>
        </w:rPr>
        <w:t>udiciária</w:t>
      </w:r>
      <w:r w:rsidR="001A6339">
        <w:rPr>
          <w:rFonts w:ascii="Times New Roman" w:hAnsi="Times New Roman" w:cs="Times New Roman"/>
          <w:sz w:val="24"/>
          <w:szCs w:val="24"/>
        </w:rPr>
        <w:t>,</w:t>
      </w:r>
      <w:r w:rsidR="001A6339" w:rsidRPr="001A6339">
        <w:rPr>
          <w:rFonts w:ascii="Times New Roman" w:hAnsi="Times New Roman" w:cs="Times New Roman"/>
          <w:sz w:val="24"/>
          <w:szCs w:val="24"/>
        </w:rPr>
        <w:t xml:space="preserve"> </w:t>
      </w:r>
      <w:r w:rsidR="00600E22">
        <w:rPr>
          <w:rFonts w:ascii="Times New Roman" w:hAnsi="Times New Roman" w:cs="Times New Roman"/>
          <w:sz w:val="24"/>
          <w:szCs w:val="24"/>
        </w:rPr>
        <w:t xml:space="preserve">sendo </w:t>
      </w:r>
      <w:r w:rsidR="001A6339" w:rsidRPr="001A6339">
        <w:rPr>
          <w:rFonts w:ascii="Times New Roman" w:hAnsi="Times New Roman" w:cs="Times New Roman"/>
          <w:sz w:val="24"/>
          <w:szCs w:val="24"/>
        </w:rPr>
        <w:t>crucial que seja</w:t>
      </w:r>
      <w:r w:rsidR="00600E22">
        <w:rPr>
          <w:rFonts w:ascii="Times New Roman" w:hAnsi="Times New Roman" w:cs="Times New Roman"/>
          <w:sz w:val="24"/>
          <w:szCs w:val="24"/>
        </w:rPr>
        <w:t xml:space="preserve"> tratada como</w:t>
      </w:r>
      <w:r w:rsidR="001A6339" w:rsidRPr="001A6339">
        <w:rPr>
          <w:rFonts w:ascii="Times New Roman" w:hAnsi="Times New Roman" w:cs="Times New Roman"/>
          <w:sz w:val="24"/>
          <w:szCs w:val="24"/>
        </w:rPr>
        <w:t xml:space="preserve"> </w:t>
      </w:r>
      <w:r w:rsidR="006B19BC">
        <w:rPr>
          <w:rFonts w:ascii="Times New Roman" w:hAnsi="Times New Roman" w:cs="Times New Roman"/>
          <w:sz w:val="24"/>
          <w:szCs w:val="24"/>
        </w:rPr>
        <w:t>P</w:t>
      </w:r>
      <w:r w:rsidR="001A6339" w:rsidRPr="001A6339">
        <w:rPr>
          <w:rFonts w:ascii="Times New Roman" w:hAnsi="Times New Roman" w:cs="Times New Roman"/>
          <w:sz w:val="24"/>
          <w:szCs w:val="24"/>
        </w:rPr>
        <w:t>olít</w:t>
      </w:r>
      <w:r w:rsidR="001A6339">
        <w:rPr>
          <w:rFonts w:ascii="Times New Roman" w:hAnsi="Times New Roman" w:cs="Times New Roman"/>
          <w:sz w:val="24"/>
          <w:szCs w:val="24"/>
        </w:rPr>
        <w:t>ica de Estado</w:t>
      </w:r>
      <w:r w:rsidR="00DE1B79">
        <w:rPr>
          <w:rFonts w:ascii="Times New Roman" w:hAnsi="Times New Roman" w:cs="Times New Roman"/>
          <w:sz w:val="24"/>
          <w:szCs w:val="24"/>
        </w:rPr>
        <w:t xml:space="preserve">, </w:t>
      </w:r>
      <w:r w:rsidR="00D957FA">
        <w:rPr>
          <w:rFonts w:ascii="Times New Roman" w:hAnsi="Times New Roman" w:cs="Times New Roman"/>
          <w:sz w:val="24"/>
          <w:szCs w:val="24"/>
        </w:rPr>
        <w:t xml:space="preserve">o que </w:t>
      </w:r>
      <w:r w:rsidR="00541DDF">
        <w:rPr>
          <w:rFonts w:ascii="Times New Roman" w:hAnsi="Times New Roman" w:cs="Times New Roman"/>
          <w:sz w:val="24"/>
          <w:szCs w:val="24"/>
        </w:rPr>
        <w:t>materializa</w:t>
      </w:r>
      <w:r w:rsidR="00D957FA">
        <w:rPr>
          <w:rFonts w:ascii="Times New Roman" w:hAnsi="Times New Roman" w:cs="Times New Roman"/>
          <w:sz w:val="24"/>
          <w:szCs w:val="24"/>
        </w:rPr>
        <w:t xml:space="preserve"> a lógica da c</w:t>
      </w:r>
      <w:r w:rsidR="00D957FA" w:rsidRPr="001A6339">
        <w:rPr>
          <w:rFonts w:ascii="Times New Roman" w:hAnsi="Times New Roman" w:cs="Times New Roman"/>
          <w:sz w:val="24"/>
          <w:szCs w:val="24"/>
        </w:rPr>
        <w:t xml:space="preserve">oncepção residual do acesso à justiça </w:t>
      </w:r>
      <w:r w:rsidR="00D957FA">
        <w:rPr>
          <w:rFonts w:ascii="Times New Roman" w:hAnsi="Times New Roman" w:cs="Times New Roman"/>
          <w:sz w:val="24"/>
          <w:szCs w:val="24"/>
        </w:rPr>
        <w:t>via sistema judiciário, principalmente quando envolve interesse público fazendário</w:t>
      </w:r>
      <w:r w:rsidR="00810552">
        <w:rPr>
          <w:rFonts w:ascii="Times New Roman" w:hAnsi="Times New Roman" w:cs="Times New Roman"/>
          <w:sz w:val="24"/>
          <w:szCs w:val="24"/>
        </w:rPr>
        <w:t>.</w:t>
      </w:r>
      <w:r w:rsidR="00C6061A">
        <w:rPr>
          <w:rFonts w:ascii="Times New Roman" w:hAnsi="Times New Roman" w:cs="Times New Roman"/>
          <w:sz w:val="24"/>
          <w:szCs w:val="24"/>
        </w:rPr>
        <w:t xml:space="preserve"> </w:t>
      </w:r>
    </w:p>
    <w:p w14:paraId="0789D376" w14:textId="4A0A38E5" w:rsidR="00FD1F9A" w:rsidRDefault="00FD1F9A"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No que tange </w:t>
      </w:r>
      <w:r w:rsidR="00810552">
        <w:rPr>
          <w:rFonts w:ascii="Times New Roman" w:hAnsi="Times New Roman" w:cs="Times New Roman"/>
          <w:sz w:val="24"/>
          <w:szCs w:val="24"/>
        </w:rPr>
        <w:t xml:space="preserve">a </w:t>
      </w:r>
      <w:r w:rsidR="00032D49">
        <w:rPr>
          <w:rFonts w:ascii="Times New Roman" w:hAnsi="Times New Roman" w:cs="Times New Roman"/>
          <w:sz w:val="24"/>
          <w:szCs w:val="24"/>
        </w:rPr>
        <w:t>recuperação</w:t>
      </w:r>
      <w:r w:rsidR="0083128C">
        <w:rPr>
          <w:rFonts w:ascii="Times New Roman" w:hAnsi="Times New Roman" w:cs="Times New Roman"/>
          <w:sz w:val="24"/>
          <w:szCs w:val="24"/>
        </w:rPr>
        <w:t xml:space="preserve"> </w:t>
      </w:r>
      <w:r w:rsidR="004D05BD">
        <w:rPr>
          <w:rFonts w:ascii="Times New Roman" w:hAnsi="Times New Roman" w:cs="Times New Roman"/>
          <w:sz w:val="24"/>
          <w:szCs w:val="24"/>
        </w:rPr>
        <w:t xml:space="preserve">da </w:t>
      </w:r>
      <w:r w:rsidR="00810552">
        <w:rPr>
          <w:rFonts w:ascii="Times New Roman" w:hAnsi="Times New Roman" w:cs="Times New Roman"/>
          <w:sz w:val="24"/>
          <w:szCs w:val="24"/>
        </w:rPr>
        <w:t>d</w:t>
      </w:r>
      <w:r>
        <w:rPr>
          <w:rFonts w:ascii="Times New Roman" w:hAnsi="Times New Roman" w:cs="Times New Roman"/>
          <w:sz w:val="24"/>
          <w:szCs w:val="24"/>
        </w:rPr>
        <w:t xml:space="preserve">ívida </w:t>
      </w:r>
      <w:r w:rsidR="00810552">
        <w:rPr>
          <w:rFonts w:ascii="Times New Roman" w:hAnsi="Times New Roman" w:cs="Times New Roman"/>
          <w:sz w:val="24"/>
          <w:szCs w:val="24"/>
        </w:rPr>
        <w:t>a</w:t>
      </w:r>
      <w:r>
        <w:rPr>
          <w:rFonts w:ascii="Times New Roman" w:hAnsi="Times New Roman" w:cs="Times New Roman"/>
          <w:sz w:val="24"/>
          <w:szCs w:val="24"/>
        </w:rPr>
        <w:t xml:space="preserve">tiva, por exemplo, é certo que, atualmente, </w:t>
      </w:r>
      <w:r w:rsidR="0083128C">
        <w:rPr>
          <w:rFonts w:ascii="Times New Roman" w:hAnsi="Times New Roman" w:cs="Times New Roman"/>
          <w:sz w:val="24"/>
          <w:szCs w:val="24"/>
        </w:rPr>
        <w:t>tem se mostrado mais efetiva</w:t>
      </w:r>
      <w:r w:rsidR="00032D49">
        <w:rPr>
          <w:rFonts w:ascii="Times New Roman" w:hAnsi="Times New Roman" w:cs="Times New Roman"/>
          <w:sz w:val="24"/>
          <w:szCs w:val="24"/>
        </w:rPr>
        <w:t xml:space="preserve"> </w:t>
      </w:r>
      <w:r w:rsidR="000D231E">
        <w:rPr>
          <w:rFonts w:ascii="Times New Roman" w:hAnsi="Times New Roman" w:cs="Times New Roman"/>
          <w:sz w:val="24"/>
          <w:szCs w:val="24"/>
        </w:rPr>
        <w:t>a</w:t>
      </w:r>
      <w:r w:rsidR="00032D49">
        <w:rPr>
          <w:rFonts w:ascii="Times New Roman" w:hAnsi="Times New Roman" w:cs="Times New Roman"/>
          <w:sz w:val="24"/>
          <w:szCs w:val="24"/>
        </w:rPr>
        <w:t xml:space="preserve"> cobrança administrativa,</w:t>
      </w:r>
      <w:r w:rsidR="0083128C">
        <w:rPr>
          <w:rFonts w:ascii="Times New Roman" w:hAnsi="Times New Roman" w:cs="Times New Roman"/>
          <w:sz w:val="24"/>
          <w:szCs w:val="24"/>
        </w:rPr>
        <w:t xml:space="preserve"> </w:t>
      </w:r>
      <w:r w:rsidR="000D231E">
        <w:rPr>
          <w:rFonts w:ascii="Times New Roman" w:hAnsi="Times New Roman" w:cs="Times New Roman"/>
          <w:sz w:val="24"/>
          <w:szCs w:val="24"/>
        </w:rPr>
        <w:t>por meio d</w:t>
      </w:r>
      <w:r w:rsidR="004D05BD">
        <w:rPr>
          <w:rFonts w:ascii="Times New Roman" w:hAnsi="Times New Roman" w:cs="Times New Roman"/>
          <w:sz w:val="24"/>
          <w:szCs w:val="24"/>
        </w:rPr>
        <w:t>o</w:t>
      </w:r>
      <w:r w:rsidR="0029574C">
        <w:rPr>
          <w:rFonts w:ascii="Times New Roman" w:hAnsi="Times New Roman" w:cs="Times New Roman"/>
          <w:sz w:val="24"/>
          <w:szCs w:val="24"/>
        </w:rPr>
        <w:t xml:space="preserve"> protesto da Certidão da Dívida Ativa</w:t>
      </w:r>
      <w:r w:rsidR="00810552">
        <w:rPr>
          <w:rFonts w:ascii="Times New Roman" w:hAnsi="Times New Roman" w:cs="Times New Roman"/>
          <w:sz w:val="24"/>
          <w:szCs w:val="24"/>
        </w:rPr>
        <w:t xml:space="preserve"> (CDA)</w:t>
      </w:r>
      <w:r w:rsidR="0029574C">
        <w:rPr>
          <w:rFonts w:ascii="Times New Roman" w:hAnsi="Times New Roman" w:cs="Times New Roman"/>
          <w:sz w:val="24"/>
          <w:szCs w:val="24"/>
        </w:rPr>
        <w:t xml:space="preserve"> ou </w:t>
      </w:r>
      <w:r w:rsidR="000D231E">
        <w:rPr>
          <w:rFonts w:ascii="Times New Roman" w:hAnsi="Times New Roman" w:cs="Times New Roman"/>
          <w:sz w:val="24"/>
          <w:szCs w:val="24"/>
        </w:rPr>
        <w:t>d</w:t>
      </w:r>
      <w:r w:rsidR="0029574C">
        <w:rPr>
          <w:rFonts w:ascii="Times New Roman" w:hAnsi="Times New Roman" w:cs="Times New Roman"/>
          <w:sz w:val="24"/>
          <w:szCs w:val="24"/>
        </w:rPr>
        <w:t xml:space="preserve">a negativação em órgãos de proteção ao crédito, do que a </w:t>
      </w:r>
      <w:r w:rsidR="00AC7199">
        <w:rPr>
          <w:rFonts w:ascii="Times New Roman" w:hAnsi="Times New Roman" w:cs="Times New Roman"/>
          <w:sz w:val="24"/>
          <w:szCs w:val="24"/>
        </w:rPr>
        <w:t xml:space="preserve">via da execução fiscal, que deve ser cada vez mais tratada </w:t>
      </w:r>
      <w:r w:rsidR="00143314">
        <w:rPr>
          <w:rFonts w:ascii="Times New Roman" w:hAnsi="Times New Roman" w:cs="Times New Roman"/>
          <w:sz w:val="24"/>
          <w:szCs w:val="24"/>
        </w:rPr>
        <w:t>como residual</w:t>
      </w:r>
      <w:r w:rsidR="00531264">
        <w:rPr>
          <w:rStyle w:val="Refdenotaderodap"/>
          <w:rFonts w:ascii="Times New Roman" w:hAnsi="Times New Roman" w:cs="Times New Roman"/>
          <w:sz w:val="24"/>
          <w:szCs w:val="24"/>
        </w:rPr>
        <w:footnoteReference w:id="39"/>
      </w:r>
      <w:r w:rsidR="00143314">
        <w:rPr>
          <w:rFonts w:ascii="Times New Roman" w:hAnsi="Times New Roman" w:cs="Times New Roman"/>
          <w:sz w:val="24"/>
          <w:szCs w:val="24"/>
        </w:rPr>
        <w:t>.</w:t>
      </w:r>
    </w:p>
    <w:p w14:paraId="7DCDBE7C" w14:textId="77777777" w:rsidR="00A96DB5" w:rsidRDefault="00143314"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Aliás, no próprio documento “Justiça em Números 2022”, </w:t>
      </w:r>
      <w:r w:rsidR="006472DB">
        <w:rPr>
          <w:rFonts w:ascii="Times New Roman" w:hAnsi="Times New Roman" w:cs="Times New Roman"/>
          <w:sz w:val="24"/>
          <w:szCs w:val="24"/>
        </w:rPr>
        <w:t>é possível encontrar afirmações neste sentido</w:t>
      </w:r>
      <w:r w:rsidR="003544FA">
        <w:rPr>
          <w:rFonts w:ascii="Times New Roman" w:hAnsi="Times New Roman" w:cs="Times New Roman"/>
          <w:sz w:val="24"/>
          <w:szCs w:val="24"/>
        </w:rPr>
        <w:t>:</w:t>
      </w:r>
    </w:p>
    <w:p w14:paraId="4244EBF1" w14:textId="32B7E86C" w:rsidR="00143314" w:rsidRPr="004B4EEC" w:rsidRDefault="00A96DB5" w:rsidP="004B4EEC">
      <w:pPr>
        <w:spacing w:before="120" w:after="120" w:line="240" w:lineRule="auto"/>
        <w:ind w:left="2268"/>
        <w:jc w:val="both"/>
        <w:rPr>
          <w:rFonts w:ascii="Times New Roman" w:hAnsi="Times New Roman" w:cs="Times New Roman"/>
          <w:sz w:val="20"/>
          <w:szCs w:val="20"/>
        </w:rPr>
      </w:pPr>
      <w:r w:rsidRPr="004B4EEC">
        <w:rPr>
          <w:rFonts w:ascii="Times New Roman" w:hAnsi="Times New Roman" w:cs="Times New Roman"/>
          <w:sz w:val="20"/>
          <w:szCs w:val="20"/>
        </w:rPr>
        <w:t xml:space="preserve">(o) </w:t>
      </w:r>
      <w:r w:rsidR="006472DB" w:rsidRPr="004B4EEC">
        <w:rPr>
          <w:rFonts w:ascii="Times New Roman" w:hAnsi="Times New Roman" w:cs="Times New Roman"/>
          <w:sz w:val="20"/>
          <w:szCs w:val="20"/>
        </w:rPr>
        <w:t>processo de execução fiscal chega ao Poder Judiciário depois que as tentativas de recuperação do crédito tributário se frustraram na via administrativa, provocan</w:t>
      </w:r>
      <w:r w:rsidR="006472DB" w:rsidRPr="004B4EEC">
        <w:rPr>
          <w:rFonts w:ascii="Times New Roman" w:hAnsi="Times New Roman" w:cs="Times New Roman"/>
          <w:sz w:val="20"/>
          <w:szCs w:val="20"/>
        </w:rPr>
        <w:softHyphen/>
        <w:t>do sua inscrição na dívida ativa. Dessa forma, o processo judicial acaba por repetir etapas e providências de localização do devedor ou patrimônio capaz de satisfazer o crédito tributário já adotadas, sem sucesso, pela administração fazendária ou pelo conselho de fiscalização pro</w:t>
      </w:r>
      <w:r w:rsidR="006472DB" w:rsidRPr="004B4EEC">
        <w:rPr>
          <w:rFonts w:ascii="Times New Roman" w:hAnsi="Times New Roman" w:cs="Times New Roman"/>
          <w:sz w:val="20"/>
          <w:szCs w:val="20"/>
        </w:rPr>
        <w:softHyphen/>
        <w:t>fissional. Acabam chegando ao Judiciário títulos de dívidas antigas ou com tentativas prévias de cobranças e, por consequência, com menor probabilidade de recuperação.</w:t>
      </w:r>
      <w:r w:rsidR="006472DB" w:rsidRPr="004B4EEC">
        <w:rPr>
          <w:rStyle w:val="Refdenotaderodap"/>
          <w:rFonts w:ascii="Times New Roman" w:hAnsi="Times New Roman" w:cs="Times New Roman"/>
          <w:sz w:val="20"/>
          <w:szCs w:val="20"/>
        </w:rPr>
        <w:footnoteReference w:id="40"/>
      </w:r>
    </w:p>
    <w:p w14:paraId="50609FCC" w14:textId="17E7E14E" w:rsidR="00A1373D" w:rsidRDefault="00BA6715" w:rsidP="00D90217">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A própria transação tributária também tem o </w:t>
      </w:r>
      <w:r w:rsidR="00872F2B">
        <w:rPr>
          <w:rFonts w:ascii="Times New Roman" w:hAnsi="Times New Roman" w:cs="Times New Roman"/>
          <w:sz w:val="24"/>
          <w:szCs w:val="24"/>
        </w:rPr>
        <w:t>potencial</w:t>
      </w:r>
      <w:r>
        <w:rPr>
          <w:rFonts w:ascii="Times New Roman" w:hAnsi="Times New Roman" w:cs="Times New Roman"/>
          <w:sz w:val="24"/>
          <w:szCs w:val="24"/>
        </w:rPr>
        <w:t xml:space="preserve"> de </w:t>
      </w:r>
      <w:r w:rsidR="008C4A09">
        <w:rPr>
          <w:rFonts w:ascii="Times New Roman" w:hAnsi="Times New Roman" w:cs="Times New Roman"/>
          <w:sz w:val="24"/>
          <w:szCs w:val="24"/>
        </w:rPr>
        <w:t>diminuir a litigiosidade, especificamente com relação à execução fiscal</w:t>
      </w:r>
      <w:r w:rsidR="0004751F">
        <w:rPr>
          <w:rFonts w:ascii="Times New Roman" w:hAnsi="Times New Roman" w:cs="Times New Roman"/>
          <w:sz w:val="24"/>
          <w:szCs w:val="24"/>
        </w:rPr>
        <w:t>;</w:t>
      </w:r>
      <w:r w:rsidR="008C4A09">
        <w:rPr>
          <w:rFonts w:ascii="Times New Roman" w:hAnsi="Times New Roman" w:cs="Times New Roman"/>
          <w:sz w:val="24"/>
          <w:szCs w:val="24"/>
        </w:rPr>
        <w:t xml:space="preserve"> </w:t>
      </w:r>
      <w:r w:rsidR="0004751F">
        <w:rPr>
          <w:rFonts w:ascii="Times New Roman" w:hAnsi="Times New Roman" w:cs="Times New Roman"/>
          <w:sz w:val="24"/>
          <w:szCs w:val="24"/>
        </w:rPr>
        <w:t xml:space="preserve">da mesma forma </w:t>
      </w:r>
      <w:r w:rsidR="00D86C08">
        <w:rPr>
          <w:rFonts w:ascii="Times New Roman" w:hAnsi="Times New Roman" w:cs="Times New Roman"/>
          <w:sz w:val="24"/>
          <w:szCs w:val="24"/>
        </w:rPr>
        <w:t>os</w:t>
      </w:r>
      <w:r w:rsidR="00485D03">
        <w:rPr>
          <w:rFonts w:ascii="Times New Roman" w:hAnsi="Times New Roman" w:cs="Times New Roman"/>
          <w:sz w:val="24"/>
          <w:szCs w:val="24"/>
        </w:rPr>
        <w:t xml:space="preserve"> programas de conformidade </w:t>
      </w:r>
      <w:r w:rsidR="00485D03">
        <w:rPr>
          <w:rFonts w:ascii="Times New Roman" w:hAnsi="Times New Roman" w:cs="Times New Roman"/>
          <w:sz w:val="24"/>
          <w:szCs w:val="24"/>
        </w:rPr>
        <w:lastRenderedPageBreak/>
        <w:t>tributária</w:t>
      </w:r>
      <w:r w:rsidR="0034449B">
        <w:rPr>
          <w:rStyle w:val="Refdenotaderodap"/>
          <w:rFonts w:ascii="Times New Roman" w:hAnsi="Times New Roman" w:cs="Times New Roman"/>
          <w:sz w:val="24"/>
          <w:szCs w:val="24"/>
        </w:rPr>
        <w:footnoteReference w:id="41"/>
      </w:r>
      <w:r w:rsidR="00060A17">
        <w:rPr>
          <w:rFonts w:ascii="Times New Roman" w:hAnsi="Times New Roman" w:cs="Times New Roman"/>
          <w:sz w:val="24"/>
          <w:szCs w:val="24"/>
        </w:rPr>
        <w:t xml:space="preserve">, </w:t>
      </w:r>
      <w:r w:rsidR="00861444">
        <w:rPr>
          <w:rFonts w:ascii="Times New Roman" w:hAnsi="Times New Roman" w:cs="Times New Roman"/>
          <w:sz w:val="24"/>
          <w:szCs w:val="24"/>
        </w:rPr>
        <w:t>por meio d</w:t>
      </w:r>
      <w:r w:rsidR="00A1373D">
        <w:rPr>
          <w:rFonts w:ascii="Times New Roman" w:hAnsi="Times New Roman" w:cs="Times New Roman"/>
          <w:sz w:val="24"/>
          <w:szCs w:val="24"/>
        </w:rPr>
        <w:t xml:space="preserve">e técnicas </w:t>
      </w:r>
      <w:r w:rsidR="008F3886">
        <w:rPr>
          <w:rFonts w:ascii="Times New Roman" w:hAnsi="Times New Roman" w:cs="Times New Roman"/>
          <w:sz w:val="24"/>
          <w:szCs w:val="24"/>
        </w:rPr>
        <w:t xml:space="preserve">similares às </w:t>
      </w:r>
      <w:r w:rsidR="00A1373D">
        <w:rPr>
          <w:rFonts w:ascii="Times New Roman" w:hAnsi="Times New Roman" w:cs="Times New Roman"/>
          <w:sz w:val="24"/>
          <w:szCs w:val="24"/>
        </w:rPr>
        <w:t xml:space="preserve">de </w:t>
      </w:r>
      <w:r w:rsidR="00861444" w:rsidRPr="00A1373D">
        <w:rPr>
          <w:rFonts w:ascii="Times New Roman" w:hAnsi="Times New Roman" w:cs="Times New Roman"/>
          <w:sz w:val="24"/>
          <w:szCs w:val="24"/>
        </w:rPr>
        <w:t>regulação responsiva</w:t>
      </w:r>
      <w:r w:rsidR="00D90217">
        <w:rPr>
          <w:rFonts w:ascii="Times New Roman" w:hAnsi="Times New Roman" w:cs="Times New Roman"/>
          <w:sz w:val="24"/>
          <w:szCs w:val="24"/>
        </w:rPr>
        <w:t xml:space="preserve">, que envolve </w:t>
      </w:r>
      <w:r w:rsidR="001B3A04">
        <w:rPr>
          <w:rFonts w:ascii="Times New Roman" w:hAnsi="Times New Roman" w:cs="Times New Roman"/>
          <w:sz w:val="24"/>
          <w:szCs w:val="24"/>
        </w:rPr>
        <w:t>a</w:t>
      </w:r>
      <w:r w:rsidR="00A1373D" w:rsidRPr="00A1373D">
        <w:rPr>
          <w:rFonts w:ascii="Times New Roman" w:hAnsi="Times New Roman" w:cs="Times New Roman"/>
          <w:sz w:val="24"/>
          <w:szCs w:val="24"/>
        </w:rPr>
        <w:t xml:space="preserve"> busca </w:t>
      </w:r>
      <w:r w:rsidR="001B3A04">
        <w:rPr>
          <w:rFonts w:ascii="Times New Roman" w:hAnsi="Times New Roman" w:cs="Times New Roman"/>
          <w:sz w:val="24"/>
          <w:szCs w:val="24"/>
        </w:rPr>
        <w:t xml:space="preserve">por </w:t>
      </w:r>
      <w:r w:rsidR="00A1373D" w:rsidRPr="00A1373D">
        <w:rPr>
          <w:rFonts w:ascii="Times New Roman" w:hAnsi="Times New Roman" w:cs="Times New Roman"/>
          <w:sz w:val="24"/>
          <w:szCs w:val="24"/>
        </w:rPr>
        <w:t>instrumentos regulatórios diversificados e estratégias dinâmicas de resposta às condutas dos regulados</w:t>
      </w:r>
      <w:r w:rsidR="00D90217">
        <w:rPr>
          <w:rFonts w:ascii="Times New Roman" w:hAnsi="Times New Roman" w:cs="Times New Roman"/>
          <w:sz w:val="24"/>
          <w:szCs w:val="24"/>
        </w:rPr>
        <w:t>,</w:t>
      </w:r>
      <w:r w:rsidR="00A1373D" w:rsidRPr="00A1373D">
        <w:rPr>
          <w:rFonts w:ascii="Times New Roman" w:hAnsi="Times New Roman" w:cs="Times New Roman"/>
          <w:sz w:val="24"/>
          <w:szCs w:val="24"/>
        </w:rPr>
        <w:t xml:space="preserve"> para a obtenção de melhores índices de conformidade regulatória, </w:t>
      </w:r>
      <w:r w:rsidR="00A1373D">
        <w:rPr>
          <w:rFonts w:ascii="Times New Roman" w:hAnsi="Times New Roman" w:cs="Times New Roman"/>
          <w:sz w:val="24"/>
          <w:szCs w:val="24"/>
        </w:rPr>
        <w:t>o que</w:t>
      </w:r>
      <w:r w:rsidR="00B03A94">
        <w:rPr>
          <w:rFonts w:ascii="Times New Roman" w:hAnsi="Times New Roman" w:cs="Times New Roman"/>
          <w:sz w:val="24"/>
          <w:szCs w:val="24"/>
        </w:rPr>
        <w:t>, em âmbito fiscal, pode potencializar a autorregulação</w:t>
      </w:r>
      <w:r w:rsidR="0037084E">
        <w:rPr>
          <w:rFonts w:ascii="Times New Roman" w:hAnsi="Times New Roman" w:cs="Times New Roman"/>
          <w:sz w:val="24"/>
          <w:szCs w:val="24"/>
        </w:rPr>
        <w:t xml:space="preserve"> e o cumprimento voluntário das obrigações</w:t>
      </w:r>
      <w:r w:rsidR="00FC4C81">
        <w:rPr>
          <w:rFonts w:ascii="Times New Roman" w:hAnsi="Times New Roman" w:cs="Times New Roman"/>
          <w:sz w:val="24"/>
          <w:szCs w:val="24"/>
        </w:rPr>
        <w:t>.</w:t>
      </w:r>
    </w:p>
    <w:p w14:paraId="3A2DCE76" w14:textId="3AC09144" w:rsidR="00861444" w:rsidRDefault="00FC4C81" w:rsidP="00C21742">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Cumpre destacar, neste ponto, que </w:t>
      </w:r>
      <w:r w:rsidR="00BA0743">
        <w:rPr>
          <w:rFonts w:ascii="Times New Roman" w:hAnsi="Times New Roman" w:cs="Times New Roman"/>
          <w:sz w:val="24"/>
          <w:szCs w:val="24"/>
        </w:rPr>
        <w:t xml:space="preserve">a </w:t>
      </w:r>
      <w:r w:rsidR="00BA0743" w:rsidRPr="00BA0743">
        <w:rPr>
          <w:rFonts w:ascii="Times New Roman" w:hAnsi="Times New Roman" w:cs="Times New Roman"/>
          <w:sz w:val="24"/>
          <w:szCs w:val="24"/>
        </w:rPr>
        <w:t>relação Fisco</w:t>
      </w:r>
      <w:r w:rsidR="006A1674">
        <w:rPr>
          <w:rFonts w:ascii="Times New Roman" w:hAnsi="Times New Roman" w:cs="Times New Roman"/>
          <w:sz w:val="24"/>
          <w:szCs w:val="24"/>
        </w:rPr>
        <w:t>/</w:t>
      </w:r>
      <w:r w:rsidR="00BA0743" w:rsidRPr="00BA0743">
        <w:rPr>
          <w:rFonts w:ascii="Times New Roman" w:hAnsi="Times New Roman" w:cs="Times New Roman"/>
          <w:sz w:val="24"/>
          <w:szCs w:val="24"/>
        </w:rPr>
        <w:t>contribuintes é importante para a previsibilidade e segurança na arrecadação</w:t>
      </w:r>
      <w:r w:rsidR="00B0704F">
        <w:rPr>
          <w:rFonts w:ascii="Times New Roman" w:hAnsi="Times New Roman" w:cs="Times New Roman"/>
          <w:sz w:val="24"/>
          <w:szCs w:val="24"/>
        </w:rPr>
        <w:t xml:space="preserve">, por meio, por exemplo, </w:t>
      </w:r>
      <w:r w:rsidR="00BA0743" w:rsidRPr="00BA0743">
        <w:rPr>
          <w:rFonts w:ascii="Times New Roman" w:hAnsi="Times New Roman" w:cs="Times New Roman"/>
          <w:sz w:val="24"/>
          <w:szCs w:val="24"/>
        </w:rPr>
        <w:t xml:space="preserve">da transparência </w:t>
      </w:r>
      <w:r w:rsidR="00B0704F">
        <w:rPr>
          <w:rFonts w:ascii="Times New Roman" w:hAnsi="Times New Roman" w:cs="Times New Roman"/>
          <w:sz w:val="24"/>
          <w:szCs w:val="24"/>
        </w:rPr>
        <w:t>na</w:t>
      </w:r>
      <w:r w:rsidR="00BA0743" w:rsidRPr="00BA0743">
        <w:rPr>
          <w:rFonts w:ascii="Times New Roman" w:hAnsi="Times New Roman" w:cs="Times New Roman"/>
          <w:sz w:val="24"/>
          <w:szCs w:val="24"/>
        </w:rPr>
        <w:t xml:space="preserve"> divulgação de informações</w:t>
      </w:r>
      <w:r w:rsidR="007008E8">
        <w:rPr>
          <w:rFonts w:ascii="Times New Roman" w:hAnsi="Times New Roman" w:cs="Times New Roman"/>
          <w:sz w:val="24"/>
          <w:szCs w:val="24"/>
        </w:rPr>
        <w:t xml:space="preserve"> e da</w:t>
      </w:r>
      <w:r w:rsidR="00BA0743" w:rsidRPr="00BA0743">
        <w:rPr>
          <w:rFonts w:ascii="Times New Roman" w:hAnsi="Times New Roman" w:cs="Times New Roman"/>
          <w:sz w:val="24"/>
          <w:szCs w:val="24"/>
        </w:rPr>
        <w:t xml:space="preserve"> cooperação mútua</w:t>
      </w:r>
      <w:r w:rsidR="007A2A00">
        <w:rPr>
          <w:rFonts w:ascii="Times New Roman" w:hAnsi="Times New Roman" w:cs="Times New Roman"/>
          <w:sz w:val="24"/>
          <w:szCs w:val="24"/>
        </w:rPr>
        <w:t>, de modo que</w:t>
      </w:r>
      <w:r w:rsidR="00BA0743" w:rsidRPr="00BA0743">
        <w:rPr>
          <w:rFonts w:ascii="Times New Roman" w:hAnsi="Times New Roman" w:cs="Times New Roman"/>
          <w:sz w:val="24"/>
          <w:szCs w:val="24"/>
        </w:rPr>
        <w:t xml:space="preserve"> </w:t>
      </w:r>
      <w:r w:rsidR="007A2A00">
        <w:rPr>
          <w:rFonts w:ascii="Times New Roman" w:hAnsi="Times New Roman" w:cs="Times New Roman"/>
          <w:sz w:val="24"/>
          <w:szCs w:val="24"/>
        </w:rPr>
        <w:t>o</w:t>
      </w:r>
      <w:r w:rsidR="00BA0743" w:rsidRPr="00BA0743">
        <w:rPr>
          <w:rFonts w:ascii="Times New Roman" w:hAnsi="Times New Roman" w:cs="Times New Roman"/>
          <w:sz w:val="24"/>
          <w:szCs w:val="24"/>
        </w:rPr>
        <w:t xml:space="preserve"> Estado recebe antes e sem </w:t>
      </w:r>
      <w:r w:rsidR="007A2A00">
        <w:rPr>
          <w:rFonts w:ascii="Times New Roman" w:hAnsi="Times New Roman" w:cs="Times New Roman"/>
          <w:sz w:val="24"/>
          <w:szCs w:val="24"/>
        </w:rPr>
        <w:t xml:space="preserve">maiores </w:t>
      </w:r>
      <w:r w:rsidR="00BA0743" w:rsidRPr="00BA0743">
        <w:rPr>
          <w:rFonts w:ascii="Times New Roman" w:hAnsi="Times New Roman" w:cs="Times New Roman"/>
          <w:sz w:val="24"/>
          <w:szCs w:val="24"/>
        </w:rPr>
        <w:t>custos</w:t>
      </w:r>
      <w:r w:rsidR="007A2A00">
        <w:rPr>
          <w:rFonts w:ascii="Times New Roman" w:hAnsi="Times New Roman" w:cs="Times New Roman"/>
          <w:sz w:val="24"/>
          <w:szCs w:val="24"/>
        </w:rPr>
        <w:t xml:space="preserve"> de cobrança</w:t>
      </w:r>
      <w:r w:rsidR="00BA0743" w:rsidRPr="00BA0743">
        <w:rPr>
          <w:rFonts w:ascii="Times New Roman" w:hAnsi="Times New Roman" w:cs="Times New Roman"/>
          <w:sz w:val="24"/>
          <w:szCs w:val="24"/>
        </w:rPr>
        <w:t xml:space="preserve"> e o contribuinte paga menos, já que não sofre multas. </w:t>
      </w:r>
      <w:r w:rsidR="00E244A2">
        <w:rPr>
          <w:rFonts w:ascii="Times New Roman" w:hAnsi="Times New Roman" w:cs="Times New Roman"/>
          <w:sz w:val="24"/>
          <w:szCs w:val="24"/>
        </w:rPr>
        <w:t xml:space="preserve">Para tanto, é importante que se amplie </w:t>
      </w:r>
      <w:r w:rsidR="00BB0562">
        <w:rPr>
          <w:rFonts w:ascii="Times New Roman" w:hAnsi="Times New Roman" w:cs="Times New Roman"/>
          <w:sz w:val="24"/>
          <w:szCs w:val="24"/>
        </w:rPr>
        <w:t>o</w:t>
      </w:r>
      <w:r w:rsidR="00571CB8">
        <w:rPr>
          <w:rFonts w:ascii="Times New Roman" w:hAnsi="Times New Roman" w:cs="Times New Roman"/>
          <w:sz w:val="24"/>
          <w:szCs w:val="24"/>
        </w:rPr>
        <w:t>s</w:t>
      </w:r>
      <w:r w:rsidR="00BB0562">
        <w:rPr>
          <w:rFonts w:ascii="Times New Roman" w:hAnsi="Times New Roman" w:cs="Times New Roman"/>
          <w:sz w:val="24"/>
          <w:szCs w:val="24"/>
        </w:rPr>
        <w:t xml:space="preserve"> incentivos positivos </w:t>
      </w:r>
      <w:r w:rsidR="004A343A">
        <w:rPr>
          <w:rFonts w:ascii="Times New Roman" w:hAnsi="Times New Roman" w:cs="Times New Roman"/>
          <w:sz w:val="24"/>
          <w:szCs w:val="24"/>
        </w:rPr>
        <w:t xml:space="preserve">ao cumprimento das obrigações fiscais, com menos coerção e mais </w:t>
      </w:r>
      <w:r w:rsidR="007D2793">
        <w:rPr>
          <w:rFonts w:ascii="Times New Roman" w:hAnsi="Times New Roman" w:cs="Times New Roman"/>
          <w:sz w:val="24"/>
          <w:szCs w:val="24"/>
        </w:rPr>
        <w:t>cooperação, o que pode ser feito por meio</w:t>
      </w:r>
      <w:r w:rsidR="00571CB8">
        <w:rPr>
          <w:rFonts w:ascii="Times New Roman" w:hAnsi="Times New Roman" w:cs="Times New Roman"/>
          <w:sz w:val="24"/>
          <w:szCs w:val="24"/>
        </w:rPr>
        <w:t xml:space="preserve"> </w:t>
      </w:r>
      <w:r w:rsidR="007D2793">
        <w:rPr>
          <w:rFonts w:ascii="Times New Roman" w:hAnsi="Times New Roman" w:cs="Times New Roman"/>
          <w:sz w:val="24"/>
          <w:szCs w:val="24"/>
        </w:rPr>
        <w:t>d</w:t>
      </w:r>
      <w:r w:rsidR="00571CB8">
        <w:rPr>
          <w:rFonts w:ascii="Times New Roman" w:hAnsi="Times New Roman" w:cs="Times New Roman"/>
          <w:sz w:val="24"/>
          <w:szCs w:val="24"/>
        </w:rPr>
        <w:t xml:space="preserve">estes </w:t>
      </w:r>
      <w:r w:rsidR="007D2793">
        <w:rPr>
          <w:rFonts w:ascii="Times New Roman" w:hAnsi="Times New Roman" w:cs="Times New Roman"/>
          <w:sz w:val="24"/>
          <w:szCs w:val="24"/>
        </w:rPr>
        <w:t>programas de conformidade tributária</w:t>
      </w:r>
      <w:r w:rsidR="004A343A">
        <w:rPr>
          <w:rFonts w:ascii="Times New Roman" w:hAnsi="Times New Roman" w:cs="Times New Roman"/>
          <w:sz w:val="24"/>
          <w:szCs w:val="24"/>
        </w:rPr>
        <w:t>.</w:t>
      </w:r>
    </w:p>
    <w:p w14:paraId="374E415C" w14:textId="3B6FB152" w:rsidR="00EB001E" w:rsidRPr="00EB001E" w:rsidRDefault="00BD776D" w:rsidP="0097553A">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Na prática, porém, </w:t>
      </w:r>
      <w:r w:rsidR="00206D37">
        <w:rPr>
          <w:rFonts w:ascii="Times New Roman" w:hAnsi="Times New Roman" w:cs="Times New Roman"/>
          <w:sz w:val="24"/>
          <w:szCs w:val="24"/>
        </w:rPr>
        <w:t>consignou-se n</w:t>
      </w:r>
      <w:r w:rsidR="00EB001E" w:rsidRPr="00EB001E">
        <w:rPr>
          <w:rFonts w:ascii="Times New Roman" w:hAnsi="Times New Roman" w:cs="Times New Roman"/>
          <w:sz w:val="24"/>
          <w:szCs w:val="24"/>
        </w:rPr>
        <w:t>o “Diagnóstico do Contencioso Judicial Tributário”</w:t>
      </w:r>
      <w:r w:rsidR="00635831">
        <w:rPr>
          <w:rStyle w:val="Refdenotaderodap"/>
          <w:rFonts w:ascii="Times New Roman" w:hAnsi="Times New Roman" w:cs="Times New Roman"/>
          <w:sz w:val="24"/>
          <w:szCs w:val="24"/>
        </w:rPr>
        <w:footnoteReference w:id="42"/>
      </w:r>
      <w:r w:rsidR="00EB001E" w:rsidRPr="00EB001E">
        <w:rPr>
          <w:rFonts w:ascii="Times New Roman" w:hAnsi="Times New Roman" w:cs="Times New Roman"/>
          <w:sz w:val="24"/>
          <w:szCs w:val="24"/>
        </w:rPr>
        <w:t xml:space="preserve"> </w:t>
      </w:r>
      <w:r w:rsidR="009527DE">
        <w:rPr>
          <w:rFonts w:ascii="Times New Roman" w:hAnsi="Times New Roman" w:cs="Times New Roman"/>
          <w:sz w:val="24"/>
          <w:szCs w:val="24"/>
        </w:rPr>
        <w:t>a escassez de informações e a ainda tímida experiência</w:t>
      </w:r>
      <w:r w:rsidR="00004CA8">
        <w:rPr>
          <w:rFonts w:ascii="Times New Roman" w:hAnsi="Times New Roman" w:cs="Times New Roman"/>
          <w:sz w:val="24"/>
          <w:szCs w:val="24"/>
        </w:rPr>
        <w:t xml:space="preserve"> dos entes federativos com os instrumentos de consensualidade </w:t>
      </w:r>
      <w:r w:rsidR="00007D69">
        <w:rPr>
          <w:rFonts w:ascii="Times New Roman" w:hAnsi="Times New Roman" w:cs="Times New Roman"/>
          <w:sz w:val="24"/>
          <w:szCs w:val="24"/>
        </w:rPr>
        <w:t>em âmbito</w:t>
      </w:r>
      <w:r w:rsidR="00004CA8">
        <w:rPr>
          <w:rFonts w:ascii="Times New Roman" w:hAnsi="Times New Roman" w:cs="Times New Roman"/>
          <w:sz w:val="24"/>
          <w:szCs w:val="24"/>
        </w:rPr>
        <w:t xml:space="preserve"> fiscal, </w:t>
      </w:r>
      <w:r w:rsidR="0097553A">
        <w:rPr>
          <w:rFonts w:ascii="Times New Roman" w:hAnsi="Times New Roman" w:cs="Times New Roman"/>
          <w:sz w:val="24"/>
          <w:szCs w:val="24"/>
        </w:rPr>
        <w:t xml:space="preserve">revelando-se o indicativo de que </w:t>
      </w:r>
      <w:r w:rsidR="0097553A" w:rsidRPr="00D85228">
        <w:rPr>
          <w:rFonts w:ascii="Times New Roman" w:hAnsi="Times New Roman" w:cs="Times New Roman"/>
          <w:sz w:val="24"/>
          <w:szCs w:val="24"/>
        </w:rPr>
        <w:t>“os meios adequados de solução de conflitos ainda são pouco explorados no âmbito tributário, com escassa diversidade de modelos e poucos dados, e quanto aos que geram dados, baixos percentuais de utilização”.</w:t>
      </w:r>
    </w:p>
    <w:p w14:paraId="7712C7C9" w14:textId="41B755EB" w:rsidR="00A263DB" w:rsidRDefault="005428A3"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Por </w:t>
      </w:r>
      <w:r w:rsidR="00B22F67">
        <w:rPr>
          <w:rFonts w:ascii="Times New Roman" w:hAnsi="Times New Roman" w:cs="Times New Roman"/>
          <w:sz w:val="24"/>
          <w:szCs w:val="24"/>
        </w:rPr>
        <w:t xml:space="preserve">outro lado, </w:t>
      </w:r>
      <w:r w:rsidR="00AE71C6">
        <w:rPr>
          <w:rFonts w:ascii="Times New Roman" w:hAnsi="Times New Roman" w:cs="Times New Roman"/>
          <w:sz w:val="24"/>
          <w:szCs w:val="24"/>
        </w:rPr>
        <w:t>entendeu-se que</w:t>
      </w:r>
      <w:r w:rsidR="007063B2">
        <w:rPr>
          <w:rFonts w:ascii="Times New Roman" w:hAnsi="Times New Roman" w:cs="Times New Roman"/>
          <w:sz w:val="24"/>
          <w:szCs w:val="24"/>
        </w:rPr>
        <w:t xml:space="preserve"> a utilização destes meios adequados de solução de conflitos deve</w:t>
      </w:r>
      <w:r w:rsidR="00AE71C6">
        <w:rPr>
          <w:rFonts w:ascii="Times New Roman" w:hAnsi="Times New Roman" w:cs="Times New Roman"/>
          <w:sz w:val="24"/>
          <w:szCs w:val="24"/>
        </w:rPr>
        <w:t xml:space="preserve"> </w:t>
      </w:r>
      <w:r w:rsidR="00AE71C6" w:rsidRPr="00C700FD">
        <w:rPr>
          <w:rFonts w:ascii="Times New Roman" w:hAnsi="Times New Roman" w:cs="Times New Roman"/>
          <w:sz w:val="24"/>
          <w:szCs w:val="24"/>
        </w:rPr>
        <w:t>ser fomentada,</w:t>
      </w:r>
      <w:r w:rsidR="00AE71C6" w:rsidRPr="00AE71C6">
        <w:rPr>
          <w:rFonts w:ascii="Times New Roman" w:hAnsi="Times New Roman" w:cs="Times New Roman"/>
          <w:i/>
          <w:iCs/>
          <w:sz w:val="24"/>
          <w:szCs w:val="24"/>
        </w:rPr>
        <w:t xml:space="preserve"> </w:t>
      </w:r>
      <w:r w:rsidR="00A73FAD" w:rsidRPr="00A73FAD">
        <w:rPr>
          <w:rFonts w:ascii="Times New Roman" w:hAnsi="Times New Roman" w:cs="Times New Roman"/>
          <w:sz w:val="24"/>
          <w:szCs w:val="24"/>
        </w:rPr>
        <w:t>“</w:t>
      </w:r>
      <w:r w:rsidR="00AE71C6" w:rsidRPr="00A73FAD">
        <w:rPr>
          <w:rFonts w:ascii="Times New Roman" w:hAnsi="Times New Roman" w:cs="Times New Roman"/>
          <w:sz w:val="24"/>
          <w:szCs w:val="24"/>
        </w:rPr>
        <w:t>podendo auxiliar não somente na celeridade e na redução dos estoques processuais</w:t>
      </w:r>
      <w:r w:rsidR="00A73FAD" w:rsidRPr="00A73FAD">
        <w:rPr>
          <w:rFonts w:ascii="Times New Roman" w:hAnsi="Times New Roman" w:cs="Times New Roman"/>
          <w:sz w:val="24"/>
          <w:szCs w:val="24"/>
        </w:rPr>
        <w:t>”</w:t>
      </w:r>
      <w:r w:rsidR="00AE71C6" w:rsidRPr="00A73FAD">
        <w:rPr>
          <w:rFonts w:ascii="Times New Roman" w:hAnsi="Times New Roman" w:cs="Times New Roman"/>
          <w:sz w:val="24"/>
          <w:szCs w:val="24"/>
        </w:rPr>
        <w:t>,</w:t>
      </w:r>
      <w:r w:rsidR="00A73FAD">
        <w:rPr>
          <w:rFonts w:ascii="Times New Roman" w:hAnsi="Times New Roman" w:cs="Times New Roman"/>
          <w:sz w:val="24"/>
          <w:szCs w:val="24"/>
        </w:rPr>
        <w:t xml:space="preserve"> e ainda </w:t>
      </w:r>
      <w:r w:rsidR="00A73FAD" w:rsidRPr="00983E63">
        <w:rPr>
          <w:rFonts w:ascii="Times New Roman" w:hAnsi="Times New Roman" w:cs="Times New Roman"/>
          <w:sz w:val="24"/>
          <w:szCs w:val="24"/>
        </w:rPr>
        <w:t>“</w:t>
      </w:r>
      <w:r w:rsidR="00AE71C6" w:rsidRPr="00983E63">
        <w:rPr>
          <w:rFonts w:ascii="Times New Roman" w:hAnsi="Times New Roman" w:cs="Times New Roman"/>
          <w:sz w:val="24"/>
          <w:szCs w:val="24"/>
        </w:rPr>
        <w:t>propiciar às partes um tratamento qualificado do confli</w:t>
      </w:r>
      <w:r w:rsidR="00AE71C6" w:rsidRPr="00983E63">
        <w:rPr>
          <w:rFonts w:ascii="Times New Roman" w:hAnsi="Times New Roman" w:cs="Times New Roman"/>
          <w:sz w:val="24"/>
          <w:szCs w:val="24"/>
        </w:rPr>
        <w:softHyphen/>
        <w:t>to tributário, bem como um estreitamento na relação entre Administração Tribu</w:t>
      </w:r>
      <w:r w:rsidR="00AE71C6" w:rsidRPr="00983E63">
        <w:rPr>
          <w:rFonts w:ascii="Times New Roman" w:hAnsi="Times New Roman" w:cs="Times New Roman"/>
          <w:sz w:val="24"/>
          <w:szCs w:val="24"/>
        </w:rPr>
        <w:softHyphen/>
        <w:t>tária e contribuinte, o que impactaria positivamente o ambiente negocial de país</w:t>
      </w:r>
      <w:r w:rsidR="0084719C" w:rsidRPr="00983E63">
        <w:rPr>
          <w:rFonts w:ascii="Times New Roman" w:hAnsi="Times New Roman" w:cs="Times New Roman"/>
          <w:sz w:val="24"/>
          <w:szCs w:val="24"/>
        </w:rPr>
        <w:t>”</w:t>
      </w:r>
      <w:r w:rsidR="00AE71C6" w:rsidRPr="00983E63">
        <w:rPr>
          <w:rFonts w:ascii="Times New Roman" w:hAnsi="Times New Roman" w:cs="Times New Roman"/>
          <w:sz w:val="24"/>
          <w:szCs w:val="24"/>
        </w:rPr>
        <w:t>.</w:t>
      </w:r>
    </w:p>
    <w:p w14:paraId="421815DB" w14:textId="050F42B2" w:rsidR="005B3EDA" w:rsidRDefault="007F47D7"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Em contrapartida, </w:t>
      </w:r>
      <w:r w:rsidR="00D6736E" w:rsidRPr="00D6736E">
        <w:rPr>
          <w:rFonts w:ascii="Times New Roman" w:hAnsi="Times New Roman" w:cs="Times New Roman"/>
          <w:sz w:val="24"/>
          <w:szCs w:val="24"/>
        </w:rPr>
        <w:t>foi divulgado</w:t>
      </w:r>
      <w:r w:rsidR="00287A9A">
        <w:rPr>
          <w:rFonts w:ascii="Times New Roman" w:hAnsi="Times New Roman" w:cs="Times New Roman"/>
          <w:sz w:val="24"/>
          <w:szCs w:val="24"/>
        </w:rPr>
        <w:t xml:space="preserve"> </w:t>
      </w:r>
      <w:r w:rsidR="00791A1B">
        <w:rPr>
          <w:rFonts w:ascii="Times New Roman" w:hAnsi="Times New Roman" w:cs="Times New Roman"/>
          <w:sz w:val="24"/>
          <w:szCs w:val="24"/>
        </w:rPr>
        <w:t>em 2022</w:t>
      </w:r>
      <w:r w:rsidR="00287A9A">
        <w:rPr>
          <w:rFonts w:ascii="Times New Roman" w:hAnsi="Times New Roman" w:cs="Times New Roman"/>
          <w:sz w:val="24"/>
          <w:szCs w:val="24"/>
        </w:rPr>
        <w:t xml:space="preserve"> </w:t>
      </w:r>
      <w:r w:rsidR="00D6736E" w:rsidRPr="00D6736E">
        <w:rPr>
          <w:rFonts w:ascii="Times New Roman" w:hAnsi="Times New Roman" w:cs="Times New Roman"/>
          <w:sz w:val="24"/>
          <w:szCs w:val="24"/>
        </w:rPr>
        <w:t>o Relatório Final da Comissão de Juristas responsável pela elaboração de anteprojetos de proposições legislativas que dinamizem, unifiquem e modernizem o processo administrativo e tributário nacional, instituída pelo Ato Conjunto dos Presidentes do Senado Federal e do Supremo Tribunal Federal n. 01/2022</w:t>
      </w:r>
      <w:r w:rsidR="00D6736E">
        <w:rPr>
          <w:rStyle w:val="Refdenotaderodap"/>
          <w:rFonts w:ascii="Times New Roman" w:hAnsi="Times New Roman" w:cs="Times New Roman"/>
          <w:sz w:val="24"/>
          <w:szCs w:val="24"/>
        </w:rPr>
        <w:footnoteReference w:id="43"/>
      </w:r>
      <w:r w:rsidR="00C47116">
        <w:rPr>
          <w:rFonts w:ascii="Times New Roman" w:hAnsi="Times New Roman" w:cs="Times New Roman"/>
          <w:sz w:val="24"/>
          <w:szCs w:val="24"/>
        </w:rPr>
        <w:t>.</w:t>
      </w:r>
    </w:p>
    <w:p w14:paraId="03CF259F" w14:textId="77777777" w:rsidR="00CE2B2A" w:rsidRDefault="00B66FEF"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Além de outras questões sensíveis ao contencioso tributário, a Comissão apresentou</w:t>
      </w:r>
      <w:r w:rsidR="00C53727">
        <w:rPr>
          <w:rFonts w:ascii="Times New Roman" w:hAnsi="Times New Roman" w:cs="Times New Roman"/>
          <w:sz w:val="24"/>
          <w:szCs w:val="24"/>
        </w:rPr>
        <w:t xml:space="preserve"> anteprojetos de lei específicos com relação à</w:t>
      </w:r>
      <w:r w:rsidR="00577FF6">
        <w:rPr>
          <w:rFonts w:ascii="Times New Roman" w:hAnsi="Times New Roman" w:cs="Times New Roman"/>
          <w:sz w:val="24"/>
          <w:szCs w:val="24"/>
        </w:rPr>
        <w:t xml:space="preserve"> mediação tributária da União e à arbitragem tributária, </w:t>
      </w:r>
      <w:r w:rsidR="00577FF6">
        <w:rPr>
          <w:rFonts w:ascii="Times New Roman" w:hAnsi="Times New Roman" w:cs="Times New Roman"/>
          <w:sz w:val="24"/>
          <w:szCs w:val="24"/>
        </w:rPr>
        <w:lastRenderedPageBreak/>
        <w:t>além de normas gerais de prevenção de litígios</w:t>
      </w:r>
      <w:r w:rsidR="00E3111F">
        <w:rPr>
          <w:rFonts w:ascii="Times New Roman" w:hAnsi="Times New Roman" w:cs="Times New Roman"/>
          <w:sz w:val="24"/>
          <w:szCs w:val="24"/>
        </w:rPr>
        <w:t xml:space="preserve"> e de consensualidade, medidas que geraram alguns</w:t>
      </w:r>
      <w:r w:rsidR="005C07D5">
        <w:rPr>
          <w:rFonts w:ascii="Times New Roman" w:hAnsi="Times New Roman" w:cs="Times New Roman"/>
          <w:sz w:val="24"/>
          <w:szCs w:val="24"/>
        </w:rPr>
        <w:t xml:space="preserve"> projetos de lei já em trâmite nas casas do Congresso Nacional</w:t>
      </w:r>
      <w:r w:rsidR="00CE2B2A">
        <w:rPr>
          <w:rFonts w:ascii="Times New Roman" w:hAnsi="Times New Roman" w:cs="Times New Roman"/>
          <w:sz w:val="24"/>
          <w:szCs w:val="24"/>
        </w:rPr>
        <w:t>.</w:t>
      </w:r>
    </w:p>
    <w:p w14:paraId="1DEC888A" w14:textId="55AFB518" w:rsidR="00E14E9A" w:rsidRDefault="00C059B1" w:rsidP="00C00998">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Demonstrado o cabimento e a importância de se </w:t>
      </w:r>
      <w:r w:rsidR="00B00EAB">
        <w:rPr>
          <w:rFonts w:ascii="Times New Roman" w:hAnsi="Times New Roman" w:cs="Times New Roman"/>
          <w:sz w:val="24"/>
          <w:szCs w:val="24"/>
        </w:rPr>
        <w:t>desenvolver a consensualidade em âmbito fiscal</w:t>
      </w:r>
      <w:r w:rsidR="00C00998">
        <w:rPr>
          <w:rFonts w:ascii="Times New Roman" w:hAnsi="Times New Roman" w:cs="Times New Roman"/>
          <w:sz w:val="24"/>
          <w:szCs w:val="24"/>
        </w:rPr>
        <w:t xml:space="preserve"> e </w:t>
      </w:r>
      <w:r w:rsidR="00DD1091">
        <w:rPr>
          <w:rFonts w:ascii="Times New Roman" w:hAnsi="Times New Roman" w:cs="Times New Roman"/>
          <w:sz w:val="24"/>
          <w:szCs w:val="24"/>
        </w:rPr>
        <w:t>conjugando os estudos e as iniciativas existentes,</w:t>
      </w:r>
      <w:r w:rsidR="00C00998">
        <w:rPr>
          <w:rFonts w:ascii="Times New Roman" w:hAnsi="Times New Roman" w:cs="Times New Roman"/>
          <w:sz w:val="24"/>
          <w:szCs w:val="24"/>
        </w:rPr>
        <w:t xml:space="preserve"> propomos, a seguir,</w:t>
      </w:r>
      <w:r w:rsidR="007D0B08">
        <w:rPr>
          <w:rFonts w:ascii="Times New Roman" w:hAnsi="Times New Roman" w:cs="Times New Roman"/>
          <w:sz w:val="24"/>
          <w:szCs w:val="24"/>
        </w:rPr>
        <w:t xml:space="preserve"> uma estrutura de modelo multiportas</w:t>
      </w:r>
      <w:r w:rsidR="00934502">
        <w:rPr>
          <w:rFonts w:ascii="Times New Roman" w:hAnsi="Times New Roman" w:cs="Times New Roman"/>
          <w:sz w:val="24"/>
          <w:szCs w:val="24"/>
        </w:rPr>
        <w:t xml:space="preserve"> no Direito Tributário</w:t>
      </w:r>
      <w:r w:rsidR="00DD1091">
        <w:rPr>
          <w:rFonts w:ascii="Times New Roman" w:hAnsi="Times New Roman" w:cs="Times New Roman"/>
          <w:sz w:val="24"/>
          <w:szCs w:val="24"/>
        </w:rPr>
        <w:t>,</w:t>
      </w:r>
      <w:r w:rsidR="00934502">
        <w:rPr>
          <w:rFonts w:ascii="Times New Roman" w:hAnsi="Times New Roman" w:cs="Times New Roman"/>
          <w:sz w:val="24"/>
          <w:szCs w:val="24"/>
        </w:rPr>
        <w:t xml:space="preserve"> sustentado por três grandes pilares</w:t>
      </w:r>
      <w:r w:rsidR="007C7E29">
        <w:rPr>
          <w:rFonts w:ascii="Times New Roman" w:hAnsi="Times New Roman" w:cs="Times New Roman"/>
          <w:sz w:val="24"/>
          <w:szCs w:val="24"/>
        </w:rPr>
        <w:t>.</w:t>
      </w:r>
    </w:p>
    <w:p w14:paraId="6FC556C5" w14:textId="77777777" w:rsidR="00C00998" w:rsidRPr="00DE029C" w:rsidRDefault="00C00998" w:rsidP="00C00998">
      <w:pPr>
        <w:spacing w:before="120" w:after="120" w:line="360" w:lineRule="auto"/>
        <w:ind w:right="-2" w:firstLine="851"/>
        <w:jc w:val="both"/>
        <w:rPr>
          <w:rFonts w:ascii="Times New Roman" w:hAnsi="Times New Roman" w:cs="Times New Roman"/>
          <w:sz w:val="24"/>
          <w:szCs w:val="24"/>
        </w:rPr>
      </w:pPr>
    </w:p>
    <w:p w14:paraId="4B858591" w14:textId="3444B60E" w:rsidR="00CE37F0" w:rsidRPr="008C6D55" w:rsidRDefault="00400BDE" w:rsidP="00EE07B3">
      <w:pPr>
        <w:pStyle w:val="PargrafodaLista"/>
        <w:numPr>
          <w:ilvl w:val="0"/>
          <w:numId w:val="3"/>
        </w:numPr>
        <w:spacing w:before="120" w:after="120" w:line="360" w:lineRule="auto"/>
        <w:ind w:left="0" w:right="-1" w:firstLine="851"/>
        <w:contextualSpacing w:val="0"/>
        <w:jc w:val="both"/>
        <w:rPr>
          <w:rFonts w:ascii="Times New Roman" w:hAnsi="Times New Roman" w:cs="Times New Roman"/>
          <w:b/>
          <w:bCs/>
          <w:sz w:val="24"/>
          <w:szCs w:val="24"/>
        </w:rPr>
      </w:pPr>
      <w:bookmarkStart w:id="8" w:name="_Hlk142075143"/>
      <w:r w:rsidRPr="008C6D55">
        <w:rPr>
          <w:rFonts w:ascii="Times New Roman" w:hAnsi="Times New Roman" w:cs="Times New Roman"/>
          <w:b/>
          <w:bCs/>
          <w:sz w:val="24"/>
          <w:szCs w:val="24"/>
        </w:rPr>
        <w:t>DA PROPOSIÇÃO DE UMA ESTRUTURA D</w:t>
      </w:r>
      <w:r w:rsidR="00890DBC">
        <w:rPr>
          <w:rFonts w:ascii="Times New Roman" w:hAnsi="Times New Roman" w:cs="Times New Roman"/>
          <w:b/>
          <w:bCs/>
          <w:sz w:val="24"/>
          <w:szCs w:val="24"/>
        </w:rPr>
        <w:t>E</w:t>
      </w:r>
      <w:r w:rsidRPr="008C6D55">
        <w:rPr>
          <w:rFonts w:ascii="Times New Roman" w:hAnsi="Times New Roman" w:cs="Times New Roman"/>
          <w:b/>
          <w:bCs/>
          <w:sz w:val="24"/>
          <w:szCs w:val="24"/>
        </w:rPr>
        <w:t xml:space="preserve"> </w:t>
      </w:r>
      <w:r w:rsidR="00AC73D2">
        <w:rPr>
          <w:rFonts w:ascii="Times New Roman" w:hAnsi="Times New Roman" w:cs="Times New Roman"/>
          <w:b/>
          <w:bCs/>
          <w:sz w:val="24"/>
          <w:szCs w:val="24"/>
        </w:rPr>
        <w:t>MODELO</w:t>
      </w:r>
      <w:r w:rsidRPr="008C6D55">
        <w:rPr>
          <w:rFonts w:ascii="Times New Roman" w:hAnsi="Times New Roman" w:cs="Times New Roman"/>
          <w:b/>
          <w:bCs/>
          <w:sz w:val="24"/>
          <w:szCs w:val="24"/>
        </w:rPr>
        <w:t xml:space="preserve"> MULTIPORTAS </w:t>
      </w:r>
      <w:r w:rsidR="002A2E5F" w:rsidRPr="008C6D55">
        <w:rPr>
          <w:rFonts w:ascii="Times New Roman" w:hAnsi="Times New Roman" w:cs="Times New Roman"/>
          <w:b/>
          <w:bCs/>
          <w:sz w:val="24"/>
          <w:szCs w:val="24"/>
        </w:rPr>
        <w:t>NO DIREITO TRIBUTÁRIO</w:t>
      </w:r>
      <w:r w:rsidR="00E1042B">
        <w:rPr>
          <w:rFonts w:ascii="Times New Roman" w:hAnsi="Times New Roman" w:cs="Times New Roman"/>
          <w:b/>
          <w:bCs/>
          <w:sz w:val="24"/>
          <w:szCs w:val="24"/>
        </w:rPr>
        <w:t xml:space="preserve"> SUSTENTADO PELA</w:t>
      </w:r>
      <w:r w:rsidR="00496834">
        <w:rPr>
          <w:rFonts w:ascii="Times New Roman" w:hAnsi="Times New Roman" w:cs="Times New Roman"/>
          <w:b/>
          <w:bCs/>
          <w:sz w:val="24"/>
          <w:szCs w:val="24"/>
        </w:rPr>
        <w:t xml:space="preserve"> </w:t>
      </w:r>
      <w:r w:rsidR="007E472D">
        <w:rPr>
          <w:rFonts w:ascii="Times New Roman" w:hAnsi="Times New Roman" w:cs="Times New Roman"/>
          <w:b/>
          <w:bCs/>
          <w:sz w:val="24"/>
          <w:szCs w:val="24"/>
        </w:rPr>
        <w:t>TRANSAÇÃO TRIBUTÁRIA, AUTOCOMPOSIÇÃO FISCAL E ARBITRAGEM TRIBUTÁRIA</w:t>
      </w:r>
      <w:bookmarkEnd w:id="8"/>
    </w:p>
    <w:p w14:paraId="1B34EB1D" w14:textId="76561681" w:rsidR="00AD10F3" w:rsidRDefault="00CC5C0F" w:rsidP="00EE07B3">
      <w:pPr>
        <w:spacing w:before="120" w:after="120" w:line="360" w:lineRule="auto"/>
        <w:ind w:right="-2" w:firstLine="851"/>
        <w:jc w:val="both"/>
        <w:rPr>
          <w:rFonts w:ascii="Times New Roman" w:hAnsi="Times New Roman" w:cs="Times New Roman"/>
          <w:i/>
          <w:iCs/>
          <w:sz w:val="24"/>
          <w:szCs w:val="24"/>
        </w:rPr>
      </w:pPr>
      <w:r>
        <w:rPr>
          <w:rFonts w:ascii="Times New Roman" w:hAnsi="Times New Roman" w:cs="Times New Roman"/>
          <w:sz w:val="24"/>
          <w:szCs w:val="24"/>
        </w:rPr>
        <w:t>Como anunciado</w:t>
      </w:r>
      <w:r w:rsidR="006508AB">
        <w:rPr>
          <w:rFonts w:ascii="Times New Roman" w:hAnsi="Times New Roman" w:cs="Times New Roman"/>
          <w:sz w:val="24"/>
          <w:szCs w:val="24"/>
        </w:rPr>
        <w:t xml:space="preserve">, </w:t>
      </w:r>
      <w:r w:rsidR="00D03E83">
        <w:rPr>
          <w:rFonts w:ascii="Times New Roman" w:hAnsi="Times New Roman" w:cs="Times New Roman"/>
          <w:sz w:val="24"/>
          <w:szCs w:val="24"/>
        </w:rPr>
        <w:t xml:space="preserve">propomos o desenvolvimento </w:t>
      </w:r>
      <w:r w:rsidR="00952B42">
        <w:rPr>
          <w:rFonts w:ascii="Times New Roman" w:hAnsi="Times New Roman" w:cs="Times New Roman"/>
          <w:sz w:val="24"/>
          <w:szCs w:val="24"/>
        </w:rPr>
        <w:t xml:space="preserve">do </w:t>
      </w:r>
      <w:r w:rsidR="00F964BC">
        <w:rPr>
          <w:rFonts w:ascii="Times New Roman" w:hAnsi="Times New Roman" w:cs="Times New Roman"/>
          <w:sz w:val="24"/>
          <w:szCs w:val="24"/>
        </w:rPr>
        <w:t>modelo</w:t>
      </w:r>
      <w:r w:rsidR="00952B42">
        <w:rPr>
          <w:rFonts w:ascii="Times New Roman" w:hAnsi="Times New Roman" w:cs="Times New Roman"/>
          <w:sz w:val="24"/>
          <w:szCs w:val="24"/>
        </w:rPr>
        <w:t xml:space="preserve"> multiportas no Direito Tributário sustentado por </w:t>
      </w:r>
      <w:r w:rsidR="00A43C64">
        <w:rPr>
          <w:rFonts w:ascii="Times New Roman" w:hAnsi="Times New Roman" w:cs="Times New Roman"/>
          <w:sz w:val="24"/>
          <w:szCs w:val="24"/>
        </w:rPr>
        <w:t xml:space="preserve">três grandes </w:t>
      </w:r>
      <w:r w:rsidR="00A23A72">
        <w:rPr>
          <w:rFonts w:ascii="Times New Roman" w:hAnsi="Times New Roman" w:cs="Times New Roman"/>
          <w:sz w:val="24"/>
          <w:szCs w:val="24"/>
        </w:rPr>
        <w:t>instrumentos de resolução extrajudicial dos conflitos</w:t>
      </w:r>
      <w:r w:rsidR="00952B42">
        <w:rPr>
          <w:rFonts w:ascii="Times New Roman" w:hAnsi="Times New Roman" w:cs="Times New Roman"/>
          <w:sz w:val="24"/>
          <w:szCs w:val="24"/>
        </w:rPr>
        <w:t xml:space="preserve">: </w:t>
      </w:r>
      <w:r w:rsidR="00E1042B">
        <w:rPr>
          <w:rFonts w:ascii="Times New Roman" w:hAnsi="Times New Roman" w:cs="Times New Roman"/>
          <w:sz w:val="24"/>
          <w:szCs w:val="24"/>
        </w:rPr>
        <w:t xml:space="preserve">a </w:t>
      </w:r>
      <w:r w:rsidR="00952B42" w:rsidRPr="00590F25">
        <w:rPr>
          <w:rFonts w:ascii="Times New Roman" w:hAnsi="Times New Roman" w:cs="Times New Roman"/>
          <w:sz w:val="24"/>
          <w:szCs w:val="24"/>
        </w:rPr>
        <w:t>transação tributária</w:t>
      </w:r>
      <w:r w:rsidR="004327D4" w:rsidRPr="00590F25">
        <w:rPr>
          <w:rFonts w:ascii="Times New Roman" w:hAnsi="Times New Roman" w:cs="Times New Roman"/>
          <w:sz w:val="24"/>
          <w:szCs w:val="24"/>
        </w:rPr>
        <w:t>,</w:t>
      </w:r>
      <w:r w:rsidR="00E1042B">
        <w:rPr>
          <w:rFonts w:ascii="Times New Roman" w:hAnsi="Times New Roman" w:cs="Times New Roman"/>
          <w:sz w:val="24"/>
          <w:szCs w:val="24"/>
        </w:rPr>
        <w:t xml:space="preserve"> a</w:t>
      </w:r>
      <w:r w:rsidR="00952B42" w:rsidRPr="00590F25">
        <w:rPr>
          <w:rFonts w:ascii="Times New Roman" w:hAnsi="Times New Roman" w:cs="Times New Roman"/>
          <w:sz w:val="24"/>
          <w:szCs w:val="24"/>
        </w:rPr>
        <w:t xml:space="preserve"> autocomposição</w:t>
      </w:r>
      <w:r w:rsidR="004327D4" w:rsidRPr="00590F25">
        <w:rPr>
          <w:rFonts w:ascii="Times New Roman" w:hAnsi="Times New Roman" w:cs="Times New Roman"/>
          <w:sz w:val="24"/>
          <w:szCs w:val="24"/>
        </w:rPr>
        <w:t xml:space="preserve"> </w:t>
      </w:r>
      <w:r w:rsidR="00952B42" w:rsidRPr="00590F25">
        <w:rPr>
          <w:rFonts w:ascii="Times New Roman" w:hAnsi="Times New Roman" w:cs="Times New Roman"/>
          <w:sz w:val="24"/>
          <w:szCs w:val="24"/>
        </w:rPr>
        <w:t xml:space="preserve">fiscal e </w:t>
      </w:r>
      <w:r w:rsidR="00E1042B">
        <w:rPr>
          <w:rFonts w:ascii="Times New Roman" w:hAnsi="Times New Roman" w:cs="Times New Roman"/>
          <w:sz w:val="24"/>
          <w:szCs w:val="24"/>
        </w:rPr>
        <w:t xml:space="preserve">a </w:t>
      </w:r>
      <w:r w:rsidR="00952B42" w:rsidRPr="00590F25">
        <w:rPr>
          <w:rFonts w:ascii="Times New Roman" w:hAnsi="Times New Roman" w:cs="Times New Roman"/>
          <w:sz w:val="24"/>
          <w:szCs w:val="24"/>
        </w:rPr>
        <w:t>arbitragem tributária.</w:t>
      </w:r>
    </w:p>
    <w:p w14:paraId="345F9CC0" w14:textId="499DA1D1" w:rsidR="00952B42" w:rsidRDefault="00326D81"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É certo que tais métodos de resolução de conflitos</w:t>
      </w:r>
      <w:r w:rsidR="0003017F">
        <w:rPr>
          <w:rFonts w:ascii="Times New Roman" w:hAnsi="Times New Roman" w:cs="Times New Roman"/>
          <w:sz w:val="24"/>
          <w:szCs w:val="24"/>
        </w:rPr>
        <w:t xml:space="preserve"> fiscais já são conhecidos, </w:t>
      </w:r>
      <w:r w:rsidR="00EE3C35">
        <w:rPr>
          <w:rFonts w:ascii="Times New Roman" w:hAnsi="Times New Roman" w:cs="Times New Roman"/>
          <w:sz w:val="24"/>
          <w:szCs w:val="24"/>
        </w:rPr>
        <w:t>um</w:t>
      </w:r>
      <w:r w:rsidR="0003017F">
        <w:rPr>
          <w:rFonts w:ascii="Times New Roman" w:hAnsi="Times New Roman" w:cs="Times New Roman"/>
          <w:sz w:val="24"/>
          <w:szCs w:val="24"/>
        </w:rPr>
        <w:t xml:space="preserve"> já implementado</w:t>
      </w:r>
      <w:r w:rsidR="00EE3C35">
        <w:rPr>
          <w:rFonts w:ascii="Times New Roman" w:hAnsi="Times New Roman" w:cs="Times New Roman"/>
          <w:sz w:val="24"/>
          <w:szCs w:val="24"/>
        </w:rPr>
        <w:t xml:space="preserve"> parcialmente</w:t>
      </w:r>
      <w:r w:rsidR="0003017F">
        <w:rPr>
          <w:rFonts w:ascii="Times New Roman" w:hAnsi="Times New Roman" w:cs="Times New Roman"/>
          <w:sz w:val="24"/>
          <w:szCs w:val="24"/>
        </w:rPr>
        <w:t xml:space="preserve"> e em plena ascensão</w:t>
      </w:r>
      <w:r w:rsidR="00951D2F">
        <w:rPr>
          <w:rFonts w:ascii="Times New Roman" w:hAnsi="Times New Roman" w:cs="Times New Roman"/>
          <w:sz w:val="24"/>
          <w:szCs w:val="24"/>
        </w:rPr>
        <w:t xml:space="preserve"> (ex: transação tributária)</w:t>
      </w:r>
      <w:r w:rsidR="00EE3C35">
        <w:rPr>
          <w:rFonts w:ascii="Times New Roman" w:hAnsi="Times New Roman" w:cs="Times New Roman"/>
          <w:sz w:val="24"/>
          <w:szCs w:val="24"/>
        </w:rPr>
        <w:t xml:space="preserve">, </w:t>
      </w:r>
      <w:r w:rsidR="00DF7A31">
        <w:rPr>
          <w:rFonts w:ascii="Times New Roman" w:hAnsi="Times New Roman" w:cs="Times New Roman"/>
          <w:sz w:val="24"/>
          <w:szCs w:val="24"/>
        </w:rPr>
        <w:t>um</w:t>
      </w:r>
      <w:r w:rsidR="00EE3C35">
        <w:rPr>
          <w:rFonts w:ascii="Times New Roman" w:hAnsi="Times New Roman" w:cs="Times New Roman"/>
          <w:sz w:val="24"/>
          <w:szCs w:val="24"/>
        </w:rPr>
        <w:t xml:space="preserve"> </w:t>
      </w:r>
      <w:r w:rsidR="00C175F1">
        <w:rPr>
          <w:rFonts w:ascii="Times New Roman" w:hAnsi="Times New Roman" w:cs="Times New Roman"/>
          <w:sz w:val="24"/>
          <w:szCs w:val="24"/>
        </w:rPr>
        <w:t xml:space="preserve">com o papel </w:t>
      </w:r>
      <w:r w:rsidR="00EE3C35">
        <w:rPr>
          <w:rFonts w:ascii="Times New Roman" w:hAnsi="Times New Roman" w:cs="Times New Roman"/>
          <w:sz w:val="24"/>
          <w:szCs w:val="24"/>
        </w:rPr>
        <w:t xml:space="preserve">ainda mal compreendido </w:t>
      </w:r>
      <w:r w:rsidR="00C175F1">
        <w:rPr>
          <w:rFonts w:ascii="Times New Roman" w:hAnsi="Times New Roman" w:cs="Times New Roman"/>
          <w:sz w:val="24"/>
          <w:szCs w:val="24"/>
        </w:rPr>
        <w:t xml:space="preserve">(ex: autocomposição fiscal) e o </w:t>
      </w:r>
      <w:r w:rsidR="00DF7A31">
        <w:rPr>
          <w:rFonts w:ascii="Times New Roman" w:hAnsi="Times New Roman" w:cs="Times New Roman"/>
          <w:sz w:val="24"/>
          <w:szCs w:val="24"/>
        </w:rPr>
        <w:t xml:space="preserve">outro </w:t>
      </w:r>
      <w:r w:rsidR="00951D2F">
        <w:rPr>
          <w:rFonts w:ascii="Times New Roman" w:hAnsi="Times New Roman" w:cs="Times New Roman"/>
          <w:sz w:val="24"/>
          <w:szCs w:val="24"/>
        </w:rPr>
        <w:t>ainda incipiente (ex: arbitragem tributária)</w:t>
      </w:r>
      <w:r w:rsidR="00B81391">
        <w:rPr>
          <w:rFonts w:ascii="Times New Roman" w:hAnsi="Times New Roman" w:cs="Times New Roman"/>
          <w:sz w:val="24"/>
          <w:szCs w:val="24"/>
        </w:rPr>
        <w:t xml:space="preserve">, tratando-se, portanto, de uma proposta de consolidação e estruturação, </w:t>
      </w:r>
      <w:r w:rsidR="00C678FF">
        <w:rPr>
          <w:rFonts w:ascii="Times New Roman" w:hAnsi="Times New Roman" w:cs="Times New Roman"/>
          <w:sz w:val="24"/>
          <w:szCs w:val="24"/>
        </w:rPr>
        <w:t>capaz de trazer clareza sobre a complementaridade e interdependência</w:t>
      </w:r>
      <w:r w:rsidR="006A1FE4">
        <w:rPr>
          <w:rFonts w:ascii="Times New Roman" w:hAnsi="Times New Roman" w:cs="Times New Roman"/>
          <w:sz w:val="24"/>
          <w:szCs w:val="24"/>
        </w:rPr>
        <w:t xml:space="preserve"> entre </w:t>
      </w:r>
      <w:r w:rsidR="00B87C69">
        <w:rPr>
          <w:rFonts w:ascii="Times New Roman" w:hAnsi="Times New Roman" w:cs="Times New Roman"/>
          <w:sz w:val="24"/>
          <w:szCs w:val="24"/>
        </w:rPr>
        <w:t xml:space="preserve">estas </w:t>
      </w:r>
      <w:r w:rsidR="006A1FE4">
        <w:rPr>
          <w:rFonts w:ascii="Times New Roman" w:hAnsi="Times New Roman" w:cs="Times New Roman"/>
          <w:sz w:val="24"/>
          <w:szCs w:val="24"/>
        </w:rPr>
        <w:t xml:space="preserve">diferentes </w:t>
      </w:r>
      <w:r w:rsidR="00B87C69">
        <w:rPr>
          <w:rFonts w:ascii="Times New Roman" w:hAnsi="Times New Roman" w:cs="Times New Roman"/>
          <w:sz w:val="24"/>
          <w:szCs w:val="24"/>
        </w:rPr>
        <w:t>ferramentas</w:t>
      </w:r>
      <w:r w:rsidR="0052047E">
        <w:rPr>
          <w:rFonts w:ascii="Times New Roman" w:hAnsi="Times New Roman" w:cs="Times New Roman"/>
          <w:sz w:val="24"/>
          <w:szCs w:val="24"/>
        </w:rPr>
        <w:t>.</w:t>
      </w:r>
    </w:p>
    <w:p w14:paraId="74D50E4F" w14:textId="739C0636" w:rsidR="009429A2" w:rsidRDefault="000A787E" w:rsidP="00E02EA4">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Neste sentido, q</w:t>
      </w:r>
      <w:r w:rsidR="009429A2" w:rsidRPr="009429A2">
        <w:rPr>
          <w:rFonts w:ascii="Times New Roman" w:hAnsi="Times New Roman" w:cs="Times New Roman"/>
          <w:sz w:val="24"/>
          <w:szCs w:val="24"/>
        </w:rPr>
        <w:t>uanto mais o desenvolvimento do modelo multiportas seja tratado como um microssistema, com aderência direta à Agenda 2030, especificamente com relação ao ODS nº 16, maior será a coesão e eficiência na aplicação dos seus diferentes instrumentos, facilitando o apoio institucional e financeiro para o desenvolvimento das estruturas necessárias, inclusive tecnológicas, para maior eficácia das instituições voltadas à Gestão Fiscal.</w:t>
      </w:r>
    </w:p>
    <w:p w14:paraId="1D571493" w14:textId="4F687172" w:rsidR="00570AF2" w:rsidRDefault="00D04885" w:rsidP="0014167F">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O avanço nestas direções </w:t>
      </w:r>
      <w:r w:rsidR="004D7527">
        <w:rPr>
          <w:rFonts w:ascii="Times New Roman" w:hAnsi="Times New Roman" w:cs="Times New Roman"/>
          <w:sz w:val="24"/>
          <w:szCs w:val="24"/>
        </w:rPr>
        <w:t>tem a capa</w:t>
      </w:r>
      <w:r w:rsidR="00BC6656">
        <w:rPr>
          <w:rFonts w:ascii="Times New Roman" w:hAnsi="Times New Roman" w:cs="Times New Roman"/>
          <w:sz w:val="24"/>
          <w:szCs w:val="24"/>
        </w:rPr>
        <w:t>cidade de preench</w:t>
      </w:r>
      <w:r w:rsidR="005C20D4">
        <w:rPr>
          <w:rFonts w:ascii="Times New Roman" w:hAnsi="Times New Roman" w:cs="Times New Roman"/>
          <w:sz w:val="24"/>
          <w:szCs w:val="24"/>
        </w:rPr>
        <w:t>e</w:t>
      </w:r>
      <w:r w:rsidR="00BC6656">
        <w:rPr>
          <w:rFonts w:ascii="Times New Roman" w:hAnsi="Times New Roman" w:cs="Times New Roman"/>
          <w:sz w:val="24"/>
          <w:szCs w:val="24"/>
        </w:rPr>
        <w:t>r diferentes lacunas</w:t>
      </w:r>
      <w:r w:rsidR="005C20D4">
        <w:rPr>
          <w:rFonts w:ascii="Times New Roman" w:hAnsi="Times New Roman" w:cs="Times New Roman"/>
          <w:sz w:val="24"/>
          <w:szCs w:val="24"/>
        </w:rPr>
        <w:t>, apresentando alternativas adequadas de resolução</w:t>
      </w:r>
      <w:r w:rsidR="00AF24F9">
        <w:rPr>
          <w:rFonts w:ascii="Times New Roman" w:hAnsi="Times New Roman" w:cs="Times New Roman"/>
          <w:sz w:val="24"/>
          <w:szCs w:val="24"/>
        </w:rPr>
        <w:t xml:space="preserve"> </w:t>
      </w:r>
      <w:r w:rsidR="00DB617C">
        <w:rPr>
          <w:rFonts w:ascii="Times New Roman" w:hAnsi="Times New Roman" w:cs="Times New Roman"/>
          <w:sz w:val="24"/>
          <w:szCs w:val="24"/>
        </w:rPr>
        <w:t>das diferentes espécies de conflitos fiscais</w:t>
      </w:r>
      <w:r w:rsidR="00D91702">
        <w:rPr>
          <w:rFonts w:ascii="Times New Roman" w:hAnsi="Times New Roman" w:cs="Times New Roman"/>
          <w:sz w:val="24"/>
          <w:szCs w:val="24"/>
        </w:rPr>
        <w:t>, conforme demonstraremos a seguir.</w:t>
      </w:r>
    </w:p>
    <w:p w14:paraId="1ABD686F" w14:textId="77777777" w:rsidR="0014167F" w:rsidRPr="0014167F" w:rsidRDefault="0014167F" w:rsidP="0014167F">
      <w:pPr>
        <w:spacing w:before="120" w:after="120" w:line="360" w:lineRule="auto"/>
        <w:ind w:right="-2" w:firstLine="851"/>
        <w:jc w:val="both"/>
        <w:rPr>
          <w:rFonts w:ascii="Times New Roman" w:hAnsi="Times New Roman" w:cs="Times New Roman"/>
          <w:sz w:val="24"/>
          <w:szCs w:val="24"/>
        </w:rPr>
      </w:pPr>
    </w:p>
    <w:p w14:paraId="68C548BD" w14:textId="0DE6E36F" w:rsidR="005C6281" w:rsidRPr="00721B6A" w:rsidRDefault="00721B6A" w:rsidP="00EE07B3">
      <w:pPr>
        <w:spacing w:before="120" w:after="120" w:line="360" w:lineRule="auto"/>
        <w:ind w:right="-2" w:firstLine="851"/>
        <w:jc w:val="both"/>
        <w:rPr>
          <w:rFonts w:ascii="Times New Roman" w:hAnsi="Times New Roman" w:cs="Times New Roman"/>
          <w:sz w:val="24"/>
          <w:szCs w:val="24"/>
        </w:rPr>
      </w:pPr>
      <w:r w:rsidRPr="00721B6A">
        <w:rPr>
          <w:rFonts w:ascii="Times New Roman" w:hAnsi="Times New Roman" w:cs="Times New Roman"/>
          <w:b/>
          <w:bCs/>
          <w:sz w:val="24"/>
          <w:szCs w:val="24"/>
        </w:rPr>
        <w:t xml:space="preserve">4.1. </w:t>
      </w:r>
      <w:r w:rsidR="007006E1" w:rsidRPr="00721B6A">
        <w:rPr>
          <w:rFonts w:ascii="Times New Roman" w:hAnsi="Times New Roman" w:cs="Times New Roman"/>
          <w:b/>
          <w:bCs/>
          <w:sz w:val="24"/>
          <w:szCs w:val="24"/>
        </w:rPr>
        <w:t>DA TRANSAÇÃO TRIBUTÁRIA</w:t>
      </w:r>
    </w:p>
    <w:p w14:paraId="31DE981B" w14:textId="2387EDFF" w:rsidR="00645D79" w:rsidRDefault="007006E1" w:rsidP="00645D79">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A transação tributária</w:t>
      </w:r>
      <w:r w:rsidR="00A84B94">
        <w:rPr>
          <w:rFonts w:ascii="Times New Roman" w:hAnsi="Times New Roman" w:cs="Times New Roman"/>
          <w:sz w:val="24"/>
          <w:szCs w:val="24"/>
        </w:rPr>
        <w:t xml:space="preserve"> </w:t>
      </w:r>
      <w:r w:rsidR="00682FCE">
        <w:rPr>
          <w:rFonts w:ascii="Times New Roman" w:hAnsi="Times New Roman" w:cs="Times New Roman"/>
          <w:sz w:val="24"/>
          <w:szCs w:val="24"/>
        </w:rPr>
        <w:t>é causa de extinção do crédito tributário, prevista no</w:t>
      </w:r>
      <w:r w:rsidR="009A7703">
        <w:rPr>
          <w:rFonts w:ascii="Times New Roman" w:hAnsi="Times New Roman" w:cs="Times New Roman"/>
          <w:sz w:val="24"/>
          <w:szCs w:val="24"/>
        </w:rPr>
        <w:t>s</w:t>
      </w:r>
      <w:r w:rsidR="00682FCE">
        <w:rPr>
          <w:rFonts w:ascii="Times New Roman" w:hAnsi="Times New Roman" w:cs="Times New Roman"/>
          <w:sz w:val="24"/>
          <w:szCs w:val="24"/>
        </w:rPr>
        <w:t xml:space="preserve"> art.</w:t>
      </w:r>
      <w:r w:rsidR="00A92A10">
        <w:rPr>
          <w:rFonts w:ascii="Times New Roman" w:hAnsi="Times New Roman" w:cs="Times New Roman"/>
          <w:sz w:val="24"/>
          <w:szCs w:val="24"/>
        </w:rPr>
        <w:t xml:space="preserve"> 156</w:t>
      </w:r>
      <w:r w:rsidR="002330E9">
        <w:rPr>
          <w:rFonts w:ascii="Times New Roman" w:hAnsi="Times New Roman" w:cs="Times New Roman"/>
          <w:sz w:val="24"/>
          <w:szCs w:val="24"/>
        </w:rPr>
        <w:t xml:space="preserve"> </w:t>
      </w:r>
      <w:r w:rsidR="009A7703">
        <w:rPr>
          <w:rFonts w:ascii="Times New Roman" w:hAnsi="Times New Roman" w:cs="Times New Roman"/>
          <w:sz w:val="24"/>
          <w:szCs w:val="24"/>
        </w:rPr>
        <w:t xml:space="preserve">e 171 </w:t>
      </w:r>
      <w:r w:rsidR="00A92A10">
        <w:rPr>
          <w:rFonts w:ascii="Times New Roman" w:hAnsi="Times New Roman" w:cs="Times New Roman"/>
          <w:sz w:val="24"/>
          <w:szCs w:val="24"/>
        </w:rPr>
        <w:t>do Código Tributário Nacional (CTN)</w:t>
      </w:r>
      <w:r w:rsidR="00481E9F">
        <w:rPr>
          <w:rFonts w:ascii="Times New Roman" w:hAnsi="Times New Roman" w:cs="Times New Roman"/>
          <w:sz w:val="24"/>
          <w:szCs w:val="24"/>
        </w:rPr>
        <w:t>.</w:t>
      </w:r>
      <w:r w:rsidR="00645D79">
        <w:rPr>
          <w:rFonts w:ascii="Times New Roman" w:hAnsi="Times New Roman" w:cs="Times New Roman"/>
          <w:sz w:val="24"/>
          <w:szCs w:val="24"/>
        </w:rPr>
        <w:t xml:space="preserve"> Depende de lei de cada ente tributante</w:t>
      </w:r>
      <w:r w:rsidR="0081567E">
        <w:rPr>
          <w:rFonts w:ascii="Times New Roman" w:hAnsi="Times New Roman" w:cs="Times New Roman"/>
          <w:sz w:val="24"/>
          <w:szCs w:val="24"/>
        </w:rPr>
        <w:t xml:space="preserve">, que deve indicar a </w:t>
      </w:r>
      <w:r w:rsidR="0081567E">
        <w:rPr>
          <w:rFonts w:ascii="Times New Roman" w:hAnsi="Times New Roman" w:cs="Times New Roman"/>
          <w:sz w:val="24"/>
          <w:szCs w:val="24"/>
        </w:rPr>
        <w:lastRenderedPageBreak/>
        <w:t>autoridade competente para a sua autorização,</w:t>
      </w:r>
      <w:r w:rsidR="00645D79">
        <w:rPr>
          <w:rFonts w:ascii="Times New Roman" w:hAnsi="Times New Roman" w:cs="Times New Roman"/>
          <w:sz w:val="24"/>
          <w:szCs w:val="24"/>
        </w:rPr>
        <w:t xml:space="preserve"> tratando-se de caso de iniciativa privativa do Chefe do Poder Executivo (art. 61, §1º, II, “b”, da CF/88).</w:t>
      </w:r>
    </w:p>
    <w:p w14:paraId="7B5D50BC" w14:textId="22E87506" w:rsidR="00F3671E" w:rsidRDefault="00B13385"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Tais exigência</w:t>
      </w:r>
      <w:r w:rsidR="00253CCA">
        <w:rPr>
          <w:rFonts w:ascii="Times New Roman" w:hAnsi="Times New Roman" w:cs="Times New Roman"/>
          <w:sz w:val="24"/>
          <w:szCs w:val="24"/>
        </w:rPr>
        <w:t>s</w:t>
      </w:r>
      <w:r>
        <w:rPr>
          <w:rFonts w:ascii="Times New Roman" w:hAnsi="Times New Roman" w:cs="Times New Roman"/>
          <w:sz w:val="24"/>
          <w:szCs w:val="24"/>
        </w:rPr>
        <w:t xml:space="preserve"> tem razão de ser, </w:t>
      </w:r>
      <w:r w:rsidR="00F244E1">
        <w:rPr>
          <w:rFonts w:ascii="Times New Roman" w:hAnsi="Times New Roman" w:cs="Times New Roman"/>
          <w:sz w:val="24"/>
          <w:szCs w:val="24"/>
        </w:rPr>
        <w:t>pois</w:t>
      </w:r>
      <w:r>
        <w:rPr>
          <w:rFonts w:ascii="Times New Roman" w:hAnsi="Times New Roman" w:cs="Times New Roman"/>
          <w:sz w:val="24"/>
          <w:szCs w:val="24"/>
        </w:rPr>
        <w:t xml:space="preserve"> a transação representa</w:t>
      </w:r>
      <w:r w:rsidR="00FA30F3">
        <w:rPr>
          <w:rFonts w:ascii="Times New Roman" w:hAnsi="Times New Roman" w:cs="Times New Roman"/>
          <w:sz w:val="24"/>
          <w:szCs w:val="24"/>
        </w:rPr>
        <w:t xml:space="preserve"> </w:t>
      </w:r>
      <w:r w:rsidR="00B63792">
        <w:rPr>
          <w:rFonts w:ascii="Times New Roman" w:hAnsi="Times New Roman" w:cs="Times New Roman"/>
          <w:sz w:val="24"/>
          <w:szCs w:val="24"/>
        </w:rPr>
        <w:t xml:space="preserve">hipótese </w:t>
      </w:r>
      <w:r w:rsidR="00F01DFD">
        <w:rPr>
          <w:rFonts w:ascii="Times New Roman" w:hAnsi="Times New Roman" w:cs="Times New Roman"/>
          <w:sz w:val="24"/>
          <w:szCs w:val="24"/>
        </w:rPr>
        <w:t xml:space="preserve">de </w:t>
      </w:r>
      <w:r w:rsidR="00B63792">
        <w:rPr>
          <w:rFonts w:ascii="Times New Roman" w:hAnsi="Times New Roman" w:cs="Times New Roman"/>
          <w:sz w:val="24"/>
          <w:szCs w:val="24"/>
        </w:rPr>
        <w:t xml:space="preserve">disposição </w:t>
      </w:r>
      <w:r w:rsidR="006817B7">
        <w:rPr>
          <w:rFonts w:ascii="Times New Roman" w:hAnsi="Times New Roman" w:cs="Times New Roman"/>
          <w:sz w:val="24"/>
          <w:szCs w:val="24"/>
        </w:rPr>
        <w:t>do crédito tributário</w:t>
      </w:r>
      <w:r w:rsidR="00107A92">
        <w:rPr>
          <w:rFonts w:ascii="Times New Roman" w:hAnsi="Times New Roman" w:cs="Times New Roman"/>
          <w:sz w:val="24"/>
          <w:szCs w:val="24"/>
        </w:rPr>
        <w:t>, de titularidade pública</w:t>
      </w:r>
      <w:r w:rsidR="00B233DF">
        <w:rPr>
          <w:rFonts w:ascii="Times New Roman" w:hAnsi="Times New Roman" w:cs="Times New Roman"/>
          <w:sz w:val="24"/>
          <w:szCs w:val="24"/>
        </w:rPr>
        <w:t xml:space="preserve">, </w:t>
      </w:r>
      <w:r w:rsidR="003706EF">
        <w:rPr>
          <w:rFonts w:ascii="Times New Roman" w:hAnsi="Times New Roman" w:cs="Times New Roman"/>
          <w:sz w:val="24"/>
          <w:szCs w:val="24"/>
        </w:rPr>
        <w:t xml:space="preserve">cuja manifestação de vontade depende do </w:t>
      </w:r>
      <w:r w:rsidR="00F1623A">
        <w:rPr>
          <w:rFonts w:ascii="Times New Roman" w:hAnsi="Times New Roman" w:cs="Times New Roman"/>
          <w:sz w:val="24"/>
          <w:szCs w:val="24"/>
        </w:rPr>
        <w:t>devido processo legislativo</w:t>
      </w:r>
      <w:r w:rsidR="003B57FD">
        <w:rPr>
          <w:rFonts w:ascii="Times New Roman" w:hAnsi="Times New Roman" w:cs="Times New Roman"/>
          <w:sz w:val="24"/>
          <w:szCs w:val="24"/>
        </w:rPr>
        <w:t xml:space="preserve"> e de iniciativa do legítimo </w:t>
      </w:r>
      <w:r w:rsidR="00253CCA">
        <w:rPr>
          <w:rFonts w:ascii="Times New Roman" w:hAnsi="Times New Roman" w:cs="Times New Roman"/>
          <w:sz w:val="24"/>
          <w:szCs w:val="24"/>
        </w:rPr>
        <w:t>mandatário</w:t>
      </w:r>
      <w:r w:rsidR="003B57FD">
        <w:rPr>
          <w:rFonts w:ascii="Times New Roman" w:hAnsi="Times New Roman" w:cs="Times New Roman"/>
          <w:sz w:val="24"/>
          <w:szCs w:val="24"/>
        </w:rPr>
        <w:t xml:space="preserve"> do povo.</w:t>
      </w:r>
    </w:p>
    <w:p w14:paraId="6A7147D6" w14:textId="432D5E52" w:rsidR="00C3015B" w:rsidRDefault="00880BB4" w:rsidP="00A876F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Durante décadas, a </w:t>
      </w:r>
      <w:r w:rsidR="003E0DCF">
        <w:rPr>
          <w:rFonts w:ascii="Times New Roman" w:hAnsi="Times New Roman" w:cs="Times New Roman"/>
          <w:sz w:val="24"/>
          <w:szCs w:val="24"/>
        </w:rPr>
        <w:t>ferramenta</w:t>
      </w:r>
      <w:r>
        <w:rPr>
          <w:rFonts w:ascii="Times New Roman" w:hAnsi="Times New Roman" w:cs="Times New Roman"/>
          <w:sz w:val="24"/>
          <w:szCs w:val="24"/>
        </w:rPr>
        <w:t xml:space="preserve"> resto</w:t>
      </w:r>
      <w:r w:rsidR="00060EAE">
        <w:rPr>
          <w:rFonts w:ascii="Times New Roman" w:hAnsi="Times New Roman" w:cs="Times New Roman"/>
          <w:sz w:val="24"/>
          <w:szCs w:val="24"/>
        </w:rPr>
        <w:t>u subut</w:t>
      </w:r>
      <w:r w:rsidR="00FA34EE">
        <w:rPr>
          <w:rFonts w:ascii="Times New Roman" w:hAnsi="Times New Roman" w:cs="Times New Roman"/>
          <w:sz w:val="24"/>
          <w:szCs w:val="24"/>
        </w:rPr>
        <w:t>ilizada</w:t>
      </w:r>
      <w:r w:rsidR="005D013F">
        <w:rPr>
          <w:rFonts w:ascii="Times New Roman" w:hAnsi="Times New Roman" w:cs="Times New Roman"/>
          <w:sz w:val="24"/>
          <w:szCs w:val="24"/>
        </w:rPr>
        <w:t xml:space="preserve">, </w:t>
      </w:r>
      <w:r w:rsidR="00682CFD">
        <w:rPr>
          <w:rFonts w:ascii="Times New Roman" w:hAnsi="Times New Roman" w:cs="Times New Roman"/>
          <w:sz w:val="24"/>
          <w:szCs w:val="24"/>
        </w:rPr>
        <w:t>já que</w:t>
      </w:r>
      <w:r w:rsidR="005D013F">
        <w:rPr>
          <w:rFonts w:ascii="Times New Roman" w:hAnsi="Times New Roman" w:cs="Times New Roman"/>
          <w:sz w:val="24"/>
          <w:szCs w:val="24"/>
        </w:rPr>
        <w:t>, quando muito</w:t>
      </w:r>
      <w:r w:rsidR="00C318C9">
        <w:rPr>
          <w:rFonts w:ascii="Times New Roman" w:hAnsi="Times New Roman" w:cs="Times New Roman"/>
          <w:sz w:val="24"/>
          <w:szCs w:val="24"/>
        </w:rPr>
        <w:t>, era materializada por meio de programas de recuperação fiscal</w:t>
      </w:r>
      <w:r w:rsidR="00A308AF">
        <w:rPr>
          <w:rFonts w:ascii="Times New Roman" w:hAnsi="Times New Roman" w:cs="Times New Roman"/>
          <w:sz w:val="24"/>
          <w:szCs w:val="24"/>
        </w:rPr>
        <w:t xml:space="preserve"> (</w:t>
      </w:r>
      <w:r w:rsidR="00C318C9">
        <w:rPr>
          <w:rFonts w:ascii="Times New Roman" w:hAnsi="Times New Roman" w:cs="Times New Roman"/>
          <w:sz w:val="24"/>
          <w:szCs w:val="24"/>
        </w:rPr>
        <w:t>REFIS</w:t>
      </w:r>
      <w:r w:rsidR="00A308AF">
        <w:rPr>
          <w:rFonts w:ascii="Times New Roman" w:hAnsi="Times New Roman" w:cs="Times New Roman"/>
          <w:sz w:val="24"/>
          <w:szCs w:val="24"/>
        </w:rPr>
        <w:t>)</w:t>
      </w:r>
      <w:r w:rsidR="00C318C9">
        <w:rPr>
          <w:rFonts w:ascii="Times New Roman" w:hAnsi="Times New Roman" w:cs="Times New Roman"/>
          <w:sz w:val="24"/>
          <w:szCs w:val="24"/>
        </w:rPr>
        <w:t xml:space="preserve">, </w:t>
      </w:r>
      <w:r w:rsidR="0090475B">
        <w:rPr>
          <w:rFonts w:ascii="Times New Roman" w:hAnsi="Times New Roman" w:cs="Times New Roman"/>
          <w:sz w:val="24"/>
          <w:szCs w:val="24"/>
        </w:rPr>
        <w:t>que se caracterizavam por aplicações pontuais e temporárias</w:t>
      </w:r>
      <w:r w:rsidR="00915A17">
        <w:rPr>
          <w:rFonts w:ascii="Times New Roman" w:hAnsi="Times New Roman" w:cs="Times New Roman"/>
          <w:sz w:val="24"/>
          <w:szCs w:val="24"/>
        </w:rPr>
        <w:t xml:space="preserve">, </w:t>
      </w:r>
      <w:r w:rsidR="007A3224">
        <w:rPr>
          <w:rFonts w:ascii="Times New Roman" w:hAnsi="Times New Roman" w:cs="Times New Roman"/>
          <w:sz w:val="24"/>
          <w:szCs w:val="24"/>
        </w:rPr>
        <w:t>sendo alvo</w:t>
      </w:r>
      <w:r w:rsidR="002D0B10">
        <w:rPr>
          <w:rFonts w:ascii="Times New Roman" w:hAnsi="Times New Roman" w:cs="Times New Roman"/>
          <w:sz w:val="24"/>
          <w:szCs w:val="24"/>
        </w:rPr>
        <w:t xml:space="preserve"> </w:t>
      </w:r>
      <w:r w:rsidR="007A3224">
        <w:rPr>
          <w:rFonts w:ascii="Times New Roman" w:hAnsi="Times New Roman" w:cs="Times New Roman"/>
          <w:sz w:val="24"/>
          <w:szCs w:val="24"/>
        </w:rPr>
        <w:t>de diversas críticas</w:t>
      </w:r>
      <w:r w:rsidR="002D0B10">
        <w:rPr>
          <w:rFonts w:ascii="Times New Roman" w:hAnsi="Times New Roman" w:cs="Times New Roman"/>
          <w:sz w:val="24"/>
          <w:szCs w:val="24"/>
        </w:rPr>
        <w:t xml:space="preserve"> atualmente</w:t>
      </w:r>
      <w:r w:rsidR="009B2C7B">
        <w:rPr>
          <w:rFonts w:ascii="Times New Roman" w:hAnsi="Times New Roman" w:cs="Times New Roman"/>
          <w:sz w:val="24"/>
          <w:szCs w:val="24"/>
        </w:rPr>
        <w:t>, muitas das quais aderimos.</w:t>
      </w:r>
      <w:r w:rsidR="00A876F3">
        <w:rPr>
          <w:rFonts w:ascii="Times New Roman" w:hAnsi="Times New Roman" w:cs="Times New Roman"/>
          <w:sz w:val="24"/>
          <w:szCs w:val="24"/>
        </w:rPr>
        <w:t xml:space="preserve"> </w:t>
      </w:r>
      <w:r w:rsidR="00C3015B">
        <w:rPr>
          <w:rFonts w:ascii="Times New Roman" w:hAnsi="Times New Roman" w:cs="Times New Roman"/>
          <w:sz w:val="24"/>
          <w:szCs w:val="24"/>
        </w:rPr>
        <w:t xml:space="preserve">Nos últimos anos, porém, </w:t>
      </w:r>
      <w:r w:rsidR="00496894">
        <w:rPr>
          <w:rFonts w:ascii="Times New Roman" w:hAnsi="Times New Roman" w:cs="Times New Roman"/>
          <w:sz w:val="24"/>
          <w:szCs w:val="24"/>
        </w:rPr>
        <w:t>devido ao</w:t>
      </w:r>
      <w:r w:rsidR="00ED5B45">
        <w:rPr>
          <w:rFonts w:ascii="Times New Roman" w:hAnsi="Times New Roman" w:cs="Times New Roman"/>
          <w:sz w:val="24"/>
          <w:szCs w:val="24"/>
        </w:rPr>
        <w:t xml:space="preserve"> ambiente de ascensão dos métodos adequados de resolução de conflitos</w:t>
      </w:r>
      <w:r w:rsidR="00AB7019">
        <w:rPr>
          <w:rFonts w:ascii="Times New Roman" w:hAnsi="Times New Roman" w:cs="Times New Roman"/>
          <w:sz w:val="24"/>
          <w:szCs w:val="24"/>
        </w:rPr>
        <w:t>, reforçado pelo C</w:t>
      </w:r>
      <w:r w:rsidR="00682CFD">
        <w:rPr>
          <w:rFonts w:ascii="Times New Roman" w:hAnsi="Times New Roman" w:cs="Times New Roman"/>
          <w:sz w:val="24"/>
          <w:szCs w:val="24"/>
        </w:rPr>
        <w:t>PC</w:t>
      </w:r>
      <w:r w:rsidR="00E741DB">
        <w:rPr>
          <w:rFonts w:ascii="Times New Roman" w:hAnsi="Times New Roman" w:cs="Times New Roman"/>
          <w:sz w:val="24"/>
          <w:szCs w:val="24"/>
        </w:rPr>
        <w:t xml:space="preserve">, passou a ganhar maior relevância e notoriedade, </w:t>
      </w:r>
      <w:r w:rsidR="007864FA">
        <w:rPr>
          <w:rFonts w:ascii="Times New Roman" w:hAnsi="Times New Roman" w:cs="Times New Roman"/>
          <w:sz w:val="24"/>
          <w:szCs w:val="24"/>
        </w:rPr>
        <w:t xml:space="preserve">e </w:t>
      </w:r>
      <w:r w:rsidR="000E72B0">
        <w:rPr>
          <w:rFonts w:ascii="Times New Roman" w:hAnsi="Times New Roman" w:cs="Times New Roman"/>
          <w:sz w:val="24"/>
          <w:szCs w:val="24"/>
        </w:rPr>
        <w:t xml:space="preserve">hoje </w:t>
      </w:r>
      <w:r w:rsidR="007864FA">
        <w:rPr>
          <w:rFonts w:ascii="Times New Roman" w:hAnsi="Times New Roman" w:cs="Times New Roman"/>
          <w:sz w:val="24"/>
          <w:szCs w:val="24"/>
        </w:rPr>
        <w:t xml:space="preserve">figura no epicentro das discussões </w:t>
      </w:r>
      <w:r w:rsidR="004E2C66">
        <w:rPr>
          <w:rFonts w:ascii="Times New Roman" w:hAnsi="Times New Roman" w:cs="Times New Roman"/>
          <w:sz w:val="24"/>
          <w:szCs w:val="24"/>
        </w:rPr>
        <w:t>envolvendo o sistema multiportas no Direito Tributário.</w:t>
      </w:r>
    </w:p>
    <w:p w14:paraId="78CB3BFC" w14:textId="11CEC907" w:rsidR="004E2C66" w:rsidRDefault="004E2C66" w:rsidP="00EE07B3">
      <w:pPr>
        <w:spacing w:before="120" w:after="120" w:line="36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Embora já existissem iniciativas estaduais e municipais esparsas, </w:t>
      </w:r>
      <w:r w:rsidR="00A32D66">
        <w:rPr>
          <w:rFonts w:ascii="Times New Roman" w:hAnsi="Times New Roman" w:cs="Times New Roman"/>
          <w:sz w:val="24"/>
          <w:szCs w:val="24"/>
        </w:rPr>
        <w:t xml:space="preserve">algumas bastante interessantes, </w:t>
      </w:r>
      <w:r w:rsidR="007A34F7">
        <w:rPr>
          <w:rFonts w:ascii="Times New Roman" w:hAnsi="Times New Roman" w:cs="Times New Roman"/>
          <w:sz w:val="24"/>
          <w:szCs w:val="24"/>
        </w:rPr>
        <w:t>como do Município de Blumenau</w:t>
      </w:r>
      <w:r w:rsidR="007A34F7">
        <w:rPr>
          <w:rStyle w:val="Refdenotaderodap"/>
          <w:rFonts w:ascii="Times New Roman" w:hAnsi="Times New Roman" w:cs="Times New Roman"/>
          <w:sz w:val="24"/>
          <w:szCs w:val="24"/>
        </w:rPr>
        <w:footnoteReference w:id="44"/>
      </w:r>
      <w:r w:rsidR="00A51ECC">
        <w:rPr>
          <w:rFonts w:ascii="Times New Roman" w:hAnsi="Times New Roman" w:cs="Times New Roman"/>
          <w:sz w:val="24"/>
          <w:szCs w:val="24"/>
        </w:rPr>
        <w:t xml:space="preserve">, foi com a evolução em âmbito federal que se </w:t>
      </w:r>
      <w:r w:rsidR="00BB5AEE">
        <w:rPr>
          <w:rFonts w:ascii="Times New Roman" w:hAnsi="Times New Roman" w:cs="Times New Roman"/>
          <w:sz w:val="24"/>
          <w:szCs w:val="24"/>
        </w:rPr>
        <w:t>verificou a importância de uma regulamentação estruturada, perene, definitiva e mais justa.</w:t>
      </w:r>
    </w:p>
    <w:p w14:paraId="6B0B6BAB" w14:textId="197B309D" w:rsidR="00BB6D91" w:rsidRPr="00BB6D91" w:rsidRDefault="002F50B7" w:rsidP="00EE07B3">
      <w:pPr>
        <w:spacing w:before="120" w:after="120" w:line="360" w:lineRule="auto"/>
        <w:ind w:right="-2" w:firstLine="851"/>
        <w:jc w:val="both"/>
        <w:rPr>
          <w:rFonts w:ascii="Times New Roman" w:eastAsia="Calibri" w:hAnsi="Times New Roman" w:cs="Times New Roman"/>
          <w:sz w:val="24"/>
          <w:szCs w:val="24"/>
        </w:rPr>
      </w:pPr>
      <w:r>
        <w:rPr>
          <w:rFonts w:ascii="Times New Roman" w:hAnsi="Times New Roman" w:cs="Times New Roman"/>
          <w:sz w:val="24"/>
          <w:szCs w:val="24"/>
        </w:rPr>
        <w:t>Neste sentido</w:t>
      </w:r>
      <w:r w:rsidR="0051515F">
        <w:rPr>
          <w:rFonts w:ascii="Times New Roman" w:hAnsi="Times New Roman" w:cs="Times New Roman"/>
          <w:sz w:val="24"/>
          <w:szCs w:val="24"/>
        </w:rPr>
        <w:t>,</w:t>
      </w:r>
      <w:r w:rsidR="00656D59">
        <w:rPr>
          <w:rFonts w:ascii="Times New Roman" w:hAnsi="Times New Roman" w:cs="Times New Roman"/>
          <w:sz w:val="24"/>
          <w:szCs w:val="24"/>
        </w:rPr>
        <w:t xml:space="preserve"> foi editada</w:t>
      </w:r>
      <w:r w:rsidR="0051515F">
        <w:rPr>
          <w:rFonts w:ascii="Times New Roman" w:hAnsi="Times New Roman" w:cs="Times New Roman"/>
          <w:sz w:val="24"/>
          <w:szCs w:val="24"/>
        </w:rPr>
        <w:t xml:space="preserve"> </w:t>
      </w:r>
      <w:r w:rsidR="0092591A">
        <w:rPr>
          <w:rFonts w:ascii="Times New Roman" w:hAnsi="Times New Roman"/>
          <w:sz w:val="24"/>
          <w:szCs w:val="24"/>
        </w:rPr>
        <w:t>a Medida Provisória nº 899/2019, convertida na Lei nº 13.988/20, que regulamentou o art. 171 do CTN, com o objetivo de criar “mecanismos indutores de autocomposição em causas de natureza fiscal”, e tendo por objeto o estabelecimento de requisitos e condições para a realização de “transação resolutiva de litígio relativo à cobrança de créditos da Fazenda Pública, de natureza tributária ou não tributária”</w:t>
      </w:r>
      <w:r w:rsidR="000971EA">
        <w:rPr>
          <w:rFonts w:ascii="Times New Roman" w:hAnsi="Times New Roman"/>
          <w:sz w:val="24"/>
          <w:szCs w:val="24"/>
        </w:rPr>
        <w:t xml:space="preserve">, </w:t>
      </w:r>
      <w:r w:rsidR="00763DDA">
        <w:rPr>
          <w:rFonts w:ascii="Times New Roman" w:hAnsi="Times New Roman"/>
          <w:sz w:val="24"/>
          <w:szCs w:val="24"/>
        </w:rPr>
        <w:t>autorizando</w:t>
      </w:r>
      <w:r w:rsidR="001A3DE7">
        <w:rPr>
          <w:rFonts w:ascii="Times New Roman" w:hAnsi="Times New Roman"/>
          <w:sz w:val="24"/>
          <w:szCs w:val="24"/>
        </w:rPr>
        <w:t xml:space="preserve"> </w:t>
      </w:r>
      <w:r w:rsidR="00BB6D91" w:rsidRPr="00BB6D91">
        <w:rPr>
          <w:rFonts w:ascii="Times New Roman" w:eastAsia="Calibri" w:hAnsi="Times New Roman" w:cs="Times New Roman"/>
          <w:sz w:val="24"/>
          <w:szCs w:val="24"/>
        </w:rPr>
        <w:t>a elaboração de acordos entre contribuintes e a administração tributária federal, que envolvam créditos constituídos, sendo concedidos descontos, ampliação de prazos e parcelamentos especiais, visando diminuir consideravelmente o estoque de litígios tributários, além de incrementar a arrecadação fiscal.</w:t>
      </w:r>
    </w:p>
    <w:p w14:paraId="19C83A66" w14:textId="128E7E50" w:rsidR="00BB5AEE" w:rsidRDefault="00BB6D91"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Atualmente, é regulamentada pela Portaria </w:t>
      </w:r>
      <w:r w:rsidR="00444AFF">
        <w:rPr>
          <w:rFonts w:ascii="Times New Roman" w:hAnsi="Times New Roman"/>
          <w:sz w:val="24"/>
          <w:szCs w:val="24"/>
        </w:rPr>
        <w:t>PGFN/ME nº 675</w:t>
      </w:r>
      <w:r w:rsidR="00772D76">
        <w:rPr>
          <w:rFonts w:ascii="Times New Roman" w:hAnsi="Times New Roman"/>
          <w:sz w:val="24"/>
          <w:szCs w:val="24"/>
        </w:rPr>
        <w:t>7</w:t>
      </w:r>
      <w:r w:rsidR="001A3DE7">
        <w:rPr>
          <w:rFonts w:ascii="Times New Roman" w:hAnsi="Times New Roman"/>
          <w:sz w:val="24"/>
          <w:szCs w:val="24"/>
        </w:rPr>
        <w:t>/2022</w:t>
      </w:r>
      <w:r w:rsidR="00444AFF">
        <w:rPr>
          <w:rFonts w:ascii="Times New Roman" w:hAnsi="Times New Roman"/>
          <w:sz w:val="24"/>
          <w:szCs w:val="24"/>
        </w:rPr>
        <w:t xml:space="preserve"> (“</w:t>
      </w:r>
      <w:r w:rsidR="00444AFF" w:rsidRPr="00444AFF">
        <w:rPr>
          <w:rFonts w:ascii="Times New Roman" w:hAnsi="Times New Roman"/>
          <w:sz w:val="24"/>
          <w:szCs w:val="24"/>
        </w:rPr>
        <w:t>Regulamenta a transação na cobrança de créditos da União e do FGTS</w:t>
      </w:r>
      <w:r w:rsidR="00444AFF">
        <w:rPr>
          <w:rFonts w:ascii="Times New Roman" w:hAnsi="Times New Roman"/>
          <w:sz w:val="24"/>
          <w:szCs w:val="24"/>
        </w:rPr>
        <w:t>”)</w:t>
      </w:r>
      <w:r w:rsidR="00D74A41">
        <w:rPr>
          <w:rFonts w:ascii="Times New Roman" w:hAnsi="Times New Roman"/>
          <w:sz w:val="24"/>
          <w:szCs w:val="24"/>
        </w:rPr>
        <w:t xml:space="preserve"> e pela Portaria RFB nº 208</w:t>
      </w:r>
      <w:r w:rsidR="001A3DE7">
        <w:rPr>
          <w:rFonts w:ascii="Times New Roman" w:hAnsi="Times New Roman"/>
          <w:sz w:val="24"/>
          <w:szCs w:val="24"/>
        </w:rPr>
        <w:t>/2022</w:t>
      </w:r>
      <w:r w:rsidR="00345FAF">
        <w:rPr>
          <w:rFonts w:ascii="Times New Roman" w:hAnsi="Times New Roman"/>
          <w:sz w:val="24"/>
          <w:szCs w:val="24"/>
        </w:rPr>
        <w:t xml:space="preserve"> (“</w:t>
      </w:r>
      <w:r w:rsidR="00345FAF" w:rsidRPr="00345FAF">
        <w:rPr>
          <w:rFonts w:ascii="Times New Roman" w:hAnsi="Times New Roman"/>
          <w:sz w:val="24"/>
          <w:szCs w:val="24"/>
        </w:rPr>
        <w:t>Regulamenta a transação de créditos tributários sob administração da Secretaria Especial da Receita Federal do Brasil</w:t>
      </w:r>
      <w:r w:rsidR="00345FAF">
        <w:rPr>
          <w:rFonts w:ascii="Times New Roman" w:hAnsi="Times New Roman"/>
          <w:sz w:val="24"/>
          <w:szCs w:val="24"/>
        </w:rPr>
        <w:t>”).</w:t>
      </w:r>
    </w:p>
    <w:p w14:paraId="33AD927A" w14:textId="7D45E566" w:rsidR="004404EF" w:rsidRPr="00284BBB" w:rsidRDefault="00CA51C6" w:rsidP="00EE07B3">
      <w:pPr>
        <w:spacing w:before="120" w:after="120" w:line="360" w:lineRule="auto"/>
        <w:ind w:right="-2" w:firstLine="851"/>
        <w:jc w:val="both"/>
        <w:rPr>
          <w:rFonts w:ascii="Times New Roman" w:hAnsi="Times New Roman"/>
          <w:color w:val="FF0000"/>
          <w:sz w:val="24"/>
          <w:szCs w:val="24"/>
        </w:rPr>
      </w:pPr>
      <w:r>
        <w:rPr>
          <w:rFonts w:ascii="Times New Roman" w:hAnsi="Times New Roman"/>
          <w:sz w:val="24"/>
          <w:szCs w:val="24"/>
        </w:rPr>
        <w:t xml:space="preserve">Os acordos se </w:t>
      </w:r>
      <w:r w:rsidR="00E673E6">
        <w:rPr>
          <w:rFonts w:ascii="Times New Roman" w:hAnsi="Times New Roman"/>
          <w:sz w:val="24"/>
          <w:szCs w:val="24"/>
        </w:rPr>
        <w:t>concretizam</w:t>
      </w:r>
      <w:r>
        <w:rPr>
          <w:rFonts w:ascii="Times New Roman" w:hAnsi="Times New Roman"/>
          <w:sz w:val="24"/>
          <w:szCs w:val="24"/>
        </w:rPr>
        <w:t xml:space="preserve"> por </w:t>
      </w:r>
      <w:r w:rsidR="004E3F5A">
        <w:rPr>
          <w:rFonts w:ascii="Times New Roman" w:hAnsi="Times New Roman"/>
          <w:sz w:val="24"/>
          <w:szCs w:val="24"/>
        </w:rPr>
        <w:t>duas</w:t>
      </w:r>
      <w:r>
        <w:rPr>
          <w:rFonts w:ascii="Times New Roman" w:hAnsi="Times New Roman"/>
          <w:sz w:val="24"/>
          <w:szCs w:val="24"/>
        </w:rPr>
        <w:t xml:space="preserve"> grandes </w:t>
      </w:r>
      <w:r w:rsidR="001C0E0D">
        <w:rPr>
          <w:rFonts w:ascii="Times New Roman" w:hAnsi="Times New Roman"/>
          <w:sz w:val="24"/>
          <w:szCs w:val="24"/>
        </w:rPr>
        <w:t xml:space="preserve">vias, a </w:t>
      </w:r>
      <w:r w:rsidR="001C0E0D">
        <w:rPr>
          <w:rFonts w:ascii="Times New Roman" w:hAnsi="Times New Roman"/>
          <w:i/>
          <w:iCs/>
          <w:sz w:val="24"/>
          <w:szCs w:val="24"/>
        </w:rPr>
        <w:t>transação por adesão</w:t>
      </w:r>
      <w:r w:rsidR="001C0E0D">
        <w:rPr>
          <w:rFonts w:ascii="Times New Roman" w:hAnsi="Times New Roman"/>
          <w:sz w:val="24"/>
          <w:szCs w:val="24"/>
        </w:rPr>
        <w:t xml:space="preserve"> e </w:t>
      </w:r>
      <w:r w:rsidR="001C0E0D">
        <w:rPr>
          <w:rFonts w:ascii="Times New Roman" w:hAnsi="Times New Roman"/>
          <w:i/>
          <w:iCs/>
          <w:sz w:val="24"/>
          <w:szCs w:val="24"/>
        </w:rPr>
        <w:t>transação individual</w:t>
      </w:r>
      <w:r w:rsidR="001C0E0D">
        <w:rPr>
          <w:rFonts w:ascii="Times New Roman" w:hAnsi="Times New Roman"/>
          <w:sz w:val="24"/>
          <w:szCs w:val="24"/>
        </w:rPr>
        <w:t>, tendo como grande trunfo</w:t>
      </w:r>
      <w:r w:rsidR="00E673E6">
        <w:rPr>
          <w:rFonts w:ascii="Times New Roman" w:hAnsi="Times New Roman"/>
          <w:sz w:val="24"/>
          <w:szCs w:val="24"/>
        </w:rPr>
        <w:t xml:space="preserve"> o desenvolvimento do </w:t>
      </w:r>
      <w:r w:rsidR="00E673E6">
        <w:rPr>
          <w:rFonts w:ascii="Times New Roman" w:hAnsi="Times New Roman"/>
          <w:i/>
          <w:iCs/>
          <w:sz w:val="24"/>
          <w:szCs w:val="24"/>
        </w:rPr>
        <w:t>rating do crédito</w:t>
      </w:r>
      <w:r w:rsidR="00B536BD">
        <w:rPr>
          <w:rFonts w:ascii="Times New Roman" w:hAnsi="Times New Roman"/>
          <w:sz w:val="24"/>
          <w:szCs w:val="24"/>
        </w:rPr>
        <w:t xml:space="preserve">, que possibilita a </w:t>
      </w:r>
      <w:r w:rsidR="00B536BD">
        <w:rPr>
          <w:rFonts w:ascii="Times New Roman" w:hAnsi="Times New Roman"/>
          <w:sz w:val="24"/>
          <w:szCs w:val="24"/>
        </w:rPr>
        <w:lastRenderedPageBreak/>
        <w:t>formatação de acordos diferenciados para contribuintes e créditos de diferentes</w:t>
      </w:r>
      <w:r w:rsidR="00C918A9">
        <w:rPr>
          <w:rFonts w:ascii="Times New Roman" w:hAnsi="Times New Roman"/>
          <w:sz w:val="24"/>
          <w:szCs w:val="24"/>
        </w:rPr>
        <w:t xml:space="preserve"> perfis, como os de difícil recuperação ou irrecuperáveis</w:t>
      </w:r>
      <w:r w:rsidR="001C140F">
        <w:rPr>
          <w:rFonts w:ascii="Times New Roman" w:hAnsi="Times New Roman"/>
          <w:sz w:val="24"/>
          <w:szCs w:val="24"/>
        </w:rPr>
        <w:t xml:space="preserve">, de pequeno valor e </w:t>
      </w:r>
      <w:r w:rsidR="008E6CF4">
        <w:rPr>
          <w:rFonts w:ascii="Times New Roman" w:hAnsi="Times New Roman"/>
          <w:sz w:val="24"/>
          <w:szCs w:val="24"/>
        </w:rPr>
        <w:t>mesmo</w:t>
      </w:r>
      <w:r w:rsidR="00155773">
        <w:rPr>
          <w:rFonts w:ascii="Times New Roman" w:hAnsi="Times New Roman"/>
          <w:sz w:val="24"/>
          <w:szCs w:val="24"/>
        </w:rPr>
        <w:t xml:space="preserve"> </w:t>
      </w:r>
      <w:r w:rsidR="001C140F">
        <w:rPr>
          <w:rFonts w:ascii="Times New Roman" w:hAnsi="Times New Roman"/>
          <w:sz w:val="24"/>
          <w:szCs w:val="24"/>
        </w:rPr>
        <w:t>por capacidade de pagamento</w:t>
      </w:r>
      <w:r w:rsidR="00D73F18">
        <w:rPr>
          <w:rFonts w:ascii="Times New Roman" w:hAnsi="Times New Roman"/>
          <w:sz w:val="24"/>
          <w:szCs w:val="24"/>
        </w:rPr>
        <w:t>, sem se descuidar da possibilidade de propostas individuais, mediante requisitos e condições específicas.</w:t>
      </w:r>
      <w:r w:rsidR="00284BBB">
        <w:rPr>
          <w:rFonts w:ascii="Times New Roman" w:hAnsi="Times New Roman"/>
          <w:sz w:val="24"/>
          <w:szCs w:val="24"/>
        </w:rPr>
        <w:t xml:space="preserve"> </w:t>
      </w:r>
    </w:p>
    <w:p w14:paraId="43C6A1B4" w14:textId="030EFD99" w:rsidR="00952A98" w:rsidRDefault="00952A98"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Conforme o último relatório do Núcleo de </w:t>
      </w:r>
      <w:r w:rsidR="0004435A">
        <w:rPr>
          <w:rFonts w:ascii="Times New Roman" w:hAnsi="Times New Roman"/>
          <w:sz w:val="24"/>
          <w:szCs w:val="24"/>
        </w:rPr>
        <w:t>Pesquisa em Tributação do INSPER</w:t>
      </w:r>
      <w:r w:rsidR="0004435A">
        <w:rPr>
          <w:rStyle w:val="Refdenotaderodap"/>
          <w:rFonts w:ascii="Times New Roman" w:hAnsi="Times New Roman"/>
          <w:sz w:val="24"/>
          <w:szCs w:val="24"/>
        </w:rPr>
        <w:footnoteReference w:id="45"/>
      </w:r>
      <w:r w:rsidR="0004435A">
        <w:rPr>
          <w:rFonts w:ascii="Times New Roman" w:hAnsi="Times New Roman"/>
          <w:sz w:val="24"/>
          <w:szCs w:val="24"/>
        </w:rPr>
        <w:t xml:space="preserve">, </w:t>
      </w:r>
      <w:r w:rsidR="00C011E9">
        <w:rPr>
          <w:rFonts w:ascii="Times New Roman" w:hAnsi="Times New Roman"/>
          <w:sz w:val="24"/>
          <w:szCs w:val="24"/>
        </w:rPr>
        <w:t xml:space="preserve">somente por meio </w:t>
      </w:r>
      <w:r w:rsidR="00C011E9" w:rsidRPr="00C011E9">
        <w:rPr>
          <w:rFonts w:ascii="Times New Roman" w:hAnsi="Times New Roman"/>
          <w:sz w:val="24"/>
          <w:szCs w:val="24"/>
        </w:rPr>
        <w:t>d</w:t>
      </w:r>
      <w:r w:rsidR="0027466D" w:rsidRPr="000A1749">
        <w:rPr>
          <w:rFonts w:ascii="Times New Roman" w:hAnsi="Times New Roman"/>
          <w:sz w:val="24"/>
          <w:szCs w:val="24"/>
        </w:rPr>
        <w:t>as transações por adesão</w:t>
      </w:r>
      <w:r w:rsidR="00C011E9">
        <w:rPr>
          <w:rFonts w:ascii="Times New Roman" w:hAnsi="Times New Roman"/>
          <w:sz w:val="24"/>
          <w:szCs w:val="24"/>
        </w:rPr>
        <w:t xml:space="preserve"> </w:t>
      </w:r>
      <w:r w:rsidR="000A1749">
        <w:rPr>
          <w:rFonts w:ascii="Times New Roman" w:hAnsi="Times New Roman"/>
          <w:sz w:val="24"/>
          <w:szCs w:val="24"/>
        </w:rPr>
        <w:t xml:space="preserve">foram </w:t>
      </w:r>
      <w:r w:rsidR="0027466D" w:rsidRPr="000A1749">
        <w:rPr>
          <w:rFonts w:ascii="Times New Roman" w:hAnsi="Times New Roman"/>
          <w:sz w:val="24"/>
          <w:szCs w:val="24"/>
        </w:rPr>
        <w:t xml:space="preserve">negociados </w:t>
      </w:r>
      <w:r w:rsidR="00F734F7">
        <w:rPr>
          <w:rFonts w:ascii="Times New Roman" w:hAnsi="Times New Roman"/>
          <w:sz w:val="24"/>
          <w:szCs w:val="24"/>
        </w:rPr>
        <w:t>mais</w:t>
      </w:r>
      <w:r w:rsidR="001E317C">
        <w:rPr>
          <w:rFonts w:ascii="Times New Roman" w:hAnsi="Times New Roman"/>
          <w:sz w:val="24"/>
          <w:szCs w:val="24"/>
        </w:rPr>
        <w:t xml:space="preserve"> de</w:t>
      </w:r>
      <w:r w:rsidR="00F734F7">
        <w:rPr>
          <w:rFonts w:ascii="Times New Roman" w:hAnsi="Times New Roman"/>
          <w:sz w:val="24"/>
          <w:szCs w:val="24"/>
        </w:rPr>
        <w:t xml:space="preserve"> </w:t>
      </w:r>
      <w:r w:rsidR="0027466D" w:rsidRPr="000A1749">
        <w:rPr>
          <w:rFonts w:ascii="Times New Roman" w:hAnsi="Times New Roman"/>
          <w:sz w:val="24"/>
          <w:szCs w:val="24"/>
        </w:rPr>
        <w:t>R$264</w:t>
      </w:r>
      <w:r w:rsidR="00F734F7">
        <w:rPr>
          <w:rFonts w:ascii="Times New Roman" w:hAnsi="Times New Roman"/>
          <w:sz w:val="24"/>
          <w:szCs w:val="24"/>
        </w:rPr>
        <w:t xml:space="preserve"> </w:t>
      </w:r>
      <w:r w:rsidR="001E317C">
        <w:rPr>
          <w:rFonts w:ascii="Times New Roman" w:hAnsi="Times New Roman"/>
          <w:sz w:val="24"/>
          <w:szCs w:val="24"/>
        </w:rPr>
        <w:t>bilhões</w:t>
      </w:r>
      <w:r w:rsidR="00F04253">
        <w:rPr>
          <w:rFonts w:ascii="Times New Roman" w:hAnsi="Times New Roman"/>
          <w:sz w:val="24"/>
          <w:szCs w:val="24"/>
        </w:rPr>
        <w:t>,</w:t>
      </w:r>
      <w:r w:rsidR="0027466D" w:rsidRPr="000A1749">
        <w:rPr>
          <w:rFonts w:ascii="Times New Roman" w:hAnsi="Times New Roman"/>
          <w:sz w:val="24"/>
          <w:szCs w:val="24"/>
        </w:rPr>
        <w:t xml:space="preserve"> em </w:t>
      </w:r>
      <w:r w:rsidR="00F734F7">
        <w:rPr>
          <w:rFonts w:ascii="Times New Roman" w:hAnsi="Times New Roman"/>
          <w:sz w:val="24"/>
          <w:szCs w:val="24"/>
        </w:rPr>
        <w:t xml:space="preserve">mais de 1 milhão  de </w:t>
      </w:r>
      <w:r w:rsidR="0027466D" w:rsidRPr="000A1749">
        <w:rPr>
          <w:rFonts w:ascii="Times New Roman" w:hAnsi="Times New Roman"/>
          <w:sz w:val="24"/>
          <w:szCs w:val="24"/>
        </w:rPr>
        <w:t>pact</w:t>
      </w:r>
      <w:r w:rsidR="00F04253">
        <w:rPr>
          <w:rFonts w:ascii="Times New Roman" w:hAnsi="Times New Roman"/>
          <w:sz w:val="24"/>
          <w:szCs w:val="24"/>
        </w:rPr>
        <w:t>os</w:t>
      </w:r>
      <w:r w:rsidR="0027466D" w:rsidRPr="000A1749">
        <w:rPr>
          <w:rFonts w:ascii="Times New Roman" w:hAnsi="Times New Roman"/>
          <w:sz w:val="24"/>
          <w:szCs w:val="24"/>
        </w:rPr>
        <w:t xml:space="preserve">, com valor total da dívida de </w:t>
      </w:r>
      <w:r w:rsidR="0066018D">
        <w:rPr>
          <w:rFonts w:ascii="Times New Roman" w:hAnsi="Times New Roman"/>
          <w:sz w:val="24"/>
          <w:szCs w:val="24"/>
        </w:rPr>
        <w:t xml:space="preserve">quase </w:t>
      </w:r>
      <w:r w:rsidR="0027466D" w:rsidRPr="000A1749">
        <w:rPr>
          <w:rFonts w:ascii="Times New Roman" w:hAnsi="Times New Roman"/>
          <w:sz w:val="24"/>
          <w:szCs w:val="24"/>
        </w:rPr>
        <w:t>R$17</w:t>
      </w:r>
      <w:r w:rsidR="0066018D">
        <w:rPr>
          <w:rFonts w:ascii="Times New Roman" w:hAnsi="Times New Roman"/>
          <w:sz w:val="24"/>
          <w:szCs w:val="24"/>
        </w:rPr>
        <w:t xml:space="preserve">5 </w:t>
      </w:r>
      <w:r w:rsidR="001E317C">
        <w:rPr>
          <w:rFonts w:ascii="Times New Roman" w:hAnsi="Times New Roman"/>
          <w:sz w:val="24"/>
          <w:szCs w:val="24"/>
        </w:rPr>
        <w:t>bilhões</w:t>
      </w:r>
      <w:r w:rsidR="00542B4F">
        <w:rPr>
          <w:rFonts w:ascii="Times New Roman" w:hAnsi="Times New Roman"/>
          <w:sz w:val="24"/>
          <w:szCs w:val="24"/>
        </w:rPr>
        <w:t>,</w:t>
      </w:r>
      <w:r w:rsidR="0027466D" w:rsidRPr="000A1749">
        <w:rPr>
          <w:rFonts w:ascii="Times New Roman" w:hAnsi="Times New Roman"/>
          <w:sz w:val="24"/>
          <w:szCs w:val="24"/>
        </w:rPr>
        <w:t xml:space="preserve"> após a aplicação dos descontos</w:t>
      </w:r>
      <w:r w:rsidR="00542B4F">
        <w:rPr>
          <w:rFonts w:ascii="Times New Roman" w:hAnsi="Times New Roman"/>
          <w:sz w:val="24"/>
          <w:szCs w:val="24"/>
        </w:rPr>
        <w:t xml:space="preserve"> e</w:t>
      </w:r>
      <w:r w:rsidR="0066018D">
        <w:rPr>
          <w:rFonts w:ascii="Times New Roman" w:hAnsi="Times New Roman"/>
          <w:sz w:val="24"/>
          <w:szCs w:val="24"/>
        </w:rPr>
        <w:t xml:space="preserve"> </w:t>
      </w:r>
      <w:r w:rsidR="0027466D" w:rsidRPr="000A1749">
        <w:rPr>
          <w:rFonts w:ascii="Times New Roman" w:hAnsi="Times New Roman"/>
          <w:sz w:val="24"/>
          <w:szCs w:val="24"/>
        </w:rPr>
        <w:t>valor arrecadado</w:t>
      </w:r>
      <w:r w:rsidR="0066018D">
        <w:rPr>
          <w:rFonts w:ascii="Times New Roman" w:hAnsi="Times New Roman"/>
          <w:sz w:val="24"/>
          <w:szCs w:val="24"/>
        </w:rPr>
        <w:t>,</w:t>
      </w:r>
      <w:r w:rsidR="0027466D" w:rsidRPr="000A1749">
        <w:rPr>
          <w:rFonts w:ascii="Times New Roman" w:hAnsi="Times New Roman"/>
          <w:sz w:val="24"/>
          <w:szCs w:val="24"/>
        </w:rPr>
        <w:t xml:space="preserve"> até </w:t>
      </w:r>
      <w:r w:rsidR="005B723D">
        <w:rPr>
          <w:rFonts w:ascii="Times New Roman" w:hAnsi="Times New Roman"/>
          <w:sz w:val="24"/>
          <w:szCs w:val="24"/>
        </w:rPr>
        <w:t>Julho</w:t>
      </w:r>
      <w:r w:rsidR="0027466D" w:rsidRPr="000A1749">
        <w:rPr>
          <w:rFonts w:ascii="Times New Roman" w:hAnsi="Times New Roman"/>
          <w:sz w:val="24"/>
          <w:szCs w:val="24"/>
        </w:rPr>
        <w:t>/2022</w:t>
      </w:r>
      <w:r w:rsidR="0066018D">
        <w:rPr>
          <w:rFonts w:ascii="Times New Roman" w:hAnsi="Times New Roman"/>
          <w:sz w:val="24"/>
          <w:szCs w:val="24"/>
        </w:rPr>
        <w:t>,</w:t>
      </w:r>
      <w:r w:rsidR="0027466D" w:rsidRPr="000A1749">
        <w:rPr>
          <w:rFonts w:ascii="Times New Roman" w:hAnsi="Times New Roman"/>
          <w:sz w:val="24"/>
          <w:szCs w:val="24"/>
        </w:rPr>
        <w:t xml:space="preserve"> de</w:t>
      </w:r>
      <w:r w:rsidR="0066018D">
        <w:rPr>
          <w:rFonts w:ascii="Times New Roman" w:hAnsi="Times New Roman"/>
          <w:sz w:val="24"/>
          <w:szCs w:val="24"/>
        </w:rPr>
        <w:t xml:space="preserve"> quase</w:t>
      </w:r>
      <w:r w:rsidR="0027466D" w:rsidRPr="000A1749">
        <w:rPr>
          <w:rFonts w:ascii="Times New Roman" w:hAnsi="Times New Roman"/>
          <w:sz w:val="24"/>
          <w:szCs w:val="24"/>
        </w:rPr>
        <w:t xml:space="preserve"> R$1</w:t>
      </w:r>
      <w:r w:rsidR="005B723D">
        <w:rPr>
          <w:rFonts w:ascii="Times New Roman" w:hAnsi="Times New Roman"/>
          <w:sz w:val="24"/>
          <w:szCs w:val="24"/>
        </w:rPr>
        <w:t>4</w:t>
      </w:r>
      <w:r w:rsidR="0066018D">
        <w:rPr>
          <w:rFonts w:ascii="Times New Roman" w:hAnsi="Times New Roman"/>
          <w:sz w:val="24"/>
          <w:szCs w:val="24"/>
        </w:rPr>
        <w:t xml:space="preserve"> </w:t>
      </w:r>
      <w:r w:rsidR="001E317C">
        <w:rPr>
          <w:rFonts w:ascii="Times New Roman" w:hAnsi="Times New Roman"/>
          <w:sz w:val="24"/>
          <w:szCs w:val="24"/>
        </w:rPr>
        <w:t>bilhões</w:t>
      </w:r>
      <w:r w:rsidR="00CB5BF5" w:rsidRPr="000A1749">
        <w:rPr>
          <w:rFonts w:ascii="Times New Roman" w:hAnsi="Times New Roman"/>
          <w:sz w:val="24"/>
          <w:szCs w:val="24"/>
        </w:rPr>
        <w:t>,</w:t>
      </w:r>
      <w:r w:rsidR="00CB5BF5">
        <w:rPr>
          <w:rFonts w:ascii="Times New Roman" w:hAnsi="Times New Roman"/>
          <w:sz w:val="24"/>
          <w:szCs w:val="24"/>
        </w:rPr>
        <w:t xml:space="preserve"> </w:t>
      </w:r>
      <w:r w:rsidR="00D43EF2">
        <w:rPr>
          <w:rFonts w:ascii="Times New Roman" w:hAnsi="Times New Roman"/>
          <w:sz w:val="24"/>
          <w:szCs w:val="24"/>
        </w:rPr>
        <w:t>tendo se estimado</w:t>
      </w:r>
      <w:r w:rsidR="002A7765">
        <w:rPr>
          <w:rFonts w:ascii="Times New Roman" w:hAnsi="Times New Roman"/>
          <w:sz w:val="24"/>
          <w:szCs w:val="24"/>
        </w:rPr>
        <w:t xml:space="preserve"> um desconto geral de</w:t>
      </w:r>
      <w:r w:rsidR="00D43EF2">
        <w:rPr>
          <w:rFonts w:ascii="Times New Roman" w:hAnsi="Times New Roman"/>
          <w:sz w:val="24"/>
          <w:szCs w:val="24"/>
        </w:rPr>
        <w:t xml:space="preserve"> 41%</w:t>
      </w:r>
      <w:r w:rsidR="001B2A22">
        <w:rPr>
          <w:rStyle w:val="Refdenotaderodap"/>
          <w:rFonts w:ascii="Times New Roman" w:hAnsi="Times New Roman"/>
          <w:sz w:val="24"/>
          <w:szCs w:val="24"/>
        </w:rPr>
        <w:footnoteReference w:id="46"/>
      </w:r>
      <w:r w:rsidR="002A7765">
        <w:rPr>
          <w:rFonts w:ascii="Times New Roman" w:hAnsi="Times New Roman"/>
          <w:sz w:val="24"/>
          <w:szCs w:val="24"/>
        </w:rPr>
        <w:t>.</w:t>
      </w:r>
    </w:p>
    <w:p w14:paraId="1BCD2AAB" w14:textId="1D25090A" w:rsidR="00131026" w:rsidRDefault="00B07E13" w:rsidP="001B2A22">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N</w:t>
      </w:r>
      <w:r w:rsidR="00D277C5">
        <w:rPr>
          <w:rFonts w:ascii="Times New Roman" w:hAnsi="Times New Roman"/>
          <w:sz w:val="24"/>
          <w:szCs w:val="24"/>
        </w:rPr>
        <w:t xml:space="preserve">este mesmo </w:t>
      </w:r>
      <w:r w:rsidR="00E42477">
        <w:rPr>
          <w:rFonts w:ascii="Times New Roman" w:hAnsi="Times New Roman"/>
          <w:sz w:val="24"/>
          <w:szCs w:val="24"/>
        </w:rPr>
        <w:t>r</w:t>
      </w:r>
      <w:r w:rsidR="00D277C5">
        <w:rPr>
          <w:rFonts w:ascii="Times New Roman" w:hAnsi="Times New Roman"/>
          <w:sz w:val="24"/>
          <w:szCs w:val="24"/>
        </w:rPr>
        <w:t xml:space="preserve">elatório, encontrou-se apenas 7 </w:t>
      </w:r>
      <w:r w:rsidR="007B0D22">
        <w:rPr>
          <w:rFonts w:ascii="Times New Roman" w:hAnsi="Times New Roman"/>
          <w:sz w:val="24"/>
          <w:szCs w:val="24"/>
        </w:rPr>
        <w:t>leis</w:t>
      </w:r>
      <w:r w:rsidR="00D277C5">
        <w:rPr>
          <w:rFonts w:ascii="Times New Roman" w:hAnsi="Times New Roman"/>
          <w:sz w:val="24"/>
          <w:szCs w:val="24"/>
        </w:rPr>
        <w:t xml:space="preserve"> </w:t>
      </w:r>
      <w:r w:rsidR="000F4757">
        <w:rPr>
          <w:rFonts w:ascii="Times New Roman" w:hAnsi="Times New Roman"/>
          <w:sz w:val="24"/>
          <w:szCs w:val="24"/>
        </w:rPr>
        <w:t>estaduais</w:t>
      </w:r>
      <w:r w:rsidR="00103772">
        <w:rPr>
          <w:rFonts w:ascii="Times New Roman" w:hAnsi="Times New Roman"/>
          <w:sz w:val="24"/>
          <w:szCs w:val="24"/>
        </w:rPr>
        <w:t xml:space="preserve"> sobre transação tributária</w:t>
      </w:r>
      <w:r w:rsidR="00C82CC3">
        <w:rPr>
          <w:rFonts w:ascii="Times New Roman" w:hAnsi="Times New Roman"/>
          <w:sz w:val="24"/>
          <w:szCs w:val="24"/>
        </w:rPr>
        <w:t xml:space="preserve">, </w:t>
      </w:r>
      <w:r w:rsidR="000F4757">
        <w:rPr>
          <w:rFonts w:ascii="Times New Roman" w:hAnsi="Times New Roman"/>
          <w:sz w:val="24"/>
          <w:szCs w:val="24"/>
        </w:rPr>
        <w:t>editadas após a vigência do CPC/2015</w:t>
      </w:r>
      <w:r w:rsidR="00103772">
        <w:rPr>
          <w:rFonts w:ascii="Times New Roman" w:hAnsi="Times New Roman"/>
          <w:sz w:val="24"/>
          <w:szCs w:val="24"/>
        </w:rPr>
        <w:t>.</w:t>
      </w:r>
      <w:r w:rsidR="00103772">
        <w:rPr>
          <w:rStyle w:val="Refdenotaderodap"/>
          <w:rFonts w:ascii="Times New Roman" w:hAnsi="Times New Roman"/>
          <w:sz w:val="24"/>
          <w:szCs w:val="24"/>
        </w:rPr>
        <w:footnoteReference w:id="47"/>
      </w:r>
      <w:r w:rsidR="001B2A22">
        <w:rPr>
          <w:rFonts w:ascii="Times New Roman" w:hAnsi="Times New Roman"/>
          <w:sz w:val="24"/>
          <w:szCs w:val="24"/>
        </w:rPr>
        <w:t xml:space="preserve"> </w:t>
      </w:r>
      <w:r w:rsidR="00131026">
        <w:rPr>
          <w:rFonts w:ascii="Times New Roman" w:hAnsi="Times New Roman"/>
          <w:sz w:val="24"/>
          <w:szCs w:val="24"/>
        </w:rPr>
        <w:t xml:space="preserve">Destaca-se o </w:t>
      </w:r>
      <w:r w:rsidR="002E6D72">
        <w:rPr>
          <w:rFonts w:ascii="Times New Roman" w:hAnsi="Times New Roman"/>
          <w:sz w:val="24"/>
          <w:szCs w:val="24"/>
        </w:rPr>
        <w:t>Estado de São Paulo, que regulamentou a transação por meio da Lei nº 13.293/2020 (</w:t>
      </w:r>
      <w:r w:rsidR="006A03D5">
        <w:rPr>
          <w:rFonts w:ascii="Times New Roman" w:hAnsi="Times New Roman"/>
          <w:sz w:val="24"/>
          <w:szCs w:val="24"/>
        </w:rPr>
        <w:t>e</w:t>
      </w:r>
      <w:r w:rsidR="002E6D72">
        <w:rPr>
          <w:rFonts w:ascii="Times New Roman" w:hAnsi="Times New Roman"/>
          <w:sz w:val="24"/>
          <w:szCs w:val="24"/>
        </w:rPr>
        <w:t xml:space="preserve"> da Portaria SUB CTF nº 20</w:t>
      </w:r>
      <w:r w:rsidR="007B0D22">
        <w:rPr>
          <w:rFonts w:ascii="Times New Roman" w:hAnsi="Times New Roman"/>
          <w:sz w:val="24"/>
          <w:szCs w:val="24"/>
        </w:rPr>
        <w:t>/2020</w:t>
      </w:r>
      <w:r w:rsidR="002E6D72">
        <w:rPr>
          <w:rFonts w:ascii="Times New Roman" w:hAnsi="Times New Roman"/>
          <w:sz w:val="24"/>
          <w:szCs w:val="24"/>
        </w:rPr>
        <w:t>)</w:t>
      </w:r>
      <w:r w:rsidR="00586F74">
        <w:rPr>
          <w:rFonts w:ascii="Times New Roman" w:hAnsi="Times New Roman"/>
          <w:sz w:val="24"/>
          <w:szCs w:val="24"/>
        </w:rPr>
        <w:t xml:space="preserve"> e estabeleceu critérios de mensuração da capacidade de pagamento diversos da União</w:t>
      </w:r>
      <w:r w:rsidR="00781826">
        <w:rPr>
          <w:rFonts w:ascii="Times New Roman" w:hAnsi="Times New Roman"/>
          <w:sz w:val="24"/>
          <w:szCs w:val="24"/>
        </w:rPr>
        <w:t xml:space="preserve">, o que </w:t>
      </w:r>
      <w:r w:rsidR="00E42477">
        <w:rPr>
          <w:rFonts w:ascii="Times New Roman" w:hAnsi="Times New Roman"/>
          <w:sz w:val="24"/>
          <w:szCs w:val="24"/>
        </w:rPr>
        <w:t xml:space="preserve">tem </w:t>
      </w:r>
      <w:r w:rsidR="00781826">
        <w:rPr>
          <w:rFonts w:ascii="Times New Roman" w:hAnsi="Times New Roman"/>
          <w:sz w:val="24"/>
          <w:szCs w:val="24"/>
        </w:rPr>
        <w:t>ger</w:t>
      </w:r>
      <w:r w:rsidR="00E42477">
        <w:rPr>
          <w:rFonts w:ascii="Times New Roman" w:hAnsi="Times New Roman"/>
          <w:sz w:val="24"/>
          <w:szCs w:val="24"/>
        </w:rPr>
        <w:t xml:space="preserve">ado </w:t>
      </w:r>
      <w:r w:rsidR="00781826">
        <w:rPr>
          <w:rFonts w:ascii="Times New Roman" w:hAnsi="Times New Roman"/>
          <w:sz w:val="24"/>
          <w:szCs w:val="24"/>
        </w:rPr>
        <w:t xml:space="preserve">debate a respeito </w:t>
      </w:r>
      <w:r w:rsidR="00EF48F2">
        <w:rPr>
          <w:rFonts w:ascii="Times New Roman" w:hAnsi="Times New Roman"/>
          <w:sz w:val="24"/>
          <w:szCs w:val="24"/>
        </w:rPr>
        <w:t>do uso de diferentes fórmulas</w:t>
      </w:r>
      <w:r w:rsidR="00B10381">
        <w:rPr>
          <w:rFonts w:ascii="Times New Roman" w:hAnsi="Times New Roman"/>
          <w:sz w:val="24"/>
          <w:szCs w:val="24"/>
        </w:rPr>
        <w:t xml:space="preserve"> pelos entes, com relação ao mesmo contribuinte.</w:t>
      </w:r>
      <w:r w:rsidR="00B10381">
        <w:rPr>
          <w:rStyle w:val="Refdenotaderodap"/>
          <w:rFonts w:ascii="Times New Roman" w:hAnsi="Times New Roman"/>
          <w:sz w:val="24"/>
          <w:szCs w:val="24"/>
        </w:rPr>
        <w:footnoteReference w:id="48"/>
      </w:r>
    </w:p>
    <w:p w14:paraId="28F4EBD5" w14:textId="17A84947" w:rsidR="00D06371" w:rsidRPr="003B1773" w:rsidRDefault="00D06371"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Sobre este ponto, restou consignado no </w:t>
      </w:r>
      <w:r w:rsidR="0055338B">
        <w:rPr>
          <w:rFonts w:ascii="Times New Roman" w:hAnsi="Times New Roman"/>
          <w:sz w:val="24"/>
          <w:szCs w:val="24"/>
        </w:rPr>
        <w:t xml:space="preserve">referido </w:t>
      </w:r>
      <w:r w:rsidR="00FD0A12">
        <w:rPr>
          <w:rFonts w:ascii="Times New Roman" w:hAnsi="Times New Roman"/>
          <w:sz w:val="24"/>
          <w:szCs w:val="24"/>
        </w:rPr>
        <w:t>r</w:t>
      </w:r>
      <w:r w:rsidR="0055338B">
        <w:rPr>
          <w:rFonts w:ascii="Times New Roman" w:hAnsi="Times New Roman"/>
          <w:sz w:val="24"/>
          <w:szCs w:val="24"/>
        </w:rPr>
        <w:t xml:space="preserve">elatório </w:t>
      </w:r>
      <w:r w:rsidR="00B474EE">
        <w:rPr>
          <w:rFonts w:ascii="Times New Roman" w:hAnsi="Times New Roman"/>
          <w:sz w:val="24"/>
          <w:szCs w:val="24"/>
        </w:rPr>
        <w:t xml:space="preserve">do INSPER </w:t>
      </w:r>
      <w:r w:rsidR="0055338B">
        <w:rPr>
          <w:rFonts w:ascii="Times New Roman" w:hAnsi="Times New Roman"/>
          <w:sz w:val="24"/>
          <w:szCs w:val="24"/>
        </w:rPr>
        <w:t>que</w:t>
      </w:r>
      <w:r w:rsidR="003B1773">
        <w:rPr>
          <w:rFonts w:ascii="Times New Roman" w:hAnsi="Times New Roman"/>
          <w:sz w:val="24"/>
          <w:szCs w:val="24"/>
        </w:rPr>
        <w:t xml:space="preserve"> o núcleo </w:t>
      </w:r>
      <w:r w:rsidR="003B1773" w:rsidRPr="003B1773">
        <w:rPr>
          <w:rFonts w:ascii="Times New Roman" w:hAnsi="Times New Roman"/>
          <w:sz w:val="24"/>
          <w:szCs w:val="24"/>
        </w:rPr>
        <w:t>“</w:t>
      </w:r>
      <w:r w:rsidR="0055338B" w:rsidRPr="003B1773">
        <w:rPr>
          <w:rFonts w:ascii="Times New Roman" w:hAnsi="Times New Roman"/>
          <w:sz w:val="24"/>
          <w:szCs w:val="24"/>
        </w:rPr>
        <w:t>passará a acompanhar as fórmulas apresentadas pelos diferentes entes públicos, sendo este apenas o primeiro ensaio sobre o tópico</w:t>
      </w:r>
      <w:r w:rsidR="008C00F2">
        <w:rPr>
          <w:rFonts w:ascii="Times New Roman" w:hAnsi="Times New Roman"/>
          <w:sz w:val="24"/>
          <w:szCs w:val="24"/>
        </w:rPr>
        <w:t>”, e ainda, que nos próximos relatórios</w:t>
      </w:r>
      <w:r w:rsidR="00474A6B">
        <w:rPr>
          <w:rFonts w:ascii="Times New Roman" w:hAnsi="Times New Roman"/>
          <w:sz w:val="24"/>
          <w:szCs w:val="24"/>
        </w:rPr>
        <w:t xml:space="preserve"> irão tentar </w:t>
      </w:r>
      <w:r w:rsidR="008C00F2">
        <w:rPr>
          <w:rFonts w:ascii="Times New Roman" w:hAnsi="Times New Roman"/>
          <w:sz w:val="24"/>
          <w:szCs w:val="24"/>
        </w:rPr>
        <w:t>“</w:t>
      </w:r>
      <w:r w:rsidR="0055338B" w:rsidRPr="003B1773">
        <w:rPr>
          <w:rFonts w:ascii="Times New Roman" w:hAnsi="Times New Roman"/>
          <w:sz w:val="24"/>
          <w:szCs w:val="24"/>
        </w:rPr>
        <w:t>simular a aplicação das diferentes fórmulas em contribuintes</w:t>
      </w:r>
      <w:r w:rsidR="00845E1E">
        <w:rPr>
          <w:rFonts w:ascii="Times New Roman" w:hAnsi="Times New Roman"/>
          <w:sz w:val="24"/>
          <w:szCs w:val="24"/>
        </w:rPr>
        <w:t>”</w:t>
      </w:r>
      <w:r w:rsidR="0055338B" w:rsidRPr="003B1773">
        <w:rPr>
          <w:rFonts w:ascii="Times New Roman" w:hAnsi="Times New Roman"/>
          <w:sz w:val="24"/>
          <w:szCs w:val="24"/>
        </w:rPr>
        <w:t xml:space="preserve">, </w:t>
      </w:r>
      <w:r w:rsidR="00845E1E">
        <w:rPr>
          <w:rFonts w:ascii="Times New Roman" w:hAnsi="Times New Roman"/>
          <w:sz w:val="24"/>
          <w:szCs w:val="24"/>
        </w:rPr>
        <w:t xml:space="preserve">além de </w:t>
      </w:r>
      <w:r w:rsidR="0055338B" w:rsidRPr="003B1773">
        <w:rPr>
          <w:rFonts w:ascii="Times New Roman" w:hAnsi="Times New Roman"/>
          <w:sz w:val="24"/>
          <w:szCs w:val="24"/>
        </w:rPr>
        <w:t xml:space="preserve">ouvir a iniciativa privada, em especial de instituições financeiras, que </w:t>
      </w:r>
      <w:r w:rsidR="00845E1E">
        <w:rPr>
          <w:rFonts w:ascii="Times New Roman" w:hAnsi="Times New Roman"/>
          <w:sz w:val="24"/>
          <w:szCs w:val="24"/>
        </w:rPr>
        <w:t>“</w:t>
      </w:r>
      <w:r w:rsidR="0055338B" w:rsidRPr="003B1773">
        <w:rPr>
          <w:rFonts w:ascii="Times New Roman" w:hAnsi="Times New Roman"/>
          <w:sz w:val="24"/>
          <w:szCs w:val="24"/>
        </w:rPr>
        <w:t>possuem bastante tempo de trato com a questão</w:t>
      </w:r>
      <w:r w:rsidR="008D7BCF">
        <w:rPr>
          <w:rFonts w:ascii="Times New Roman" w:hAnsi="Times New Roman"/>
          <w:sz w:val="24"/>
          <w:szCs w:val="24"/>
        </w:rPr>
        <w:t>,</w:t>
      </w:r>
      <w:r w:rsidR="0055338B" w:rsidRPr="003B1773">
        <w:rPr>
          <w:rFonts w:ascii="Times New Roman" w:hAnsi="Times New Roman"/>
          <w:sz w:val="24"/>
          <w:szCs w:val="24"/>
        </w:rPr>
        <w:t xml:space="preserve"> para que se possam fazer mais inferências sobre algo incipiente para as administrações tributárias nacionais.”</w:t>
      </w:r>
    </w:p>
    <w:p w14:paraId="164E4D6E" w14:textId="2C2DED30" w:rsidR="00F93CDF" w:rsidRDefault="004C00BD"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A transação tributária, portanto, evoluiu consideravelmente nos últimos anos, tanto em âmbito federal, como em âmbito estadual e municipal</w:t>
      </w:r>
      <w:r w:rsidR="000F4498">
        <w:rPr>
          <w:rFonts w:ascii="Times New Roman" w:hAnsi="Times New Roman"/>
          <w:sz w:val="24"/>
          <w:szCs w:val="24"/>
        </w:rPr>
        <w:t xml:space="preserve">, sendo tema </w:t>
      </w:r>
      <w:r w:rsidR="00231635">
        <w:rPr>
          <w:rFonts w:ascii="Times New Roman" w:hAnsi="Times New Roman"/>
          <w:sz w:val="24"/>
          <w:szCs w:val="24"/>
        </w:rPr>
        <w:t>dinâmico</w:t>
      </w:r>
      <w:r w:rsidR="00E604A5">
        <w:rPr>
          <w:rFonts w:ascii="Times New Roman" w:hAnsi="Times New Roman"/>
          <w:sz w:val="24"/>
          <w:szCs w:val="24"/>
        </w:rPr>
        <w:t xml:space="preserve"> cujas discussões vem </w:t>
      </w:r>
      <w:r w:rsidR="006D3103">
        <w:rPr>
          <w:rFonts w:ascii="Times New Roman" w:hAnsi="Times New Roman"/>
          <w:sz w:val="24"/>
          <w:szCs w:val="24"/>
        </w:rPr>
        <w:t xml:space="preserve">enriquecendo à medida que aumenta a experiência </w:t>
      </w:r>
      <w:r w:rsidR="00E15DA1">
        <w:rPr>
          <w:rFonts w:ascii="Times New Roman" w:hAnsi="Times New Roman"/>
          <w:sz w:val="24"/>
          <w:szCs w:val="24"/>
        </w:rPr>
        <w:t>dos entes públicos</w:t>
      </w:r>
      <w:r w:rsidR="00FD28B4">
        <w:rPr>
          <w:rFonts w:ascii="Times New Roman" w:hAnsi="Times New Roman"/>
          <w:sz w:val="24"/>
          <w:szCs w:val="24"/>
        </w:rPr>
        <w:t>.</w:t>
      </w:r>
    </w:p>
    <w:p w14:paraId="1C0C6399" w14:textId="6C7DA9CE" w:rsidR="00E3464B" w:rsidRDefault="008F7FF5"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A</w:t>
      </w:r>
      <w:r w:rsidR="00090D08">
        <w:rPr>
          <w:rFonts w:ascii="Times New Roman" w:hAnsi="Times New Roman"/>
          <w:sz w:val="24"/>
          <w:szCs w:val="24"/>
        </w:rPr>
        <w:t xml:space="preserve"> sua efetivação</w:t>
      </w:r>
      <w:r>
        <w:rPr>
          <w:rFonts w:ascii="Times New Roman" w:hAnsi="Times New Roman"/>
          <w:sz w:val="24"/>
          <w:szCs w:val="24"/>
        </w:rPr>
        <w:t xml:space="preserve">, </w:t>
      </w:r>
      <w:r w:rsidR="00720C41">
        <w:rPr>
          <w:rFonts w:ascii="Times New Roman" w:hAnsi="Times New Roman"/>
          <w:sz w:val="24"/>
          <w:szCs w:val="24"/>
        </w:rPr>
        <w:t>como dito</w:t>
      </w:r>
      <w:r>
        <w:rPr>
          <w:rFonts w:ascii="Times New Roman" w:hAnsi="Times New Roman"/>
          <w:sz w:val="24"/>
          <w:szCs w:val="24"/>
        </w:rPr>
        <w:t>,</w:t>
      </w:r>
      <w:r w:rsidR="00090D08">
        <w:rPr>
          <w:rFonts w:ascii="Times New Roman" w:hAnsi="Times New Roman"/>
          <w:sz w:val="24"/>
          <w:szCs w:val="24"/>
        </w:rPr>
        <w:t xml:space="preserve"> depende </w:t>
      </w:r>
      <w:r w:rsidR="00837284">
        <w:rPr>
          <w:rFonts w:ascii="Times New Roman" w:hAnsi="Times New Roman"/>
          <w:sz w:val="24"/>
          <w:szCs w:val="24"/>
        </w:rPr>
        <w:t xml:space="preserve">de aprovação de lei </w:t>
      </w:r>
      <w:r w:rsidR="007220DA">
        <w:rPr>
          <w:rFonts w:ascii="Times New Roman" w:hAnsi="Times New Roman"/>
          <w:sz w:val="24"/>
          <w:szCs w:val="24"/>
        </w:rPr>
        <w:t xml:space="preserve">autorizativa </w:t>
      </w:r>
      <w:r w:rsidR="00837284">
        <w:rPr>
          <w:rFonts w:ascii="Times New Roman" w:hAnsi="Times New Roman"/>
          <w:sz w:val="24"/>
          <w:szCs w:val="24"/>
        </w:rPr>
        <w:t>por cada ente tributante</w:t>
      </w:r>
      <w:r w:rsidR="00C125D9">
        <w:rPr>
          <w:rFonts w:ascii="Times New Roman" w:hAnsi="Times New Roman"/>
          <w:sz w:val="24"/>
          <w:szCs w:val="24"/>
        </w:rPr>
        <w:t xml:space="preserve">, </w:t>
      </w:r>
      <w:r w:rsidR="0039413B">
        <w:rPr>
          <w:rFonts w:ascii="Times New Roman" w:hAnsi="Times New Roman"/>
          <w:sz w:val="24"/>
          <w:szCs w:val="24"/>
        </w:rPr>
        <w:t xml:space="preserve">esforço que </w:t>
      </w:r>
      <w:r w:rsidR="00D9573D">
        <w:rPr>
          <w:rFonts w:ascii="Times New Roman" w:hAnsi="Times New Roman"/>
          <w:sz w:val="24"/>
          <w:szCs w:val="24"/>
        </w:rPr>
        <w:t xml:space="preserve">deve ser desempenhado pela Advocacia Pública, </w:t>
      </w:r>
      <w:r w:rsidR="00DD6916">
        <w:rPr>
          <w:rFonts w:ascii="Times New Roman" w:hAnsi="Times New Roman"/>
          <w:sz w:val="24"/>
          <w:szCs w:val="24"/>
        </w:rPr>
        <w:t>tanto no</w:t>
      </w:r>
      <w:r w:rsidR="00176DC7">
        <w:rPr>
          <w:rFonts w:ascii="Times New Roman" w:hAnsi="Times New Roman"/>
          <w:sz w:val="24"/>
          <w:szCs w:val="24"/>
        </w:rPr>
        <w:t xml:space="preserve"> </w:t>
      </w:r>
      <w:r w:rsidR="00241331">
        <w:rPr>
          <w:rFonts w:ascii="Times New Roman" w:hAnsi="Times New Roman"/>
          <w:sz w:val="24"/>
          <w:szCs w:val="24"/>
        </w:rPr>
        <w:t xml:space="preserve">convencimento institucional e político, </w:t>
      </w:r>
      <w:r w:rsidR="00DD6916">
        <w:rPr>
          <w:rFonts w:ascii="Times New Roman" w:hAnsi="Times New Roman"/>
          <w:sz w:val="24"/>
          <w:szCs w:val="24"/>
        </w:rPr>
        <w:t xml:space="preserve">como </w:t>
      </w:r>
      <w:r w:rsidR="00434797">
        <w:rPr>
          <w:rFonts w:ascii="Times New Roman" w:hAnsi="Times New Roman"/>
          <w:sz w:val="24"/>
          <w:szCs w:val="24"/>
        </w:rPr>
        <w:t xml:space="preserve">na construção legislativa, </w:t>
      </w:r>
      <w:r w:rsidR="004C3560">
        <w:rPr>
          <w:rFonts w:ascii="Times New Roman" w:hAnsi="Times New Roman"/>
          <w:sz w:val="24"/>
          <w:szCs w:val="24"/>
        </w:rPr>
        <w:t>de modo a garanti</w:t>
      </w:r>
      <w:r w:rsidR="00C63699">
        <w:rPr>
          <w:rFonts w:ascii="Times New Roman" w:hAnsi="Times New Roman"/>
          <w:sz w:val="24"/>
          <w:szCs w:val="24"/>
        </w:rPr>
        <w:t>r</w:t>
      </w:r>
      <w:r w:rsidR="004C3560">
        <w:rPr>
          <w:rFonts w:ascii="Times New Roman" w:hAnsi="Times New Roman"/>
          <w:sz w:val="24"/>
          <w:szCs w:val="24"/>
        </w:rPr>
        <w:t xml:space="preserve"> a constitucionalidade</w:t>
      </w:r>
      <w:r w:rsidR="009659AB">
        <w:rPr>
          <w:rFonts w:ascii="Times New Roman" w:hAnsi="Times New Roman"/>
          <w:sz w:val="24"/>
          <w:szCs w:val="24"/>
        </w:rPr>
        <w:t xml:space="preserve"> da norma</w:t>
      </w:r>
      <w:r w:rsidR="0026404E">
        <w:rPr>
          <w:rFonts w:ascii="Times New Roman" w:hAnsi="Times New Roman"/>
          <w:sz w:val="24"/>
          <w:szCs w:val="24"/>
        </w:rPr>
        <w:t>,</w:t>
      </w:r>
      <w:r w:rsidR="00545FDC">
        <w:rPr>
          <w:rFonts w:ascii="Times New Roman" w:hAnsi="Times New Roman"/>
          <w:sz w:val="24"/>
          <w:szCs w:val="24"/>
        </w:rPr>
        <w:t xml:space="preserve"> com a máxima eficiência do instrumento.</w:t>
      </w:r>
    </w:p>
    <w:p w14:paraId="53A824E2" w14:textId="136993E2" w:rsidR="00FD28B4" w:rsidRDefault="00FD28B4"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lastRenderedPageBreak/>
        <w:t>Para o presente trabalho, porém, o ponto mais importante é identificar o papel</w:t>
      </w:r>
      <w:r w:rsidR="003F3465">
        <w:rPr>
          <w:rFonts w:ascii="Times New Roman" w:hAnsi="Times New Roman"/>
          <w:sz w:val="24"/>
          <w:szCs w:val="24"/>
        </w:rPr>
        <w:t xml:space="preserve"> da transação tributária no </w:t>
      </w:r>
      <w:r w:rsidR="001E5C29">
        <w:rPr>
          <w:rFonts w:ascii="Times New Roman" w:hAnsi="Times New Roman"/>
          <w:sz w:val="24"/>
          <w:szCs w:val="24"/>
        </w:rPr>
        <w:t>modelo</w:t>
      </w:r>
      <w:r w:rsidR="003F3465">
        <w:rPr>
          <w:rFonts w:ascii="Times New Roman" w:hAnsi="Times New Roman"/>
          <w:sz w:val="24"/>
          <w:szCs w:val="24"/>
        </w:rPr>
        <w:t xml:space="preserve"> propost</w:t>
      </w:r>
      <w:r w:rsidR="009A0883">
        <w:rPr>
          <w:rFonts w:ascii="Times New Roman" w:hAnsi="Times New Roman"/>
          <w:sz w:val="24"/>
          <w:szCs w:val="24"/>
        </w:rPr>
        <w:t>o, que é o de desenvolver a consensualidade para a</w:t>
      </w:r>
      <w:r w:rsidR="00DA2309">
        <w:rPr>
          <w:rFonts w:ascii="Times New Roman" w:hAnsi="Times New Roman"/>
          <w:sz w:val="24"/>
          <w:szCs w:val="24"/>
        </w:rPr>
        <w:t xml:space="preserve">s situações de cobrança da </w:t>
      </w:r>
      <w:r w:rsidR="00FB21F4">
        <w:rPr>
          <w:rFonts w:ascii="Times New Roman" w:hAnsi="Times New Roman"/>
          <w:sz w:val="24"/>
          <w:szCs w:val="24"/>
        </w:rPr>
        <w:t>dí</w:t>
      </w:r>
      <w:r w:rsidR="00DA2309">
        <w:rPr>
          <w:rFonts w:ascii="Times New Roman" w:hAnsi="Times New Roman"/>
          <w:sz w:val="24"/>
          <w:szCs w:val="24"/>
        </w:rPr>
        <w:t xml:space="preserve">vida </w:t>
      </w:r>
      <w:r w:rsidR="00FB21F4">
        <w:rPr>
          <w:rFonts w:ascii="Times New Roman" w:hAnsi="Times New Roman"/>
          <w:sz w:val="24"/>
          <w:szCs w:val="24"/>
        </w:rPr>
        <w:t>a</w:t>
      </w:r>
      <w:r w:rsidR="00DA2309">
        <w:rPr>
          <w:rFonts w:ascii="Times New Roman" w:hAnsi="Times New Roman"/>
          <w:sz w:val="24"/>
          <w:szCs w:val="24"/>
        </w:rPr>
        <w:t>tiva,</w:t>
      </w:r>
      <w:r w:rsidR="00FB21F4">
        <w:rPr>
          <w:rFonts w:ascii="Times New Roman" w:hAnsi="Times New Roman"/>
          <w:sz w:val="24"/>
          <w:szCs w:val="24"/>
        </w:rPr>
        <w:t xml:space="preserve"> </w:t>
      </w:r>
      <w:r w:rsidR="00A20443">
        <w:rPr>
          <w:rFonts w:ascii="Times New Roman" w:hAnsi="Times New Roman"/>
          <w:sz w:val="24"/>
          <w:szCs w:val="24"/>
        </w:rPr>
        <w:t xml:space="preserve">estimulando a regularização, diminuindo o estoque </w:t>
      </w:r>
      <w:r w:rsidR="00431F18">
        <w:rPr>
          <w:rFonts w:ascii="Times New Roman" w:hAnsi="Times New Roman"/>
          <w:sz w:val="24"/>
          <w:szCs w:val="24"/>
        </w:rPr>
        <w:t>de ações tributárias (executivas ou antiexacionais) e potencializando a recuperação fiscal.</w:t>
      </w:r>
    </w:p>
    <w:p w14:paraId="48C64E01" w14:textId="10140EA5" w:rsidR="00721B6A" w:rsidRDefault="002A4DEA" w:rsidP="0020045E">
      <w:pPr>
        <w:spacing w:before="120" w:after="120" w:line="360" w:lineRule="auto"/>
        <w:ind w:right="-2" w:firstLine="851"/>
        <w:jc w:val="both"/>
        <w:rPr>
          <w:rFonts w:ascii="Times New Roman" w:hAnsi="Times New Roman" w:cs="Times New Roman"/>
          <w:sz w:val="24"/>
          <w:szCs w:val="24"/>
        </w:rPr>
      </w:pPr>
      <w:r w:rsidRPr="00E91222">
        <w:rPr>
          <w:rFonts w:ascii="Times New Roman" w:hAnsi="Times New Roman" w:cs="Times New Roman"/>
          <w:sz w:val="24"/>
          <w:szCs w:val="24"/>
        </w:rPr>
        <w:t xml:space="preserve">Desde a sua origem, o referido instituto tem </w:t>
      </w:r>
      <w:r w:rsidR="008D7C85">
        <w:rPr>
          <w:rFonts w:ascii="Times New Roman" w:hAnsi="Times New Roman" w:cs="Times New Roman"/>
          <w:sz w:val="24"/>
          <w:szCs w:val="24"/>
        </w:rPr>
        <w:t>a</w:t>
      </w:r>
      <w:r w:rsidRPr="00E91222">
        <w:rPr>
          <w:rFonts w:ascii="Times New Roman" w:hAnsi="Times New Roman" w:cs="Times New Roman"/>
          <w:sz w:val="24"/>
          <w:szCs w:val="24"/>
        </w:rPr>
        <w:t xml:space="preserve"> </w:t>
      </w:r>
      <w:r w:rsidR="00B813E2" w:rsidRPr="00E91222">
        <w:rPr>
          <w:rFonts w:ascii="Times New Roman" w:hAnsi="Times New Roman" w:cs="Times New Roman"/>
          <w:sz w:val="24"/>
          <w:szCs w:val="24"/>
        </w:rPr>
        <w:t>função de facilitar o pagamento do débito</w:t>
      </w:r>
      <w:r w:rsidR="000646AC" w:rsidRPr="00E91222">
        <w:rPr>
          <w:rFonts w:ascii="Times New Roman" w:hAnsi="Times New Roman" w:cs="Times New Roman"/>
          <w:sz w:val="24"/>
          <w:szCs w:val="24"/>
        </w:rPr>
        <w:t xml:space="preserve"> fiscal</w:t>
      </w:r>
      <w:r w:rsidR="008D7C85">
        <w:rPr>
          <w:rFonts w:ascii="Times New Roman" w:hAnsi="Times New Roman" w:cs="Times New Roman"/>
          <w:sz w:val="24"/>
          <w:szCs w:val="24"/>
        </w:rPr>
        <w:t xml:space="preserve"> e </w:t>
      </w:r>
      <w:r w:rsidR="0049232C">
        <w:rPr>
          <w:rFonts w:ascii="Times New Roman" w:hAnsi="Times New Roman" w:cs="Times New Roman"/>
          <w:sz w:val="24"/>
          <w:szCs w:val="24"/>
        </w:rPr>
        <w:t>su</w:t>
      </w:r>
      <w:r w:rsidR="008D7C85">
        <w:rPr>
          <w:rFonts w:ascii="Times New Roman" w:hAnsi="Times New Roman" w:cs="Times New Roman"/>
          <w:sz w:val="24"/>
          <w:szCs w:val="24"/>
        </w:rPr>
        <w:t>a</w:t>
      </w:r>
      <w:r w:rsidR="0049232C">
        <w:rPr>
          <w:rFonts w:ascii="Times New Roman" w:hAnsi="Times New Roman" w:cs="Times New Roman"/>
          <w:sz w:val="24"/>
          <w:szCs w:val="24"/>
        </w:rPr>
        <w:t xml:space="preserve"> consequente</w:t>
      </w:r>
      <w:r w:rsidR="008D7C85">
        <w:rPr>
          <w:rFonts w:ascii="Times New Roman" w:hAnsi="Times New Roman" w:cs="Times New Roman"/>
          <w:sz w:val="24"/>
          <w:szCs w:val="24"/>
        </w:rPr>
        <w:t xml:space="preserve"> extinção</w:t>
      </w:r>
      <w:r w:rsidR="004840EF" w:rsidRPr="00E91222">
        <w:rPr>
          <w:rFonts w:ascii="Times New Roman" w:hAnsi="Times New Roman" w:cs="Times New Roman"/>
          <w:sz w:val="24"/>
          <w:szCs w:val="24"/>
        </w:rPr>
        <w:t xml:space="preserve">, o que vem se consolidando </w:t>
      </w:r>
      <w:r w:rsidR="00D41017" w:rsidRPr="00E91222">
        <w:rPr>
          <w:rFonts w:ascii="Times New Roman" w:hAnsi="Times New Roman" w:cs="Times New Roman"/>
          <w:sz w:val="24"/>
          <w:szCs w:val="24"/>
        </w:rPr>
        <w:t>nesta recente evolução,</w:t>
      </w:r>
      <w:r w:rsidR="0049232C">
        <w:rPr>
          <w:rFonts w:ascii="Times New Roman" w:hAnsi="Times New Roman" w:cs="Times New Roman"/>
          <w:sz w:val="24"/>
          <w:szCs w:val="24"/>
        </w:rPr>
        <w:t xml:space="preserve"> sendo </w:t>
      </w:r>
      <w:r w:rsidR="00D41017" w:rsidRPr="00E91222">
        <w:rPr>
          <w:rFonts w:ascii="Times New Roman" w:hAnsi="Times New Roman" w:cs="Times New Roman"/>
          <w:sz w:val="24"/>
          <w:szCs w:val="24"/>
        </w:rPr>
        <w:t xml:space="preserve">pertinente que se mantenha </w:t>
      </w:r>
      <w:r w:rsidR="00917957" w:rsidRPr="00E91222">
        <w:rPr>
          <w:rFonts w:ascii="Times New Roman" w:hAnsi="Times New Roman" w:cs="Times New Roman"/>
          <w:sz w:val="24"/>
          <w:szCs w:val="24"/>
        </w:rPr>
        <w:t>o uso d</w:t>
      </w:r>
      <w:r w:rsidR="00D41017" w:rsidRPr="00E91222">
        <w:rPr>
          <w:rFonts w:ascii="Times New Roman" w:hAnsi="Times New Roman" w:cs="Times New Roman"/>
          <w:sz w:val="24"/>
          <w:szCs w:val="24"/>
        </w:rPr>
        <w:t xml:space="preserve">a ferramenta </w:t>
      </w:r>
      <w:r w:rsidR="00A00F17" w:rsidRPr="00E91222">
        <w:rPr>
          <w:rFonts w:ascii="Times New Roman" w:hAnsi="Times New Roman" w:cs="Times New Roman"/>
          <w:sz w:val="24"/>
          <w:szCs w:val="24"/>
        </w:rPr>
        <w:t>para esta finalidade, criando-se estrutura</w:t>
      </w:r>
      <w:r w:rsidR="001F1682" w:rsidRPr="00E91222">
        <w:rPr>
          <w:rFonts w:ascii="Times New Roman" w:hAnsi="Times New Roman" w:cs="Times New Roman"/>
          <w:sz w:val="24"/>
          <w:szCs w:val="24"/>
        </w:rPr>
        <w:t xml:space="preserve"> diversa de </w:t>
      </w:r>
      <w:r w:rsidR="00AA2931" w:rsidRPr="00E91222">
        <w:rPr>
          <w:rFonts w:ascii="Times New Roman" w:hAnsi="Times New Roman" w:cs="Times New Roman"/>
          <w:sz w:val="24"/>
          <w:szCs w:val="24"/>
        </w:rPr>
        <w:t>consen</w:t>
      </w:r>
      <w:r w:rsidR="00F5682F" w:rsidRPr="00E91222">
        <w:rPr>
          <w:rFonts w:ascii="Times New Roman" w:hAnsi="Times New Roman" w:cs="Times New Roman"/>
          <w:sz w:val="24"/>
          <w:szCs w:val="24"/>
        </w:rPr>
        <w:t>sualidade para conflitos tributários com</w:t>
      </w:r>
      <w:r w:rsidR="00A75C6B">
        <w:rPr>
          <w:rFonts w:ascii="Times New Roman" w:hAnsi="Times New Roman" w:cs="Times New Roman"/>
          <w:sz w:val="24"/>
          <w:szCs w:val="24"/>
        </w:rPr>
        <w:t xml:space="preserve"> outro</w:t>
      </w:r>
      <w:r w:rsidR="00F5682F" w:rsidRPr="00E91222">
        <w:rPr>
          <w:rFonts w:ascii="Times New Roman" w:hAnsi="Times New Roman" w:cs="Times New Roman"/>
          <w:sz w:val="24"/>
          <w:szCs w:val="24"/>
        </w:rPr>
        <w:t xml:space="preserve"> perfil, o que </w:t>
      </w:r>
      <w:r w:rsidR="00A75C6B">
        <w:rPr>
          <w:rFonts w:ascii="Times New Roman" w:hAnsi="Times New Roman" w:cs="Times New Roman"/>
          <w:sz w:val="24"/>
          <w:szCs w:val="24"/>
        </w:rPr>
        <w:t xml:space="preserve">será </w:t>
      </w:r>
      <w:r w:rsidR="00516ADA">
        <w:rPr>
          <w:rFonts w:ascii="Times New Roman" w:hAnsi="Times New Roman" w:cs="Times New Roman"/>
          <w:sz w:val="24"/>
          <w:szCs w:val="24"/>
        </w:rPr>
        <w:t>demonstra</w:t>
      </w:r>
      <w:r w:rsidR="00A75C6B">
        <w:rPr>
          <w:rFonts w:ascii="Times New Roman" w:hAnsi="Times New Roman" w:cs="Times New Roman"/>
          <w:sz w:val="24"/>
          <w:szCs w:val="24"/>
        </w:rPr>
        <w:t>do</w:t>
      </w:r>
      <w:r w:rsidR="00F5682F" w:rsidRPr="00E91222">
        <w:rPr>
          <w:rFonts w:ascii="Times New Roman" w:hAnsi="Times New Roman" w:cs="Times New Roman"/>
          <w:sz w:val="24"/>
          <w:szCs w:val="24"/>
        </w:rPr>
        <w:t xml:space="preserve"> a seguir.</w:t>
      </w:r>
    </w:p>
    <w:p w14:paraId="15B1BDE8" w14:textId="77777777" w:rsidR="0020045E" w:rsidRDefault="0020045E" w:rsidP="0020045E">
      <w:pPr>
        <w:spacing w:before="120" w:after="120" w:line="360" w:lineRule="auto"/>
        <w:ind w:right="-2" w:firstLine="851"/>
        <w:jc w:val="both"/>
        <w:rPr>
          <w:rFonts w:ascii="Times New Roman" w:hAnsi="Times New Roman" w:cs="Times New Roman"/>
          <w:sz w:val="24"/>
          <w:szCs w:val="24"/>
        </w:rPr>
      </w:pPr>
    </w:p>
    <w:p w14:paraId="2A7833DC" w14:textId="7F157681" w:rsidR="00E30842" w:rsidRPr="00721B6A" w:rsidRDefault="00721B6A" w:rsidP="00EE07B3">
      <w:pPr>
        <w:spacing w:before="120" w:after="120" w:line="360" w:lineRule="auto"/>
        <w:ind w:right="-2" w:firstLine="851"/>
        <w:jc w:val="both"/>
        <w:rPr>
          <w:rFonts w:ascii="Times New Roman" w:hAnsi="Times New Roman" w:cs="Times New Roman"/>
          <w:sz w:val="24"/>
          <w:szCs w:val="24"/>
        </w:rPr>
      </w:pPr>
      <w:r w:rsidRPr="00721B6A">
        <w:rPr>
          <w:rFonts w:ascii="Times New Roman" w:hAnsi="Times New Roman" w:cs="Times New Roman"/>
          <w:b/>
          <w:bCs/>
          <w:sz w:val="24"/>
          <w:szCs w:val="24"/>
        </w:rPr>
        <w:t xml:space="preserve">4.2. </w:t>
      </w:r>
      <w:r w:rsidR="009B7D11" w:rsidRPr="00721B6A">
        <w:rPr>
          <w:rFonts w:ascii="Times New Roman" w:hAnsi="Times New Roman" w:cs="Times New Roman"/>
          <w:b/>
          <w:bCs/>
          <w:sz w:val="24"/>
          <w:szCs w:val="24"/>
        </w:rPr>
        <w:t>DA AUTOCOMPOSIÇÃO EM MATÉRIA FISCAL</w:t>
      </w:r>
    </w:p>
    <w:p w14:paraId="4DBEE504" w14:textId="30BD1462" w:rsidR="00B80A15" w:rsidRPr="00FC63E3" w:rsidRDefault="0080487C" w:rsidP="00EE07B3">
      <w:pPr>
        <w:spacing w:before="120" w:after="120" w:line="360" w:lineRule="auto"/>
        <w:ind w:right="-2" w:firstLine="851"/>
        <w:jc w:val="both"/>
        <w:rPr>
          <w:rFonts w:ascii="Times New Roman" w:hAnsi="Times New Roman"/>
          <w:sz w:val="24"/>
          <w:szCs w:val="24"/>
        </w:rPr>
      </w:pPr>
      <w:r w:rsidRPr="005E7063">
        <w:rPr>
          <w:rFonts w:ascii="Times New Roman" w:hAnsi="Times New Roman"/>
          <w:sz w:val="24"/>
          <w:szCs w:val="24"/>
        </w:rPr>
        <w:t xml:space="preserve">A autocomposição é </w:t>
      </w:r>
      <w:r w:rsidR="00072956" w:rsidRPr="00FC63E3">
        <w:rPr>
          <w:rFonts w:ascii="Times New Roman" w:hAnsi="Times New Roman"/>
          <w:sz w:val="24"/>
          <w:szCs w:val="24"/>
        </w:rPr>
        <w:t>"a forma de solução de conflitos em que as partes, por si mesmas ou por intermédio de seus representantes, acordam, pondo fim à controvérsia"</w:t>
      </w:r>
      <w:r w:rsidR="00B80A15" w:rsidRPr="00FC63E3">
        <w:rPr>
          <w:rFonts w:ascii="Times New Roman" w:hAnsi="Times New Roman"/>
          <w:sz w:val="24"/>
          <w:szCs w:val="24"/>
        </w:rPr>
        <w:t>.</w:t>
      </w:r>
      <w:r w:rsidR="00072956" w:rsidRPr="00FC63E3">
        <w:rPr>
          <w:rStyle w:val="Refdenotaderodap"/>
          <w:rFonts w:ascii="Times New Roman" w:hAnsi="Times New Roman"/>
          <w:sz w:val="24"/>
          <w:szCs w:val="24"/>
        </w:rPr>
        <w:footnoteReference w:id="49"/>
      </w:r>
      <w:r w:rsidR="00072956" w:rsidRPr="00FC63E3">
        <w:rPr>
          <w:rFonts w:ascii="Times New Roman" w:hAnsi="Times New Roman"/>
          <w:sz w:val="24"/>
          <w:szCs w:val="24"/>
        </w:rPr>
        <w:t xml:space="preserve"> </w:t>
      </w:r>
    </w:p>
    <w:p w14:paraId="4C2C31A6" w14:textId="7AE412D2" w:rsidR="005E7063" w:rsidRDefault="00B80A15"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Trata-se de gênero, que comporta diferentes classificações, </w:t>
      </w:r>
      <w:r w:rsidR="000B27E9">
        <w:rPr>
          <w:rFonts w:ascii="Times New Roman" w:hAnsi="Times New Roman"/>
          <w:sz w:val="24"/>
          <w:szCs w:val="24"/>
        </w:rPr>
        <w:t xml:space="preserve">por técnicas, </w:t>
      </w:r>
      <w:r>
        <w:rPr>
          <w:rFonts w:ascii="Times New Roman" w:hAnsi="Times New Roman"/>
          <w:sz w:val="24"/>
          <w:szCs w:val="24"/>
        </w:rPr>
        <w:t xml:space="preserve">conforme </w:t>
      </w:r>
      <w:r w:rsidR="00AB3A15" w:rsidRPr="005E7063">
        <w:rPr>
          <w:rFonts w:ascii="Times New Roman" w:hAnsi="Times New Roman"/>
          <w:sz w:val="24"/>
          <w:szCs w:val="24"/>
        </w:rPr>
        <w:t xml:space="preserve">haja </w:t>
      </w:r>
      <w:r w:rsidR="00AB3A15" w:rsidRPr="005676B1">
        <w:rPr>
          <w:rFonts w:ascii="Times New Roman" w:hAnsi="Times New Roman"/>
          <w:sz w:val="24"/>
          <w:szCs w:val="24"/>
        </w:rPr>
        <w:t>(conciliação e mediação) ou não (</w:t>
      </w:r>
      <w:r w:rsidR="004B7CC2" w:rsidRPr="005676B1">
        <w:rPr>
          <w:rFonts w:ascii="Times New Roman" w:hAnsi="Times New Roman"/>
          <w:sz w:val="24"/>
          <w:szCs w:val="24"/>
        </w:rPr>
        <w:t>negociação)</w:t>
      </w:r>
      <w:r w:rsidR="004B7CC2" w:rsidRPr="005E7063">
        <w:rPr>
          <w:rFonts w:ascii="Times New Roman" w:hAnsi="Times New Roman"/>
          <w:sz w:val="24"/>
          <w:szCs w:val="24"/>
        </w:rPr>
        <w:t xml:space="preserve"> </w:t>
      </w:r>
      <w:r w:rsidR="00C32784" w:rsidRPr="005E7063">
        <w:rPr>
          <w:rFonts w:ascii="Times New Roman" w:hAnsi="Times New Roman"/>
          <w:sz w:val="24"/>
          <w:szCs w:val="24"/>
        </w:rPr>
        <w:t xml:space="preserve">o </w:t>
      </w:r>
      <w:r w:rsidR="004B7CC2" w:rsidRPr="005E7063">
        <w:rPr>
          <w:rFonts w:ascii="Times New Roman" w:hAnsi="Times New Roman"/>
          <w:sz w:val="24"/>
          <w:szCs w:val="24"/>
        </w:rPr>
        <w:t>auxílio de um terceiro imparcial</w:t>
      </w:r>
      <w:r w:rsidR="007616A7">
        <w:rPr>
          <w:rFonts w:ascii="Times New Roman" w:hAnsi="Times New Roman"/>
          <w:sz w:val="24"/>
          <w:szCs w:val="24"/>
        </w:rPr>
        <w:t xml:space="preserve"> </w:t>
      </w:r>
      <w:r w:rsidR="00AE7806">
        <w:rPr>
          <w:rFonts w:ascii="Times New Roman" w:hAnsi="Times New Roman"/>
          <w:sz w:val="24"/>
          <w:szCs w:val="24"/>
        </w:rPr>
        <w:t xml:space="preserve">por exemplo, ou mesmo </w:t>
      </w:r>
      <w:r w:rsidR="00A272AA">
        <w:rPr>
          <w:rFonts w:ascii="Times New Roman" w:hAnsi="Times New Roman"/>
          <w:sz w:val="24"/>
          <w:szCs w:val="24"/>
        </w:rPr>
        <w:t>quanto à forma de conclusão, em que é possível</w:t>
      </w:r>
      <w:r w:rsidR="005521F1">
        <w:rPr>
          <w:rFonts w:ascii="Times New Roman" w:hAnsi="Times New Roman"/>
          <w:sz w:val="24"/>
          <w:szCs w:val="24"/>
        </w:rPr>
        <w:t xml:space="preserve"> mencionar a </w:t>
      </w:r>
      <w:r w:rsidR="00DE1948" w:rsidRPr="006E6D2A">
        <w:rPr>
          <w:rFonts w:ascii="Times New Roman" w:hAnsi="Times New Roman"/>
          <w:i/>
          <w:iCs/>
          <w:sz w:val="24"/>
          <w:szCs w:val="24"/>
        </w:rPr>
        <w:t>aceitação</w:t>
      </w:r>
      <w:r w:rsidR="00DE1948" w:rsidRPr="005676B1">
        <w:rPr>
          <w:rFonts w:ascii="Times New Roman" w:hAnsi="Times New Roman"/>
          <w:sz w:val="24"/>
          <w:szCs w:val="24"/>
        </w:rPr>
        <w:t>,</w:t>
      </w:r>
      <w:r w:rsidR="005521F1" w:rsidRPr="005676B1">
        <w:rPr>
          <w:rFonts w:ascii="Times New Roman" w:hAnsi="Times New Roman"/>
          <w:sz w:val="24"/>
          <w:szCs w:val="24"/>
        </w:rPr>
        <w:t xml:space="preserve"> a</w:t>
      </w:r>
      <w:r w:rsidR="00DE1948" w:rsidRPr="005676B1">
        <w:rPr>
          <w:rFonts w:ascii="Times New Roman" w:hAnsi="Times New Roman"/>
          <w:sz w:val="24"/>
          <w:szCs w:val="24"/>
        </w:rPr>
        <w:t xml:space="preserve"> </w:t>
      </w:r>
      <w:r w:rsidR="00DE1948" w:rsidRPr="006E6D2A">
        <w:rPr>
          <w:rFonts w:ascii="Times New Roman" w:hAnsi="Times New Roman"/>
          <w:i/>
          <w:iCs/>
          <w:sz w:val="24"/>
          <w:szCs w:val="24"/>
        </w:rPr>
        <w:t>renúncia</w:t>
      </w:r>
      <w:r w:rsidR="00B0120A" w:rsidRPr="005676B1">
        <w:rPr>
          <w:rFonts w:ascii="Times New Roman" w:hAnsi="Times New Roman"/>
          <w:sz w:val="24"/>
          <w:szCs w:val="24"/>
        </w:rPr>
        <w:t xml:space="preserve"> </w:t>
      </w:r>
      <w:r w:rsidR="005521F1" w:rsidRPr="005676B1">
        <w:rPr>
          <w:rFonts w:ascii="Times New Roman" w:hAnsi="Times New Roman"/>
          <w:sz w:val="24"/>
          <w:szCs w:val="24"/>
        </w:rPr>
        <w:t xml:space="preserve">e a </w:t>
      </w:r>
      <w:r w:rsidR="00B0120A" w:rsidRPr="006E6D2A">
        <w:rPr>
          <w:rFonts w:ascii="Times New Roman" w:hAnsi="Times New Roman"/>
          <w:i/>
          <w:iCs/>
          <w:sz w:val="24"/>
          <w:szCs w:val="24"/>
        </w:rPr>
        <w:t>transação</w:t>
      </w:r>
      <w:r w:rsidR="00304772" w:rsidRPr="005676B1">
        <w:rPr>
          <w:rFonts w:ascii="Times New Roman" w:hAnsi="Times New Roman"/>
          <w:sz w:val="24"/>
          <w:szCs w:val="24"/>
        </w:rPr>
        <w:t xml:space="preserve">, </w:t>
      </w:r>
      <w:r w:rsidR="00304772">
        <w:rPr>
          <w:rFonts w:ascii="Times New Roman" w:hAnsi="Times New Roman"/>
          <w:sz w:val="24"/>
          <w:szCs w:val="24"/>
        </w:rPr>
        <w:t xml:space="preserve">sendo esta </w:t>
      </w:r>
      <w:r w:rsidR="005521F1">
        <w:rPr>
          <w:rFonts w:ascii="Times New Roman" w:hAnsi="Times New Roman"/>
          <w:sz w:val="24"/>
          <w:szCs w:val="24"/>
        </w:rPr>
        <w:t xml:space="preserve">última </w:t>
      </w:r>
      <w:r w:rsidR="00304772">
        <w:rPr>
          <w:rFonts w:ascii="Times New Roman" w:hAnsi="Times New Roman"/>
          <w:sz w:val="24"/>
          <w:szCs w:val="24"/>
        </w:rPr>
        <w:t>caracterizada p</w:t>
      </w:r>
      <w:r w:rsidR="00304BCD">
        <w:rPr>
          <w:rFonts w:ascii="Times New Roman" w:hAnsi="Times New Roman"/>
          <w:sz w:val="24"/>
          <w:szCs w:val="24"/>
        </w:rPr>
        <w:t xml:space="preserve">ela realização de </w:t>
      </w:r>
      <w:r w:rsidR="00304772">
        <w:rPr>
          <w:rFonts w:ascii="Times New Roman" w:hAnsi="Times New Roman"/>
          <w:sz w:val="24"/>
          <w:szCs w:val="24"/>
        </w:rPr>
        <w:t>concessões mútuas</w:t>
      </w:r>
      <w:r w:rsidR="00F41200">
        <w:rPr>
          <w:rFonts w:ascii="Times New Roman" w:hAnsi="Times New Roman"/>
          <w:sz w:val="24"/>
          <w:szCs w:val="24"/>
        </w:rPr>
        <w:t xml:space="preserve"> </w:t>
      </w:r>
      <w:r w:rsidR="00065970">
        <w:rPr>
          <w:rFonts w:ascii="Times New Roman" w:hAnsi="Times New Roman"/>
          <w:sz w:val="24"/>
          <w:szCs w:val="24"/>
        </w:rPr>
        <w:t>pelas</w:t>
      </w:r>
      <w:r w:rsidR="00F41200">
        <w:rPr>
          <w:rFonts w:ascii="Times New Roman" w:hAnsi="Times New Roman"/>
          <w:sz w:val="24"/>
          <w:szCs w:val="24"/>
        </w:rPr>
        <w:t xml:space="preserve"> partes</w:t>
      </w:r>
      <w:r w:rsidR="004F10BA">
        <w:rPr>
          <w:rFonts w:ascii="Times New Roman" w:hAnsi="Times New Roman"/>
          <w:sz w:val="24"/>
          <w:szCs w:val="24"/>
        </w:rPr>
        <w:t>.</w:t>
      </w:r>
    </w:p>
    <w:p w14:paraId="686AD6EF" w14:textId="13FEAEE3" w:rsidR="004F10BA" w:rsidRDefault="009878A4"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Portanto, o</w:t>
      </w:r>
      <w:r w:rsidR="00C4479D">
        <w:rPr>
          <w:rFonts w:ascii="Times New Roman" w:hAnsi="Times New Roman"/>
          <w:sz w:val="24"/>
          <w:szCs w:val="24"/>
        </w:rPr>
        <w:t xml:space="preserve"> termo </w:t>
      </w:r>
      <w:r w:rsidR="00C4479D" w:rsidRPr="009878A4">
        <w:rPr>
          <w:rFonts w:ascii="Times New Roman" w:hAnsi="Times New Roman"/>
          <w:i/>
          <w:iCs/>
          <w:sz w:val="24"/>
          <w:szCs w:val="24"/>
        </w:rPr>
        <w:t>transação</w:t>
      </w:r>
      <w:r w:rsidR="00C4479D">
        <w:rPr>
          <w:rFonts w:ascii="Times New Roman" w:hAnsi="Times New Roman"/>
          <w:sz w:val="24"/>
          <w:szCs w:val="24"/>
        </w:rPr>
        <w:t xml:space="preserve">, </w:t>
      </w:r>
      <w:r w:rsidR="005C4B77">
        <w:rPr>
          <w:rFonts w:ascii="Times New Roman" w:hAnsi="Times New Roman"/>
          <w:sz w:val="24"/>
          <w:szCs w:val="24"/>
        </w:rPr>
        <w:t>em seu sentido amplo</w:t>
      </w:r>
      <w:r w:rsidR="00C4479D">
        <w:rPr>
          <w:rFonts w:ascii="Times New Roman" w:hAnsi="Times New Roman"/>
          <w:sz w:val="24"/>
          <w:szCs w:val="24"/>
        </w:rPr>
        <w:t xml:space="preserve">, diz respeito a um acordo em que se verifica a </w:t>
      </w:r>
      <w:r>
        <w:rPr>
          <w:rFonts w:ascii="Times New Roman" w:hAnsi="Times New Roman"/>
          <w:sz w:val="24"/>
          <w:szCs w:val="24"/>
        </w:rPr>
        <w:t xml:space="preserve">existência de </w:t>
      </w:r>
      <w:r w:rsidR="00C4479D">
        <w:rPr>
          <w:rFonts w:ascii="Times New Roman" w:hAnsi="Times New Roman"/>
          <w:sz w:val="24"/>
          <w:szCs w:val="24"/>
        </w:rPr>
        <w:t>concess</w:t>
      </w:r>
      <w:r>
        <w:rPr>
          <w:rFonts w:ascii="Times New Roman" w:hAnsi="Times New Roman"/>
          <w:sz w:val="24"/>
          <w:szCs w:val="24"/>
        </w:rPr>
        <w:t>ões</w:t>
      </w:r>
      <w:r w:rsidR="005C4B77">
        <w:rPr>
          <w:rFonts w:ascii="Times New Roman" w:hAnsi="Times New Roman"/>
          <w:sz w:val="24"/>
          <w:szCs w:val="24"/>
        </w:rPr>
        <w:t xml:space="preserve"> </w:t>
      </w:r>
      <w:r w:rsidR="00C4479D">
        <w:rPr>
          <w:rFonts w:ascii="Times New Roman" w:hAnsi="Times New Roman"/>
          <w:sz w:val="24"/>
          <w:szCs w:val="24"/>
        </w:rPr>
        <w:t>recíproca</w:t>
      </w:r>
      <w:r w:rsidR="005C4B77">
        <w:rPr>
          <w:rFonts w:ascii="Times New Roman" w:hAnsi="Times New Roman"/>
          <w:sz w:val="24"/>
          <w:szCs w:val="24"/>
        </w:rPr>
        <w:t>s entre as partes</w:t>
      </w:r>
      <w:r w:rsidR="004A6DB1">
        <w:rPr>
          <w:rFonts w:ascii="Times New Roman" w:hAnsi="Times New Roman"/>
          <w:sz w:val="24"/>
          <w:szCs w:val="24"/>
        </w:rPr>
        <w:t xml:space="preserve">; </w:t>
      </w:r>
      <w:r w:rsidR="006E1BAD">
        <w:rPr>
          <w:rFonts w:ascii="Times New Roman" w:hAnsi="Times New Roman"/>
          <w:sz w:val="24"/>
          <w:szCs w:val="24"/>
        </w:rPr>
        <w:t xml:space="preserve">já </w:t>
      </w:r>
      <w:r w:rsidR="005C4B77">
        <w:rPr>
          <w:rFonts w:ascii="Times New Roman" w:hAnsi="Times New Roman"/>
          <w:sz w:val="24"/>
          <w:szCs w:val="24"/>
        </w:rPr>
        <w:t>a</w:t>
      </w:r>
      <w:r w:rsidR="006E1BAD">
        <w:rPr>
          <w:rFonts w:ascii="Times New Roman" w:hAnsi="Times New Roman"/>
          <w:sz w:val="24"/>
          <w:szCs w:val="24"/>
        </w:rPr>
        <w:t xml:space="preserve"> transação </w:t>
      </w:r>
      <w:r w:rsidR="006E1BAD">
        <w:rPr>
          <w:rFonts w:ascii="Times New Roman" w:hAnsi="Times New Roman"/>
          <w:i/>
          <w:iCs/>
          <w:sz w:val="24"/>
          <w:szCs w:val="24"/>
        </w:rPr>
        <w:t>tributária</w:t>
      </w:r>
      <w:r w:rsidR="006E1BAD">
        <w:rPr>
          <w:rFonts w:ascii="Times New Roman" w:hAnsi="Times New Roman"/>
          <w:sz w:val="24"/>
          <w:szCs w:val="24"/>
        </w:rPr>
        <w:t xml:space="preserve">, se consolidou como </w:t>
      </w:r>
      <w:r w:rsidR="00FB185B">
        <w:rPr>
          <w:rFonts w:ascii="Times New Roman" w:hAnsi="Times New Roman"/>
          <w:sz w:val="24"/>
          <w:szCs w:val="24"/>
        </w:rPr>
        <w:t>conceito</w:t>
      </w:r>
      <w:r w:rsidR="009F6B0C">
        <w:rPr>
          <w:rFonts w:ascii="Times New Roman" w:hAnsi="Times New Roman"/>
          <w:sz w:val="24"/>
          <w:szCs w:val="24"/>
        </w:rPr>
        <w:t xml:space="preserve"> técni</w:t>
      </w:r>
      <w:r w:rsidR="00FB185B">
        <w:rPr>
          <w:rFonts w:ascii="Times New Roman" w:hAnsi="Times New Roman"/>
          <w:sz w:val="24"/>
          <w:szCs w:val="24"/>
        </w:rPr>
        <w:t>co</w:t>
      </w:r>
      <w:r w:rsidR="009F6B0C">
        <w:rPr>
          <w:rFonts w:ascii="Times New Roman" w:hAnsi="Times New Roman"/>
          <w:sz w:val="24"/>
          <w:szCs w:val="24"/>
        </w:rPr>
        <w:t xml:space="preserve"> do Direito Tributário</w:t>
      </w:r>
      <w:r w:rsidR="00834C5D">
        <w:rPr>
          <w:rFonts w:ascii="Times New Roman" w:hAnsi="Times New Roman"/>
          <w:sz w:val="24"/>
          <w:szCs w:val="24"/>
        </w:rPr>
        <w:t xml:space="preserve">, que significa </w:t>
      </w:r>
      <w:r w:rsidR="00667048">
        <w:rPr>
          <w:rFonts w:ascii="Times New Roman" w:hAnsi="Times New Roman"/>
          <w:sz w:val="24"/>
          <w:szCs w:val="24"/>
        </w:rPr>
        <w:t xml:space="preserve">um acordo em que se viabiliza o </w:t>
      </w:r>
      <w:r w:rsidR="00667048" w:rsidRPr="00C459FD">
        <w:rPr>
          <w:rFonts w:ascii="Times New Roman" w:hAnsi="Times New Roman"/>
          <w:i/>
          <w:iCs/>
          <w:sz w:val="24"/>
          <w:szCs w:val="24"/>
        </w:rPr>
        <w:t>pagamento</w:t>
      </w:r>
      <w:r w:rsidR="00667048">
        <w:rPr>
          <w:rFonts w:ascii="Times New Roman" w:hAnsi="Times New Roman"/>
          <w:sz w:val="24"/>
          <w:szCs w:val="24"/>
        </w:rPr>
        <w:t xml:space="preserve"> do </w:t>
      </w:r>
      <w:r w:rsidR="00667048" w:rsidRPr="00E36B91">
        <w:rPr>
          <w:rFonts w:ascii="Times New Roman" w:hAnsi="Times New Roman"/>
          <w:sz w:val="24"/>
          <w:szCs w:val="24"/>
        </w:rPr>
        <w:t>crédito</w:t>
      </w:r>
      <w:r w:rsidR="00667048">
        <w:rPr>
          <w:rFonts w:ascii="Times New Roman" w:hAnsi="Times New Roman"/>
          <w:sz w:val="24"/>
          <w:szCs w:val="24"/>
        </w:rPr>
        <w:t>, com algum tipo de vantagem</w:t>
      </w:r>
      <w:r w:rsidR="00C0681C">
        <w:rPr>
          <w:rFonts w:ascii="Times New Roman" w:hAnsi="Times New Roman"/>
          <w:sz w:val="24"/>
          <w:szCs w:val="24"/>
        </w:rPr>
        <w:t>, e que gerará</w:t>
      </w:r>
      <w:r w:rsidR="00274AC5">
        <w:rPr>
          <w:rFonts w:ascii="Times New Roman" w:hAnsi="Times New Roman"/>
          <w:sz w:val="24"/>
          <w:szCs w:val="24"/>
        </w:rPr>
        <w:t xml:space="preserve"> a </w:t>
      </w:r>
      <w:r w:rsidR="00C459FD">
        <w:rPr>
          <w:rFonts w:ascii="Times New Roman" w:hAnsi="Times New Roman"/>
          <w:sz w:val="24"/>
          <w:szCs w:val="24"/>
        </w:rPr>
        <w:t xml:space="preserve">sua </w:t>
      </w:r>
      <w:r w:rsidR="00274AC5" w:rsidRPr="00C459FD">
        <w:rPr>
          <w:rFonts w:ascii="Times New Roman" w:hAnsi="Times New Roman"/>
          <w:i/>
          <w:iCs/>
          <w:sz w:val="24"/>
          <w:szCs w:val="24"/>
        </w:rPr>
        <w:t>extinção</w:t>
      </w:r>
      <w:r w:rsidR="00274AC5">
        <w:rPr>
          <w:rFonts w:ascii="Times New Roman" w:hAnsi="Times New Roman"/>
          <w:sz w:val="24"/>
          <w:szCs w:val="24"/>
        </w:rPr>
        <w:t>.</w:t>
      </w:r>
    </w:p>
    <w:p w14:paraId="35DF548F" w14:textId="116A67B9" w:rsidR="00997FA7" w:rsidRDefault="00AD3410" w:rsidP="00E83747">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Por isso</w:t>
      </w:r>
      <w:r w:rsidR="00F34175">
        <w:rPr>
          <w:rFonts w:ascii="Times New Roman" w:hAnsi="Times New Roman"/>
          <w:sz w:val="24"/>
          <w:szCs w:val="24"/>
        </w:rPr>
        <w:t>, o</w:t>
      </w:r>
      <w:r w:rsidR="00E76CBF">
        <w:rPr>
          <w:rFonts w:ascii="Times New Roman" w:hAnsi="Times New Roman"/>
          <w:sz w:val="24"/>
          <w:szCs w:val="24"/>
        </w:rPr>
        <w:t>ptamos pelo</w:t>
      </w:r>
      <w:r w:rsidR="005738A0">
        <w:rPr>
          <w:rFonts w:ascii="Times New Roman" w:hAnsi="Times New Roman"/>
          <w:sz w:val="24"/>
          <w:szCs w:val="24"/>
        </w:rPr>
        <w:t xml:space="preserve"> termo </w:t>
      </w:r>
      <w:r w:rsidR="005738A0" w:rsidRPr="00E76CBF">
        <w:rPr>
          <w:rFonts w:ascii="Times New Roman" w:hAnsi="Times New Roman"/>
          <w:i/>
          <w:iCs/>
          <w:sz w:val="24"/>
          <w:szCs w:val="24"/>
        </w:rPr>
        <w:t>autocomposição</w:t>
      </w:r>
      <w:r w:rsidR="00E76CBF">
        <w:rPr>
          <w:rFonts w:ascii="Times New Roman" w:hAnsi="Times New Roman"/>
          <w:i/>
          <w:iCs/>
          <w:sz w:val="24"/>
          <w:szCs w:val="24"/>
        </w:rPr>
        <w:t>,</w:t>
      </w:r>
      <w:r w:rsidR="00E76CBF">
        <w:rPr>
          <w:rFonts w:ascii="Times New Roman" w:hAnsi="Times New Roman"/>
          <w:sz w:val="24"/>
          <w:szCs w:val="24"/>
        </w:rPr>
        <w:t xml:space="preserve"> </w:t>
      </w:r>
      <w:r>
        <w:rPr>
          <w:rFonts w:ascii="Times New Roman" w:hAnsi="Times New Roman"/>
          <w:sz w:val="24"/>
          <w:szCs w:val="24"/>
        </w:rPr>
        <w:t>que</w:t>
      </w:r>
      <w:r w:rsidR="00E76CBF">
        <w:rPr>
          <w:rFonts w:ascii="Times New Roman" w:hAnsi="Times New Roman"/>
          <w:sz w:val="24"/>
          <w:szCs w:val="24"/>
        </w:rPr>
        <w:t xml:space="preserve"> possui </w:t>
      </w:r>
      <w:r w:rsidR="00441F9A">
        <w:rPr>
          <w:rFonts w:ascii="Times New Roman" w:hAnsi="Times New Roman"/>
          <w:sz w:val="24"/>
          <w:szCs w:val="24"/>
        </w:rPr>
        <w:t>uma</w:t>
      </w:r>
      <w:r w:rsidR="005738A0">
        <w:rPr>
          <w:rFonts w:ascii="Times New Roman" w:hAnsi="Times New Roman"/>
          <w:sz w:val="24"/>
          <w:szCs w:val="24"/>
        </w:rPr>
        <w:t xml:space="preserve"> acepção</w:t>
      </w:r>
      <w:r w:rsidR="00E76CBF">
        <w:rPr>
          <w:rFonts w:ascii="Times New Roman" w:hAnsi="Times New Roman"/>
          <w:sz w:val="24"/>
          <w:szCs w:val="24"/>
        </w:rPr>
        <w:t xml:space="preserve"> mais</w:t>
      </w:r>
      <w:r w:rsidR="005738A0">
        <w:rPr>
          <w:rFonts w:ascii="Times New Roman" w:hAnsi="Times New Roman"/>
          <w:sz w:val="24"/>
          <w:szCs w:val="24"/>
        </w:rPr>
        <w:t xml:space="preserve"> ampla,</w:t>
      </w:r>
      <w:r w:rsidR="00E76CBF">
        <w:rPr>
          <w:rFonts w:ascii="Times New Roman" w:hAnsi="Times New Roman"/>
          <w:sz w:val="24"/>
          <w:szCs w:val="24"/>
        </w:rPr>
        <w:t xml:space="preserve"> de gênero,</w:t>
      </w:r>
      <w:r w:rsidR="005738A0">
        <w:rPr>
          <w:rFonts w:ascii="Times New Roman" w:hAnsi="Times New Roman"/>
          <w:sz w:val="24"/>
          <w:szCs w:val="24"/>
        </w:rPr>
        <w:t xml:space="preserve"> para incluir todas as</w:t>
      </w:r>
      <w:r w:rsidR="00ED7A5B">
        <w:rPr>
          <w:rFonts w:ascii="Times New Roman" w:hAnsi="Times New Roman"/>
          <w:sz w:val="24"/>
          <w:szCs w:val="24"/>
        </w:rPr>
        <w:t xml:space="preserve"> técnicas</w:t>
      </w:r>
      <w:r w:rsidR="008D5B75">
        <w:rPr>
          <w:rFonts w:ascii="Times New Roman" w:hAnsi="Times New Roman"/>
          <w:sz w:val="24"/>
          <w:szCs w:val="24"/>
        </w:rPr>
        <w:t xml:space="preserve"> e formas</w:t>
      </w:r>
      <w:r w:rsidR="005738A0">
        <w:rPr>
          <w:rFonts w:ascii="Times New Roman" w:hAnsi="Times New Roman"/>
          <w:sz w:val="24"/>
          <w:szCs w:val="24"/>
        </w:rPr>
        <w:t xml:space="preserve"> de acordos</w:t>
      </w:r>
      <w:r w:rsidR="00997FA7">
        <w:rPr>
          <w:rFonts w:ascii="Times New Roman" w:hAnsi="Times New Roman"/>
          <w:sz w:val="24"/>
          <w:szCs w:val="24"/>
        </w:rPr>
        <w:t>, inclusive a transação</w:t>
      </w:r>
      <w:r w:rsidR="00E83747">
        <w:rPr>
          <w:rFonts w:ascii="Times New Roman" w:hAnsi="Times New Roman"/>
          <w:sz w:val="24"/>
          <w:szCs w:val="24"/>
        </w:rPr>
        <w:t>,</w:t>
      </w:r>
      <w:r w:rsidR="00997FA7">
        <w:rPr>
          <w:rFonts w:ascii="Times New Roman" w:hAnsi="Times New Roman"/>
          <w:sz w:val="24"/>
          <w:szCs w:val="24"/>
        </w:rPr>
        <w:t xml:space="preserve"> propriamente dita.</w:t>
      </w:r>
      <w:r w:rsidR="00E83747">
        <w:rPr>
          <w:rFonts w:ascii="Times New Roman" w:hAnsi="Times New Roman"/>
          <w:sz w:val="24"/>
          <w:szCs w:val="24"/>
        </w:rPr>
        <w:t xml:space="preserve"> </w:t>
      </w:r>
      <w:r w:rsidR="00997FA7">
        <w:rPr>
          <w:rFonts w:ascii="Times New Roman" w:hAnsi="Times New Roman"/>
          <w:sz w:val="24"/>
          <w:szCs w:val="24"/>
        </w:rPr>
        <w:t xml:space="preserve">E </w:t>
      </w:r>
      <w:r w:rsidR="00A146C5">
        <w:rPr>
          <w:rFonts w:ascii="Times New Roman" w:hAnsi="Times New Roman"/>
          <w:sz w:val="24"/>
          <w:szCs w:val="24"/>
        </w:rPr>
        <w:t>sua função é residual</w:t>
      </w:r>
      <w:r w:rsidR="00B111DD">
        <w:rPr>
          <w:rFonts w:ascii="Times New Roman" w:hAnsi="Times New Roman"/>
          <w:sz w:val="24"/>
          <w:szCs w:val="24"/>
        </w:rPr>
        <w:t xml:space="preserve"> em relação à transação tributária</w:t>
      </w:r>
      <w:r w:rsidR="00A146C5">
        <w:rPr>
          <w:rFonts w:ascii="Times New Roman" w:hAnsi="Times New Roman"/>
          <w:sz w:val="24"/>
          <w:szCs w:val="24"/>
        </w:rPr>
        <w:t>,</w:t>
      </w:r>
      <w:r w:rsidR="00B111DD">
        <w:rPr>
          <w:rFonts w:ascii="Times New Roman" w:hAnsi="Times New Roman"/>
          <w:sz w:val="24"/>
          <w:szCs w:val="24"/>
        </w:rPr>
        <w:t xml:space="preserve"> justamente</w:t>
      </w:r>
      <w:r w:rsidR="00A146C5">
        <w:rPr>
          <w:rFonts w:ascii="Times New Roman" w:hAnsi="Times New Roman"/>
          <w:sz w:val="24"/>
          <w:szCs w:val="24"/>
        </w:rPr>
        <w:t xml:space="preserve"> para alcançar conflitos fiscais</w:t>
      </w:r>
      <w:r w:rsidR="00B111DD">
        <w:rPr>
          <w:rFonts w:ascii="Times New Roman" w:hAnsi="Times New Roman"/>
          <w:sz w:val="24"/>
          <w:szCs w:val="24"/>
        </w:rPr>
        <w:t xml:space="preserve"> com outros perfis</w:t>
      </w:r>
      <w:r w:rsidR="00DF3686">
        <w:rPr>
          <w:rStyle w:val="Refdenotaderodap"/>
          <w:rFonts w:ascii="Times New Roman" w:hAnsi="Times New Roman"/>
          <w:sz w:val="24"/>
          <w:szCs w:val="24"/>
        </w:rPr>
        <w:footnoteReference w:id="50"/>
      </w:r>
      <w:r w:rsidR="00EF17E2">
        <w:rPr>
          <w:rFonts w:ascii="Times New Roman" w:hAnsi="Times New Roman"/>
          <w:sz w:val="24"/>
          <w:szCs w:val="24"/>
        </w:rPr>
        <w:t xml:space="preserve">, como as demandas que envolvem repetição do indébito tributário e </w:t>
      </w:r>
      <w:r w:rsidR="00787624">
        <w:rPr>
          <w:rFonts w:ascii="Times New Roman" w:hAnsi="Times New Roman"/>
          <w:sz w:val="24"/>
          <w:szCs w:val="24"/>
        </w:rPr>
        <w:t>as</w:t>
      </w:r>
      <w:r w:rsidR="00DD3F89">
        <w:rPr>
          <w:rFonts w:ascii="Times New Roman" w:hAnsi="Times New Roman"/>
          <w:sz w:val="24"/>
          <w:szCs w:val="24"/>
        </w:rPr>
        <w:t xml:space="preserve"> controvérsia</w:t>
      </w:r>
      <w:r w:rsidR="00787624">
        <w:rPr>
          <w:rFonts w:ascii="Times New Roman" w:hAnsi="Times New Roman"/>
          <w:sz w:val="24"/>
          <w:szCs w:val="24"/>
        </w:rPr>
        <w:t>s</w:t>
      </w:r>
      <w:r w:rsidR="00DD3F89">
        <w:rPr>
          <w:rFonts w:ascii="Times New Roman" w:hAnsi="Times New Roman"/>
          <w:sz w:val="24"/>
          <w:szCs w:val="24"/>
        </w:rPr>
        <w:t xml:space="preserve"> inerente</w:t>
      </w:r>
      <w:r w:rsidR="00787624">
        <w:rPr>
          <w:rFonts w:ascii="Times New Roman" w:hAnsi="Times New Roman"/>
          <w:sz w:val="24"/>
          <w:szCs w:val="24"/>
        </w:rPr>
        <w:t>s</w:t>
      </w:r>
      <w:r w:rsidR="00DD3F89">
        <w:rPr>
          <w:rFonts w:ascii="Times New Roman" w:hAnsi="Times New Roman"/>
          <w:sz w:val="24"/>
          <w:szCs w:val="24"/>
        </w:rPr>
        <w:t xml:space="preserve"> à relação Fisco/contribuinte, sem </w:t>
      </w:r>
      <w:r w:rsidR="003D218E">
        <w:rPr>
          <w:rFonts w:ascii="Times New Roman" w:hAnsi="Times New Roman"/>
          <w:sz w:val="24"/>
          <w:szCs w:val="24"/>
        </w:rPr>
        <w:t>discussão</w:t>
      </w:r>
      <w:r w:rsidR="00DD3F89">
        <w:rPr>
          <w:rFonts w:ascii="Times New Roman" w:hAnsi="Times New Roman"/>
          <w:sz w:val="24"/>
          <w:szCs w:val="24"/>
        </w:rPr>
        <w:t xml:space="preserve"> direta </w:t>
      </w:r>
      <w:r w:rsidR="00830DA2">
        <w:rPr>
          <w:rFonts w:ascii="Times New Roman" w:hAnsi="Times New Roman"/>
          <w:sz w:val="24"/>
          <w:szCs w:val="24"/>
        </w:rPr>
        <w:t xml:space="preserve">sobre </w:t>
      </w:r>
      <w:r w:rsidR="00DD3F89">
        <w:rPr>
          <w:rFonts w:ascii="Times New Roman" w:hAnsi="Times New Roman"/>
          <w:sz w:val="24"/>
          <w:szCs w:val="24"/>
        </w:rPr>
        <w:t>o crédito tributário.</w:t>
      </w:r>
    </w:p>
    <w:p w14:paraId="02FEB7AD" w14:textId="338687E9" w:rsidR="00F64D4A" w:rsidRDefault="00777F95"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lastRenderedPageBreak/>
        <w:t xml:space="preserve">O ponto crítico para a </w:t>
      </w:r>
      <w:r w:rsidR="00F64D4A">
        <w:rPr>
          <w:rFonts w:ascii="Times New Roman" w:hAnsi="Times New Roman"/>
          <w:sz w:val="24"/>
          <w:szCs w:val="24"/>
        </w:rPr>
        <w:t xml:space="preserve">sua </w:t>
      </w:r>
      <w:r w:rsidR="00E2075B">
        <w:rPr>
          <w:rFonts w:ascii="Times New Roman" w:hAnsi="Times New Roman"/>
          <w:sz w:val="24"/>
          <w:szCs w:val="24"/>
        </w:rPr>
        <w:t>efetivação também envolve a exigência</w:t>
      </w:r>
      <w:r w:rsidR="00FA76BF">
        <w:rPr>
          <w:rFonts w:ascii="Times New Roman" w:hAnsi="Times New Roman"/>
          <w:sz w:val="24"/>
          <w:szCs w:val="24"/>
        </w:rPr>
        <w:t xml:space="preserve"> de lei</w:t>
      </w:r>
      <w:r w:rsidR="00E2075B">
        <w:rPr>
          <w:rFonts w:ascii="Times New Roman" w:hAnsi="Times New Roman"/>
          <w:sz w:val="24"/>
          <w:szCs w:val="24"/>
        </w:rPr>
        <w:t>.</w:t>
      </w:r>
      <w:r w:rsidR="00A97681">
        <w:rPr>
          <w:rFonts w:ascii="Times New Roman" w:hAnsi="Times New Roman"/>
          <w:sz w:val="24"/>
          <w:szCs w:val="24"/>
        </w:rPr>
        <w:t xml:space="preserve"> </w:t>
      </w:r>
      <w:r w:rsidR="00F64D4A">
        <w:rPr>
          <w:rFonts w:ascii="Times New Roman" w:hAnsi="Times New Roman"/>
          <w:sz w:val="24"/>
          <w:szCs w:val="24"/>
        </w:rPr>
        <w:t>A vantagem é a de que</w:t>
      </w:r>
      <w:r w:rsidR="00CE3E0A">
        <w:rPr>
          <w:rFonts w:ascii="Times New Roman" w:hAnsi="Times New Roman"/>
          <w:sz w:val="24"/>
          <w:szCs w:val="24"/>
        </w:rPr>
        <w:t xml:space="preserve"> poderá ser utilizada a estrutura normativa </w:t>
      </w:r>
      <w:r w:rsidR="0011489A">
        <w:rPr>
          <w:rFonts w:ascii="Times New Roman" w:hAnsi="Times New Roman"/>
          <w:sz w:val="24"/>
          <w:szCs w:val="24"/>
        </w:rPr>
        <w:t>geral d</w:t>
      </w:r>
      <w:r w:rsidR="00784E6D">
        <w:rPr>
          <w:rFonts w:ascii="Times New Roman" w:hAnsi="Times New Roman"/>
          <w:sz w:val="24"/>
          <w:szCs w:val="24"/>
        </w:rPr>
        <w:t xml:space="preserve">as autocomposições, caso já existente </w:t>
      </w:r>
      <w:r w:rsidR="00FA76BF">
        <w:rPr>
          <w:rFonts w:ascii="Times New Roman" w:hAnsi="Times New Roman"/>
          <w:sz w:val="24"/>
          <w:szCs w:val="24"/>
        </w:rPr>
        <w:t>n</w:t>
      </w:r>
      <w:r w:rsidR="005E7D99">
        <w:rPr>
          <w:rFonts w:ascii="Times New Roman" w:hAnsi="Times New Roman"/>
          <w:sz w:val="24"/>
          <w:szCs w:val="24"/>
        </w:rPr>
        <w:t>o respectivo ente</w:t>
      </w:r>
      <w:r w:rsidR="007A25B8">
        <w:rPr>
          <w:rStyle w:val="Refdenotaderodap"/>
          <w:rFonts w:ascii="Times New Roman" w:hAnsi="Times New Roman"/>
          <w:sz w:val="24"/>
          <w:szCs w:val="24"/>
        </w:rPr>
        <w:footnoteReference w:id="51"/>
      </w:r>
      <w:r w:rsidR="005E7D99">
        <w:rPr>
          <w:rFonts w:ascii="Times New Roman" w:hAnsi="Times New Roman"/>
          <w:sz w:val="24"/>
          <w:szCs w:val="24"/>
        </w:rPr>
        <w:t>, desde que não se afaste expressamente</w:t>
      </w:r>
      <w:r w:rsidR="0027251F">
        <w:rPr>
          <w:rFonts w:ascii="Times New Roman" w:hAnsi="Times New Roman"/>
          <w:sz w:val="24"/>
          <w:szCs w:val="24"/>
        </w:rPr>
        <w:t xml:space="preserve"> as relações tributárias de sua aplicação</w:t>
      </w:r>
      <w:r w:rsidR="006D08A9">
        <w:rPr>
          <w:rFonts w:ascii="Times New Roman" w:hAnsi="Times New Roman"/>
          <w:sz w:val="24"/>
          <w:szCs w:val="24"/>
        </w:rPr>
        <w:t>.</w:t>
      </w:r>
    </w:p>
    <w:p w14:paraId="01928DBD" w14:textId="351986A7" w:rsidR="00AE7CE2" w:rsidRDefault="006D08A9" w:rsidP="00B769B6">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Tal limitação, aliás, acaso pautada na equivocada </w:t>
      </w:r>
      <w:r w:rsidR="006D2990">
        <w:rPr>
          <w:rFonts w:ascii="Times New Roman" w:hAnsi="Times New Roman"/>
          <w:sz w:val="24"/>
          <w:szCs w:val="24"/>
        </w:rPr>
        <w:t xml:space="preserve">ideia de que a </w:t>
      </w:r>
      <w:r w:rsidR="006D2990" w:rsidRPr="00A97681">
        <w:rPr>
          <w:rFonts w:ascii="Times New Roman" w:hAnsi="Times New Roman"/>
          <w:sz w:val="24"/>
          <w:szCs w:val="24"/>
        </w:rPr>
        <w:t>transação tributária</w:t>
      </w:r>
      <w:r w:rsidR="006D2990">
        <w:rPr>
          <w:rFonts w:ascii="Times New Roman" w:hAnsi="Times New Roman"/>
          <w:sz w:val="24"/>
          <w:szCs w:val="24"/>
        </w:rPr>
        <w:t xml:space="preserve"> supre todas as possibilidades </w:t>
      </w:r>
      <w:r w:rsidR="009B13BF">
        <w:rPr>
          <w:rFonts w:ascii="Times New Roman" w:hAnsi="Times New Roman"/>
          <w:sz w:val="24"/>
          <w:szCs w:val="24"/>
        </w:rPr>
        <w:t xml:space="preserve">de resolução consensual de conflitos </w:t>
      </w:r>
      <w:r w:rsidR="00B05761">
        <w:rPr>
          <w:rFonts w:ascii="Times New Roman" w:hAnsi="Times New Roman"/>
          <w:sz w:val="24"/>
          <w:szCs w:val="24"/>
        </w:rPr>
        <w:t>tributários</w:t>
      </w:r>
      <w:r w:rsidR="00576E4D">
        <w:rPr>
          <w:rFonts w:ascii="Times New Roman" w:hAnsi="Times New Roman"/>
          <w:sz w:val="24"/>
          <w:szCs w:val="24"/>
        </w:rPr>
        <w:t xml:space="preserve">, cria uma indesejada </w:t>
      </w:r>
      <w:r w:rsidR="0041505C">
        <w:rPr>
          <w:rFonts w:ascii="Times New Roman" w:hAnsi="Times New Roman"/>
          <w:sz w:val="24"/>
          <w:szCs w:val="24"/>
        </w:rPr>
        <w:t>lacuna no modelo proposto.</w:t>
      </w:r>
      <w:r w:rsidR="00B769B6">
        <w:rPr>
          <w:rFonts w:ascii="Times New Roman" w:hAnsi="Times New Roman"/>
          <w:sz w:val="24"/>
          <w:szCs w:val="24"/>
        </w:rPr>
        <w:t xml:space="preserve"> </w:t>
      </w:r>
      <w:r w:rsidR="002954AF">
        <w:rPr>
          <w:rFonts w:ascii="Times New Roman" w:hAnsi="Times New Roman"/>
          <w:sz w:val="24"/>
          <w:szCs w:val="24"/>
        </w:rPr>
        <w:t xml:space="preserve">Exatamente por esta razão é que se propõe </w:t>
      </w:r>
      <w:r w:rsidR="000842C7">
        <w:rPr>
          <w:rFonts w:ascii="Times New Roman" w:hAnsi="Times New Roman"/>
          <w:sz w:val="24"/>
          <w:szCs w:val="24"/>
        </w:rPr>
        <w:t xml:space="preserve">neste tópico </w:t>
      </w:r>
      <w:r w:rsidR="002954AF">
        <w:rPr>
          <w:rFonts w:ascii="Times New Roman" w:hAnsi="Times New Roman"/>
          <w:sz w:val="24"/>
          <w:szCs w:val="24"/>
        </w:rPr>
        <w:t>uma ferramenta mais ampla</w:t>
      </w:r>
      <w:r w:rsidR="005C11FE">
        <w:rPr>
          <w:rFonts w:ascii="Times New Roman" w:hAnsi="Times New Roman"/>
          <w:sz w:val="24"/>
          <w:szCs w:val="24"/>
        </w:rPr>
        <w:t xml:space="preserve">, capaz de </w:t>
      </w:r>
      <w:r w:rsidR="00321A9E">
        <w:rPr>
          <w:rFonts w:ascii="Times New Roman" w:hAnsi="Times New Roman"/>
          <w:sz w:val="24"/>
          <w:szCs w:val="24"/>
        </w:rPr>
        <w:t>atender aos</w:t>
      </w:r>
      <w:r w:rsidR="00FC0B23">
        <w:rPr>
          <w:rFonts w:ascii="Times New Roman" w:hAnsi="Times New Roman"/>
          <w:sz w:val="24"/>
          <w:szCs w:val="24"/>
        </w:rPr>
        <w:t xml:space="preserve"> conflitos fiscais não abarcados pela transação</w:t>
      </w:r>
      <w:r w:rsidR="00A97681">
        <w:rPr>
          <w:rFonts w:ascii="Times New Roman" w:hAnsi="Times New Roman"/>
          <w:sz w:val="24"/>
          <w:szCs w:val="24"/>
        </w:rPr>
        <w:t>.</w:t>
      </w:r>
    </w:p>
    <w:p w14:paraId="4F767650" w14:textId="17D35D28" w:rsidR="006C3736" w:rsidRDefault="004B46B2"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Na prática, o modelo que vem se consolidando é a aprovação de leis </w:t>
      </w:r>
      <w:r w:rsidR="005D4910">
        <w:rPr>
          <w:rFonts w:ascii="Times New Roman" w:hAnsi="Times New Roman"/>
          <w:sz w:val="24"/>
          <w:szCs w:val="24"/>
        </w:rPr>
        <w:t xml:space="preserve">que </w:t>
      </w:r>
      <w:r w:rsidR="00875AD5">
        <w:rPr>
          <w:rFonts w:ascii="Times New Roman" w:hAnsi="Times New Roman"/>
          <w:sz w:val="24"/>
          <w:szCs w:val="24"/>
        </w:rPr>
        <w:t xml:space="preserve">promovem autorizações e delegações </w:t>
      </w:r>
      <w:r w:rsidR="00E24E32">
        <w:rPr>
          <w:rFonts w:ascii="Times New Roman" w:hAnsi="Times New Roman"/>
          <w:sz w:val="24"/>
          <w:szCs w:val="24"/>
        </w:rPr>
        <w:t xml:space="preserve">de poder à Advocacia Pública, geralmente estabelecendo </w:t>
      </w:r>
      <w:r w:rsidR="00926E6F">
        <w:rPr>
          <w:rFonts w:ascii="Times New Roman" w:hAnsi="Times New Roman"/>
          <w:sz w:val="24"/>
          <w:szCs w:val="24"/>
        </w:rPr>
        <w:t xml:space="preserve">normas gerais para as autocomposições e </w:t>
      </w:r>
      <w:r w:rsidR="00E24E32">
        <w:rPr>
          <w:rFonts w:ascii="Times New Roman" w:hAnsi="Times New Roman"/>
          <w:sz w:val="24"/>
          <w:szCs w:val="24"/>
        </w:rPr>
        <w:t xml:space="preserve">valores de alçada para </w:t>
      </w:r>
      <w:r w:rsidR="00D0691C">
        <w:rPr>
          <w:rFonts w:ascii="Times New Roman" w:hAnsi="Times New Roman"/>
          <w:sz w:val="24"/>
          <w:szCs w:val="24"/>
        </w:rPr>
        <w:t>o aperfeiçoamento d</w:t>
      </w:r>
      <w:r w:rsidR="00926E6F">
        <w:rPr>
          <w:rFonts w:ascii="Times New Roman" w:hAnsi="Times New Roman"/>
          <w:sz w:val="24"/>
          <w:szCs w:val="24"/>
        </w:rPr>
        <w:t>os</w:t>
      </w:r>
      <w:r w:rsidR="00D0691C">
        <w:rPr>
          <w:rFonts w:ascii="Times New Roman" w:hAnsi="Times New Roman"/>
          <w:sz w:val="24"/>
          <w:szCs w:val="24"/>
        </w:rPr>
        <w:t xml:space="preserve"> acordos</w:t>
      </w:r>
      <w:r w:rsidR="007F37C8">
        <w:rPr>
          <w:rFonts w:ascii="Times New Roman" w:hAnsi="Times New Roman"/>
          <w:sz w:val="24"/>
          <w:szCs w:val="24"/>
        </w:rPr>
        <w:t xml:space="preserve">, </w:t>
      </w:r>
      <w:r w:rsidR="00B41B28">
        <w:rPr>
          <w:rFonts w:ascii="Times New Roman" w:hAnsi="Times New Roman"/>
          <w:sz w:val="24"/>
          <w:szCs w:val="24"/>
        </w:rPr>
        <w:t>viabilizando regulamentação mais concreta por atos normativos internos das Procuradorias</w:t>
      </w:r>
      <w:r w:rsidR="003F0AFE">
        <w:rPr>
          <w:rStyle w:val="Refdenotaderodap"/>
          <w:rFonts w:ascii="Times New Roman" w:hAnsi="Times New Roman"/>
          <w:sz w:val="24"/>
          <w:szCs w:val="24"/>
        </w:rPr>
        <w:footnoteReference w:id="52"/>
      </w:r>
      <w:r w:rsidR="00B41B28">
        <w:rPr>
          <w:rFonts w:ascii="Times New Roman" w:hAnsi="Times New Roman"/>
          <w:sz w:val="24"/>
          <w:szCs w:val="24"/>
        </w:rPr>
        <w:t>.</w:t>
      </w:r>
    </w:p>
    <w:p w14:paraId="321692B7" w14:textId="08A46AC2" w:rsidR="00721B6A" w:rsidRDefault="00E14021" w:rsidP="008A5539">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Este modelo </w:t>
      </w:r>
      <w:r w:rsidR="00505300">
        <w:rPr>
          <w:rFonts w:ascii="Times New Roman" w:hAnsi="Times New Roman"/>
          <w:sz w:val="24"/>
          <w:szCs w:val="24"/>
        </w:rPr>
        <w:t>é vantajoso</w:t>
      </w:r>
      <w:r w:rsidR="004E64E7">
        <w:rPr>
          <w:rFonts w:ascii="Times New Roman" w:hAnsi="Times New Roman"/>
          <w:sz w:val="24"/>
          <w:szCs w:val="24"/>
        </w:rPr>
        <w:t xml:space="preserve">, pois ao mesmo tempo que </w:t>
      </w:r>
      <w:r w:rsidR="00CA577E">
        <w:rPr>
          <w:rFonts w:ascii="Times New Roman" w:hAnsi="Times New Roman"/>
          <w:sz w:val="24"/>
          <w:szCs w:val="24"/>
        </w:rPr>
        <w:t xml:space="preserve">estabelece importantes delegações de poder, de forma definitiva, </w:t>
      </w:r>
      <w:r w:rsidR="008E5189">
        <w:rPr>
          <w:rFonts w:ascii="Times New Roman" w:hAnsi="Times New Roman"/>
          <w:sz w:val="24"/>
          <w:szCs w:val="24"/>
        </w:rPr>
        <w:t xml:space="preserve">atribui flexibilidade à Advocacia Pública para </w:t>
      </w:r>
      <w:r w:rsidR="007052F5">
        <w:rPr>
          <w:rFonts w:ascii="Times New Roman" w:hAnsi="Times New Roman"/>
          <w:sz w:val="24"/>
          <w:szCs w:val="24"/>
        </w:rPr>
        <w:t>os aspectos práticos de sua atuação</w:t>
      </w:r>
      <w:r w:rsidR="008A5539">
        <w:rPr>
          <w:rFonts w:ascii="Times New Roman" w:hAnsi="Times New Roman"/>
          <w:sz w:val="24"/>
          <w:szCs w:val="24"/>
        </w:rPr>
        <w:t>;</w:t>
      </w:r>
      <w:r w:rsidR="008D5B75">
        <w:rPr>
          <w:rFonts w:ascii="Times New Roman" w:hAnsi="Times New Roman"/>
          <w:sz w:val="24"/>
          <w:szCs w:val="24"/>
        </w:rPr>
        <w:t xml:space="preserve"> d</w:t>
      </w:r>
      <w:r w:rsidR="00E5231D">
        <w:rPr>
          <w:rFonts w:ascii="Times New Roman" w:hAnsi="Times New Roman"/>
          <w:sz w:val="24"/>
          <w:szCs w:val="24"/>
        </w:rPr>
        <w:t>aí a</w:t>
      </w:r>
      <w:r w:rsidR="00AE1CC2">
        <w:rPr>
          <w:rFonts w:ascii="Times New Roman" w:hAnsi="Times New Roman"/>
          <w:sz w:val="24"/>
          <w:szCs w:val="24"/>
        </w:rPr>
        <w:t xml:space="preserve"> importância </w:t>
      </w:r>
      <w:r w:rsidR="005D7006">
        <w:rPr>
          <w:rFonts w:ascii="Times New Roman" w:hAnsi="Times New Roman"/>
          <w:sz w:val="24"/>
          <w:szCs w:val="24"/>
        </w:rPr>
        <w:t>de</w:t>
      </w:r>
      <w:r w:rsidR="00AE1CC2">
        <w:rPr>
          <w:rFonts w:ascii="Times New Roman" w:hAnsi="Times New Roman"/>
          <w:sz w:val="24"/>
          <w:szCs w:val="24"/>
        </w:rPr>
        <w:t xml:space="preserve"> instala</w:t>
      </w:r>
      <w:r w:rsidR="005D7006">
        <w:rPr>
          <w:rFonts w:ascii="Times New Roman" w:hAnsi="Times New Roman"/>
          <w:sz w:val="24"/>
          <w:szCs w:val="24"/>
        </w:rPr>
        <w:t>r</w:t>
      </w:r>
      <w:r w:rsidR="00AE1CC2">
        <w:rPr>
          <w:rFonts w:ascii="Times New Roman" w:hAnsi="Times New Roman"/>
          <w:sz w:val="24"/>
          <w:szCs w:val="24"/>
        </w:rPr>
        <w:t xml:space="preserve"> as Câmaras de Autocomposição, </w:t>
      </w:r>
      <w:r w:rsidR="00BF5777">
        <w:rPr>
          <w:rFonts w:ascii="Times New Roman" w:hAnsi="Times New Roman"/>
          <w:sz w:val="24"/>
          <w:szCs w:val="24"/>
        </w:rPr>
        <w:t>ainda que destacadas em câmaras temáticas</w:t>
      </w:r>
      <w:r w:rsidR="00441854">
        <w:rPr>
          <w:rFonts w:ascii="Times New Roman" w:hAnsi="Times New Roman"/>
          <w:sz w:val="24"/>
          <w:szCs w:val="24"/>
        </w:rPr>
        <w:t xml:space="preserve"> (como a tributária)</w:t>
      </w:r>
      <w:r w:rsidR="00C877EC">
        <w:rPr>
          <w:rFonts w:ascii="Times New Roman" w:hAnsi="Times New Roman"/>
          <w:sz w:val="24"/>
          <w:szCs w:val="24"/>
        </w:rPr>
        <w:t>, sendo este o ambiente adequ</w:t>
      </w:r>
      <w:r w:rsidR="00EA6828">
        <w:rPr>
          <w:rFonts w:ascii="Times New Roman" w:hAnsi="Times New Roman"/>
          <w:sz w:val="24"/>
          <w:szCs w:val="24"/>
        </w:rPr>
        <w:t>a</w:t>
      </w:r>
      <w:r w:rsidR="00C877EC">
        <w:rPr>
          <w:rFonts w:ascii="Times New Roman" w:hAnsi="Times New Roman"/>
          <w:sz w:val="24"/>
          <w:szCs w:val="24"/>
        </w:rPr>
        <w:t>do e favorável à</w:t>
      </w:r>
      <w:r w:rsidR="00F962EA">
        <w:rPr>
          <w:rFonts w:ascii="Times New Roman" w:hAnsi="Times New Roman"/>
          <w:sz w:val="24"/>
          <w:szCs w:val="24"/>
        </w:rPr>
        <w:t xml:space="preserve"> aplicação dos acordos por adesão </w:t>
      </w:r>
      <w:r w:rsidR="00D36288">
        <w:rPr>
          <w:rFonts w:ascii="Times New Roman" w:hAnsi="Times New Roman"/>
          <w:sz w:val="24"/>
          <w:szCs w:val="24"/>
        </w:rPr>
        <w:t>e à</w:t>
      </w:r>
      <w:r w:rsidR="00C877EC">
        <w:rPr>
          <w:rFonts w:ascii="Times New Roman" w:hAnsi="Times New Roman"/>
          <w:sz w:val="24"/>
          <w:szCs w:val="24"/>
        </w:rPr>
        <w:t>s negociações</w:t>
      </w:r>
      <w:r w:rsidR="00804FC6">
        <w:rPr>
          <w:rFonts w:ascii="Times New Roman" w:hAnsi="Times New Roman"/>
          <w:sz w:val="24"/>
          <w:szCs w:val="24"/>
        </w:rPr>
        <w:t xml:space="preserve"> com os contribuintes.</w:t>
      </w:r>
    </w:p>
    <w:p w14:paraId="3D62A4B8" w14:textId="1F2428AE" w:rsidR="00CD2B0B" w:rsidRDefault="005F0F68"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Como dito, </w:t>
      </w:r>
      <w:r w:rsidR="006C1706">
        <w:rPr>
          <w:rFonts w:ascii="Times New Roman" w:hAnsi="Times New Roman"/>
          <w:sz w:val="24"/>
          <w:szCs w:val="24"/>
        </w:rPr>
        <w:t xml:space="preserve">a autocomposição tem grande potencial de aplicação para </w:t>
      </w:r>
      <w:r w:rsidR="003341A3">
        <w:rPr>
          <w:rFonts w:ascii="Times New Roman" w:hAnsi="Times New Roman"/>
          <w:sz w:val="24"/>
          <w:szCs w:val="24"/>
        </w:rPr>
        <w:t>as controvérsias que envolvam repetição do indébito tributário</w:t>
      </w:r>
      <w:r w:rsidR="00EF7B20">
        <w:rPr>
          <w:rFonts w:ascii="Times New Roman" w:hAnsi="Times New Roman"/>
          <w:sz w:val="24"/>
          <w:szCs w:val="24"/>
        </w:rPr>
        <w:t xml:space="preserve"> e que dizem respeito à </w:t>
      </w:r>
      <w:r w:rsidR="00CD2B0B" w:rsidRPr="00CD2B0B">
        <w:rPr>
          <w:rFonts w:ascii="Times New Roman" w:hAnsi="Times New Roman"/>
          <w:sz w:val="24"/>
          <w:szCs w:val="24"/>
        </w:rPr>
        <w:t>relação Fisco</w:t>
      </w:r>
      <w:r w:rsidR="00257776">
        <w:rPr>
          <w:rFonts w:ascii="Times New Roman" w:hAnsi="Times New Roman"/>
          <w:sz w:val="24"/>
          <w:szCs w:val="24"/>
        </w:rPr>
        <w:t>/</w:t>
      </w:r>
      <w:r w:rsidR="00CD2B0B" w:rsidRPr="00CD2B0B">
        <w:rPr>
          <w:rFonts w:ascii="Times New Roman" w:hAnsi="Times New Roman"/>
          <w:sz w:val="24"/>
          <w:szCs w:val="24"/>
        </w:rPr>
        <w:t>contribuintes atinentes à administração tributária, sem envolver discussão direta a respeito do crédito</w:t>
      </w:r>
      <w:r w:rsidR="006110F4">
        <w:rPr>
          <w:rFonts w:ascii="Times New Roman" w:hAnsi="Times New Roman"/>
          <w:sz w:val="24"/>
          <w:szCs w:val="24"/>
        </w:rPr>
        <w:t>.</w:t>
      </w:r>
    </w:p>
    <w:p w14:paraId="32DD7BA2" w14:textId="6B573923" w:rsidR="006110F4" w:rsidRDefault="006110F4"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No primeiro caso, </w:t>
      </w:r>
      <w:r w:rsidR="00545E6C">
        <w:rPr>
          <w:rFonts w:ascii="Times New Roman" w:hAnsi="Times New Roman"/>
          <w:sz w:val="24"/>
          <w:szCs w:val="24"/>
        </w:rPr>
        <w:t>é comum que as demandas tenham caráter</w:t>
      </w:r>
      <w:r w:rsidR="00F77AA2">
        <w:rPr>
          <w:rFonts w:ascii="Times New Roman" w:hAnsi="Times New Roman"/>
          <w:sz w:val="24"/>
          <w:szCs w:val="24"/>
        </w:rPr>
        <w:t xml:space="preserve"> repetitivo e/ou sejam objeto de precedentes qualificados</w:t>
      </w:r>
      <w:r w:rsidR="00F643B6">
        <w:rPr>
          <w:rFonts w:ascii="Times New Roman" w:hAnsi="Times New Roman"/>
          <w:sz w:val="24"/>
          <w:szCs w:val="24"/>
        </w:rPr>
        <w:t xml:space="preserve"> (art. 927 do CPC)</w:t>
      </w:r>
      <w:r w:rsidR="00F77AA2">
        <w:rPr>
          <w:rFonts w:ascii="Times New Roman" w:hAnsi="Times New Roman"/>
          <w:sz w:val="24"/>
          <w:szCs w:val="24"/>
        </w:rPr>
        <w:t xml:space="preserve">, </w:t>
      </w:r>
      <w:r w:rsidR="00F643B6">
        <w:rPr>
          <w:rFonts w:ascii="Times New Roman" w:hAnsi="Times New Roman"/>
          <w:sz w:val="24"/>
          <w:szCs w:val="24"/>
        </w:rPr>
        <w:t>o que favorece a utilização de editais de acordos por adesão</w:t>
      </w:r>
      <w:r w:rsidR="00CA2466">
        <w:rPr>
          <w:rFonts w:ascii="Times New Roman" w:hAnsi="Times New Roman"/>
          <w:sz w:val="24"/>
          <w:szCs w:val="24"/>
        </w:rPr>
        <w:t>, sem prejuízo, por óbvio, de se estabelecer critérios</w:t>
      </w:r>
      <w:r w:rsidR="00A04F46">
        <w:rPr>
          <w:rFonts w:ascii="Times New Roman" w:hAnsi="Times New Roman"/>
          <w:sz w:val="24"/>
          <w:szCs w:val="24"/>
        </w:rPr>
        <w:t xml:space="preserve"> para </w:t>
      </w:r>
      <w:r w:rsidR="00F424B3">
        <w:rPr>
          <w:rFonts w:ascii="Times New Roman" w:hAnsi="Times New Roman"/>
          <w:sz w:val="24"/>
          <w:szCs w:val="24"/>
        </w:rPr>
        <w:t>a autocomposição</w:t>
      </w:r>
      <w:r w:rsidR="00A04F46">
        <w:rPr>
          <w:rFonts w:ascii="Times New Roman" w:hAnsi="Times New Roman"/>
          <w:sz w:val="24"/>
          <w:szCs w:val="24"/>
        </w:rPr>
        <w:t xml:space="preserve"> individua</w:t>
      </w:r>
      <w:r w:rsidR="00F424B3">
        <w:rPr>
          <w:rFonts w:ascii="Times New Roman" w:hAnsi="Times New Roman"/>
          <w:sz w:val="24"/>
          <w:szCs w:val="24"/>
        </w:rPr>
        <w:t>l</w:t>
      </w:r>
      <w:r w:rsidR="00A04F46">
        <w:rPr>
          <w:rFonts w:ascii="Times New Roman" w:hAnsi="Times New Roman"/>
          <w:sz w:val="24"/>
          <w:szCs w:val="24"/>
        </w:rPr>
        <w:t>,</w:t>
      </w:r>
      <w:r w:rsidR="00F424B3">
        <w:rPr>
          <w:rFonts w:ascii="Times New Roman" w:hAnsi="Times New Roman"/>
          <w:sz w:val="24"/>
          <w:szCs w:val="24"/>
        </w:rPr>
        <w:t xml:space="preserve"> inclusive por meio</w:t>
      </w:r>
      <w:r w:rsidR="00A04F46">
        <w:rPr>
          <w:rFonts w:ascii="Times New Roman" w:hAnsi="Times New Roman"/>
          <w:sz w:val="24"/>
          <w:szCs w:val="24"/>
        </w:rPr>
        <w:t xml:space="preserve"> de conciliação e mediação.</w:t>
      </w:r>
    </w:p>
    <w:p w14:paraId="36C2C1BB" w14:textId="2ECB4A18" w:rsidR="00686D16" w:rsidRDefault="00F352EE"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Citamos, como exemplo</w:t>
      </w:r>
      <w:r w:rsidR="00CE6BF8">
        <w:rPr>
          <w:rFonts w:ascii="Times New Roman" w:hAnsi="Times New Roman"/>
          <w:sz w:val="24"/>
          <w:szCs w:val="24"/>
        </w:rPr>
        <w:t>,</w:t>
      </w:r>
      <w:r>
        <w:rPr>
          <w:rFonts w:ascii="Times New Roman" w:hAnsi="Times New Roman"/>
          <w:sz w:val="24"/>
          <w:szCs w:val="24"/>
        </w:rPr>
        <w:t xml:space="preserve"> a Ordem de Serviço</w:t>
      </w:r>
      <w:r w:rsidR="008442F2">
        <w:rPr>
          <w:rFonts w:ascii="Times New Roman" w:hAnsi="Times New Roman"/>
          <w:sz w:val="24"/>
          <w:szCs w:val="24"/>
        </w:rPr>
        <w:t xml:space="preserve"> Conjunta </w:t>
      </w:r>
      <w:r>
        <w:rPr>
          <w:rFonts w:ascii="Times New Roman" w:hAnsi="Times New Roman"/>
          <w:sz w:val="24"/>
          <w:szCs w:val="24"/>
        </w:rPr>
        <w:t xml:space="preserve"> </w:t>
      </w:r>
      <w:r w:rsidR="00F77201">
        <w:rPr>
          <w:rFonts w:ascii="Times New Roman" w:hAnsi="Times New Roman"/>
          <w:sz w:val="24"/>
          <w:szCs w:val="24"/>
        </w:rPr>
        <w:t>PG-02-PG-03-PG-19 nº 01</w:t>
      </w:r>
      <w:r w:rsidR="00CA4132">
        <w:rPr>
          <w:rFonts w:ascii="Times New Roman" w:hAnsi="Times New Roman"/>
          <w:sz w:val="24"/>
          <w:szCs w:val="24"/>
        </w:rPr>
        <w:t>/</w:t>
      </w:r>
      <w:r w:rsidR="00F77201">
        <w:rPr>
          <w:rFonts w:ascii="Times New Roman" w:hAnsi="Times New Roman"/>
          <w:sz w:val="24"/>
          <w:szCs w:val="24"/>
        </w:rPr>
        <w:t>2022</w:t>
      </w:r>
      <w:r w:rsidR="00CA6A22">
        <w:rPr>
          <w:rFonts w:ascii="Times New Roman" w:hAnsi="Times New Roman"/>
          <w:sz w:val="24"/>
          <w:szCs w:val="24"/>
        </w:rPr>
        <w:t xml:space="preserve">, aprovada no âmbito </w:t>
      </w:r>
      <w:r>
        <w:rPr>
          <w:rFonts w:ascii="Times New Roman" w:hAnsi="Times New Roman"/>
          <w:sz w:val="24"/>
          <w:szCs w:val="24"/>
        </w:rPr>
        <w:t>da PGE/RJ</w:t>
      </w:r>
      <w:r w:rsidR="00CA6A22">
        <w:rPr>
          <w:rFonts w:ascii="Times New Roman" w:hAnsi="Times New Roman"/>
          <w:sz w:val="24"/>
          <w:szCs w:val="24"/>
        </w:rPr>
        <w:t xml:space="preserve">, que </w:t>
      </w:r>
      <w:r w:rsidR="00CA6A22" w:rsidRPr="00CA6A22">
        <w:rPr>
          <w:rFonts w:ascii="Times New Roman" w:hAnsi="Times New Roman"/>
          <w:i/>
          <w:iCs/>
          <w:sz w:val="24"/>
          <w:szCs w:val="24"/>
        </w:rPr>
        <w:t>“</w:t>
      </w:r>
      <w:r w:rsidR="00CA6A22" w:rsidRPr="004D4339">
        <w:rPr>
          <w:rFonts w:ascii="Times New Roman" w:hAnsi="Times New Roman"/>
          <w:sz w:val="24"/>
          <w:szCs w:val="24"/>
        </w:rPr>
        <w:t xml:space="preserve">Estabelece procedimento conjunto </w:t>
      </w:r>
      <w:r w:rsidR="004D4339">
        <w:rPr>
          <w:rFonts w:ascii="Times New Roman" w:hAnsi="Times New Roman"/>
          <w:sz w:val="24"/>
          <w:szCs w:val="24"/>
        </w:rPr>
        <w:t>(...)</w:t>
      </w:r>
      <w:r w:rsidR="00CA6A22" w:rsidRPr="004D4339">
        <w:rPr>
          <w:rFonts w:ascii="Times New Roman" w:hAnsi="Times New Roman"/>
          <w:sz w:val="24"/>
          <w:szCs w:val="24"/>
        </w:rPr>
        <w:t xml:space="preserve"> para liquidação consensual de sentença em casos de ICMS recolhido sobre a demanda contratada”</w:t>
      </w:r>
      <w:r>
        <w:rPr>
          <w:rFonts w:ascii="Times New Roman" w:hAnsi="Times New Roman"/>
          <w:sz w:val="24"/>
          <w:szCs w:val="24"/>
        </w:rPr>
        <w:t xml:space="preserve"> e </w:t>
      </w:r>
      <w:r w:rsidR="00021EC1">
        <w:rPr>
          <w:rFonts w:ascii="Times New Roman" w:hAnsi="Times New Roman"/>
          <w:sz w:val="24"/>
          <w:szCs w:val="24"/>
        </w:rPr>
        <w:t xml:space="preserve">o </w:t>
      </w:r>
      <w:r w:rsidR="00021EC1" w:rsidRPr="00021EC1">
        <w:rPr>
          <w:rFonts w:ascii="Times New Roman" w:hAnsi="Times New Roman"/>
          <w:sz w:val="24"/>
          <w:szCs w:val="24"/>
        </w:rPr>
        <w:t>EDITAL/CASC/PGE/MS/N.º 02</w:t>
      </w:r>
      <w:r w:rsidR="00CA4132">
        <w:rPr>
          <w:rFonts w:ascii="Times New Roman" w:hAnsi="Times New Roman"/>
          <w:sz w:val="24"/>
          <w:szCs w:val="24"/>
        </w:rPr>
        <w:t>/</w:t>
      </w:r>
      <w:r w:rsidR="00CF3C43">
        <w:rPr>
          <w:rFonts w:ascii="Times New Roman" w:hAnsi="Times New Roman"/>
          <w:sz w:val="24"/>
          <w:szCs w:val="24"/>
        </w:rPr>
        <w:t>2022,</w:t>
      </w:r>
      <w:r w:rsidR="00344BF5">
        <w:rPr>
          <w:rFonts w:ascii="Times New Roman" w:hAnsi="Times New Roman"/>
          <w:sz w:val="24"/>
          <w:szCs w:val="24"/>
        </w:rPr>
        <w:t xml:space="preserve"> da PGE/MS</w:t>
      </w:r>
      <w:r w:rsidR="00CF3C43">
        <w:rPr>
          <w:rFonts w:ascii="Times New Roman" w:hAnsi="Times New Roman"/>
          <w:sz w:val="24"/>
          <w:szCs w:val="24"/>
        </w:rPr>
        <w:t xml:space="preserve">, em </w:t>
      </w:r>
      <w:r w:rsidR="00F07C1B">
        <w:rPr>
          <w:rFonts w:ascii="Times New Roman" w:hAnsi="Times New Roman"/>
          <w:sz w:val="24"/>
          <w:szCs w:val="24"/>
        </w:rPr>
        <w:t xml:space="preserve">se ofereceu a oportunidade de transação por adesão para </w:t>
      </w:r>
      <w:r w:rsidR="00842B39">
        <w:rPr>
          <w:rFonts w:ascii="Times New Roman" w:hAnsi="Times New Roman"/>
          <w:sz w:val="24"/>
          <w:szCs w:val="24"/>
        </w:rPr>
        <w:t>as pessoas que gozavam</w:t>
      </w:r>
      <w:r w:rsidR="00A665D1" w:rsidRPr="00842B39">
        <w:rPr>
          <w:rFonts w:ascii="Times New Roman" w:hAnsi="Times New Roman"/>
          <w:sz w:val="24"/>
          <w:szCs w:val="24"/>
        </w:rPr>
        <w:t xml:space="preserve"> da isenção do imposto de renda sobre os seus proventos, nos termos do inciso XIV do art. 6º da Lei n.º 7.713, de 1988</w:t>
      </w:r>
      <w:r w:rsidR="004D4339">
        <w:rPr>
          <w:rFonts w:ascii="Times New Roman" w:hAnsi="Times New Roman"/>
          <w:i/>
          <w:iCs/>
          <w:sz w:val="24"/>
          <w:szCs w:val="24"/>
        </w:rPr>
        <w:t xml:space="preserve"> </w:t>
      </w:r>
      <w:r w:rsidR="00842B39">
        <w:rPr>
          <w:rFonts w:ascii="Times New Roman" w:hAnsi="Times New Roman"/>
          <w:i/>
          <w:iCs/>
          <w:sz w:val="24"/>
          <w:szCs w:val="24"/>
        </w:rPr>
        <w:t>“</w:t>
      </w:r>
      <w:r w:rsidR="00A665D1" w:rsidRPr="00A665D1">
        <w:rPr>
          <w:rFonts w:ascii="Times New Roman" w:hAnsi="Times New Roman"/>
          <w:i/>
          <w:iCs/>
          <w:sz w:val="24"/>
          <w:szCs w:val="24"/>
        </w:rPr>
        <w:t xml:space="preserve">e tiveram o benefício suspenso ou revogado </w:t>
      </w:r>
      <w:r w:rsidR="008617D0">
        <w:rPr>
          <w:rFonts w:ascii="Times New Roman" w:hAnsi="Times New Roman"/>
          <w:i/>
          <w:iCs/>
          <w:sz w:val="24"/>
          <w:szCs w:val="24"/>
        </w:rPr>
        <w:lastRenderedPageBreak/>
        <w:t>(...)</w:t>
      </w:r>
      <w:r w:rsidR="00A665D1" w:rsidRPr="00A665D1">
        <w:rPr>
          <w:rFonts w:ascii="Times New Roman" w:hAnsi="Times New Roman"/>
          <w:i/>
          <w:iCs/>
          <w:sz w:val="24"/>
          <w:szCs w:val="24"/>
        </w:rPr>
        <w:t>, unicamente fundamentada na falta de demonstração da contemporaneidade dos sintomas da doença ou da recidiva da enfermidade</w:t>
      </w:r>
      <w:r w:rsidR="00897811">
        <w:rPr>
          <w:rFonts w:ascii="Times New Roman" w:hAnsi="Times New Roman"/>
          <w:i/>
          <w:iCs/>
          <w:sz w:val="24"/>
          <w:szCs w:val="24"/>
        </w:rPr>
        <w:t xml:space="preserve">” </w:t>
      </w:r>
      <w:r w:rsidR="00897811" w:rsidRPr="00897811">
        <w:rPr>
          <w:rFonts w:ascii="Times New Roman" w:hAnsi="Times New Roman"/>
          <w:sz w:val="24"/>
          <w:szCs w:val="24"/>
        </w:rPr>
        <w:t xml:space="preserve">visando </w:t>
      </w:r>
      <w:r w:rsidR="00A665D1" w:rsidRPr="00897811">
        <w:rPr>
          <w:rFonts w:ascii="Times New Roman" w:hAnsi="Times New Roman"/>
          <w:sz w:val="24"/>
          <w:szCs w:val="24"/>
        </w:rPr>
        <w:t>restabelecer a sobredita isenção, mediante transação</w:t>
      </w:r>
      <w:r w:rsidR="004F2DFE">
        <w:rPr>
          <w:rFonts w:ascii="Times New Roman" w:hAnsi="Times New Roman"/>
          <w:sz w:val="24"/>
          <w:szCs w:val="24"/>
        </w:rPr>
        <w:t>,</w:t>
      </w:r>
      <w:r w:rsidR="00A665D1" w:rsidRPr="00897811">
        <w:rPr>
          <w:rFonts w:ascii="Times New Roman" w:hAnsi="Times New Roman"/>
          <w:sz w:val="24"/>
          <w:szCs w:val="24"/>
        </w:rPr>
        <w:t xml:space="preserve"> em demandas judicializadas, ou não</w:t>
      </w:r>
      <w:r w:rsidR="00344BF5" w:rsidRPr="00897811">
        <w:rPr>
          <w:rFonts w:ascii="Times New Roman" w:hAnsi="Times New Roman"/>
          <w:sz w:val="24"/>
          <w:szCs w:val="24"/>
        </w:rPr>
        <w:t>.</w:t>
      </w:r>
    </w:p>
    <w:p w14:paraId="52FC0A32" w14:textId="4917AA33" w:rsidR="00A665D1" w:rsidRDefault="00A665D1"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Ambos os casos tratam de matérias fiscais repetitivas</w:t>
      </w:r>
      <w:r w:rsidR="00212EDD">
        <w:rPr>
          <w:rFonts w:ascii="Times New Roman" w:hAnsi="Times New Roman"/>
          <w:sz w:val="24"/>
          <w:szCs w:val="24"/>
        </w:rPr>
        <w:t>, que possuem precedente qualificado desfavorável à Fazenda Pública</w:t>
      </w:r>
      <w:r w:rsidR="00B9061D">
        <w:rPr>
          <w:rFonts w:ascii="Times New Roman" w:hAnsi="Times New Roman"/>
          <w:sz w:val="24"/>
          <w:szCs w:val="24"/>
        </w:rPr>
        <w:t xml:space="preserve"> e</w:t>
      </w:r>
      <w:r w:rsidR="00B932E1">
        <w:rPr>
          <w:rFonts w:ascii="Times New Roman" w:hAnsi="Times New Roman"/>
          <w:sz w:val="24"/>
          <w:szCs w:val="24"/>
        </w:rPr>
        <w:t xml:space="preserve"> implicam em repetição do indébito tributário, tratando-se de algumas das iniciativas pioneiras </w:t>
      </w:r>
      <w:r w:rsidR="00777811">
        <w:rPr>
          <w:rFonts w:ascii="Times New Roman" w:hAnsi="Times New Roman"/>
          <w:sz w:val="24"/>
          <w:szCs w:val="24"/>
        </w:rPr>
        <w:t xml:space="preserve">de autocomposição em matéria </w:t>
      </w:r>
      <w:r w:rsidR="004F2EFF">
        <w:rPr>
          <w:rFonts w:ascii="Times New Roman" w:hAnsi="Times New Roman"/>
          <w:sz w:val="24"/>
          <w:szCs w:val="24"/>
        </w:rPr>
        <w:t>fiscal</w:t>
      </w:r>
      <w:r w:rsidR="00777811">
        <w:rPr>
          <w:rFonts w:ascii="Times New Roman" w:hAnsi="Times New Roman"/>
          <w:sz w:val="24"/>
          <w:szCs w:val="24"/>
        </w:rPr>
        <w:t xml:space="preserve"> com este perfil</w:t>
      </w:r>
      <w:r w:rsidR="008A25E7">
        <w:rPr>
          <w:rFonts w:ascii="Times New Roman" w:hAnsi="Times New Roman"/>
          <w:sz w:val="24"/>
          <w:szCs w:val="24"/>
        </w:rPr>
        <w:t xml:space="preserve">, </w:t>
      </w:r>
      <w:r w:rsidR="003C48AE">
        <w:rPr>
          <w:rFonts w:ascii="Times New Roman" w:hAnsi="Times New Roman"/>
          <w:sz w:val="24"/>
          <w:szCs w:val="24"/>
        </w:rPr>
        <w:t xml:space="preserve">e </w:t>
      </w:r>
      <w:r w:rsidR="00E337BA">
        <w:rPr>
          <w:rFonts w:ascii="Times New Roman" w:hAnsi="Times New Roman"/>
          <w:sz w:val="24"/>
          <w:szCs w:val="24"/>
        </w:rPr>
        <w:t xml:space="preserve">que se encaixam perfeitamente </w:t>
      </w:r>
      <w:r w:rsidR="00363DF7">
        <w:rPr>
          <w:rFonts w:ascii="Times New Roman" w:hAnsi="Times New Roman"/>
          <w:sz w:val="24"/>
          <w:szCs w:val="24"/>
        </w:rPr>
        <w:t xml:space="preserve">à </w:t>
      </w:r>
      <w:r w:rsidR="00363DF7" w:rsidRPr="00363DF7">
        <w:rPr>
          <w:rFonts w:ascii="Times New Roman" w:hAnsi="Times New Roman"/>
          <w:i/>
          <w:iCs/>
          <w:sz w:val="24"/>
          <w:szCs w:val="24"/>
        </w:rPr>
        <w:t>transação po</w:t>
      </w:r>
      <w:r w:rsidR="00363DF7">
        <w:rPr>
          <w:rFonts w:ascii="Times New Roman" w:hAnsi="Times New Roman"/>
          <w:i/>
          <w:iCs/>
          <w:sz w:val="24"/>
          <w:szCs w:val="24"/>
        </w:rPr>
        <w:t>r</w:t>
      </w:r>
      <w:r w:rsidR="00363DF7" w:rsidRPr="00363DF7">
        <w:rPr>
          <w:rFonts w:ascii="Times New Roman" w:hAnsi="Times New Roman"/>
          <w:i/>
          <w:iCs/>
          <w:sz w:val="24"/>
          <w:szCs w:val="24"/>
        </w:rPr>
        <w:t xml:space="preserve"> adesão</w:t>
      </w:r>
      <w:r w:rsidR="00777811" w:rsidRPr="00363DF7">
        <w:rPr>
          <w:rFonts w:ascii="Times New Roman" w:hAnsi="Times New Roman"/>
          <w:i/>
          <w:iCs/>
          <w:sz w:val="24"/>
          <w:szCs w:val="24"/>
        </w:rPr>
        <w:t>.</w:t>
      </w:r>
    </w:p>
    <w:p w14:paraId="0D332217" w14:textId="4EF57C09" w:rsidR="008A25E7" w:rsidRDefault="00FF7161"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Já as autocomposições individuais</w:t>
      </w:r>
      <w:r w:rsidR="00655A85">
        <w:rPr>
          <w:rFonts w:ascii="Times New Roman" w:hAnsi="Times New Roman"/>
          <w:sz w:val="24"/>
          <w:szCs w:val="24"/>
        </w:rPr>
        <w:t xml:space="preserve">, tendem a ser facilitadas pelas técnicas da </w:t>
      </w:r>
      <w:r w:rsidR="00655A85" w:rsidRPr="009F603E">
        <w:rPr>
          <w:rFonts w:ascii="Times New Roman" w:hAnsi="Times New Roman"/>
          <w:i/>
          <w:iCs/>
          <w:sz w:val="24"/>
          <w:szCs w:val="24"/>
        </w:rPr>
        <w:t>negociação</w:t>
      </w:r>
      <w:r w:rsidR="00655A85">
        <w:rPr>
          <w:rFonts w:ascii="Times New Roman" w:hAnsi="Times New Roman"/>
          <w:sz w:val="24"/>
          <w:szCs w:val="24"/>
        </w:rPr>
        <w:t xml:space="preserve">, </w:t>
      </w:r>
      <w:r w:rsidR="00655A85" w:rsidRPr="009F603E">
        <w:rPr>
          <w:rFonts w:ascii="Times New Roman" w:hAnsi="Times New Roman"/>
          <w:i/>
          <w:iCs/>
          <w:sz w:val="24"/>
          <w:szCs w:val="24"/>
        </w:rPr>
        <w:t>conciliação</w:t>
      </w:r>
      <w:r w:rsidR="00655A85">
        <w:rPr>
          <w:rFonts w:ascii="Times New Roman" w:hAnsi="Times New Roman"/>
          <w:sz w:val="24"/>
          <w:szCs w:val="24"/>
        </w:rPr>
        <w:t xml:space="preserve"> </w:t>
      </w:r>
      <w:r w:rsidR="003C48AE">
        <w:rPr>
          <w:rFonts w:ascii="Times New Roman" w:hAnsi="Times New Roman"/>
          <w:sz w:val="24"/>
          <w:szCs w:val="24"/>
        </w:rPr>
        <w:t>ou</w:t>
      </w:r>
      <w:r w:rsidR="00655A85">
        <w:rPr>
          <w:rFonts w:ascii="Times New Roman" w:hAnsi="Times New Roman"/>
          <w:sz w:val="24"/>
          <w:szCs w:val="24"/>
        </w:rPr>
        <w:t xml:space="preserve"> </w:t>
      </w:r>
      <w:r w:rsidR="00655A85" w:rsidRPr="009F603E">
        <w:rPr>
          <w:rFonts w:ascii="Times New Roman" w:hAnsi="Times New Roman"/>
          <w:i/>
          <w:iCs/>
          <w:sz w:val="24"/>
          <w:szCs w:val="24"/>
        </w:rPr>
        <w:t>mediação</w:t>
      </w:r>
      <w:r w:rsidR="00655A85">
        <w:rPr>
          <w:rFonts w:ascii="Times New Roman" w:hAnsi="Times New Roman"/>
          <w:sz w:val="24"/>
          <w:szCs w:val="24"/>
        </w:rPr>
        <w:t xml:space="preserve">. Embora exista </w:t>
      </w:r>
      <w:r w:rsidR="002C7A3A">
        <w:rPr>
          <w:rFonts w:ascii="Times New Roman" w:hAnsi="Times New Roman"/>
          <w:sz w:val="24"/>
          <w:szCs w:val="24"/>
        </w:rPr>
        <w:t xml:space="preserve">a </w:t>
      </w:r>
      <w:r w:rsidR="00655A85">
        <w:rPr>
          <w:rFonts w:ascii="Times New Roman" w:hAnsi="Times New Roman"/>
          <w:sz w:val="24"/>
          <w:szCs w:val="24"/>
        </w:rPr>
        <w:t>tentativa</w:t>
      </w:r>
      <w:r w:rsidR="002C7A3A">
        <w:rPr>
          <w:rFonts w:ascii="Times New Roman" w:hAnsi="Times New Roman"/>
          <w:sz w:val="24"/>
          <w:szCs w:val="24"/>
        </w:rPr>
        <w:t xml:space="preserve"> de se delimitar</w:t>
      </w:r>
      <w:r w:rsidR="0080274C">
        <w:rPr>
          <w:rStyle w:val="Refdenotaderodap"/>
          <w:rFonts w:ascii="Times New Roman" w:hAnsi="Times New Roman"/>
          <w:sz w:val="24"/>
          <w:szCs w:val="24"/>
        </w:rPr>
        <w:footnoteReference w:id="53"/>
      </w:r>
      <w:r w:rsidR="002C7A3A">
        <w:rPr>
          <w:rFonts w:ascii="Times New Roman" w:hAnsi="Times New Roman"/>
          <w:sz w:val="24"/>
          <w:szCs w:val="24"/>
        </w:rPr>
        <w:t>, tecnicamente, a função</w:t>
      </w:r>
      <w:r w:rsidR="009F603E">
        <w:rPr>
          <w:rFonts w:ascii="Times New Roman" w:hAnsi="Times New Roman"/>
          <w:sz w:val="24"/>
          <w:szCs w:val="24"/>
        </w:rPr>
        <w:t xml:space="preserve"> de cada uma destas técnicas</w:t>
      </w:r>
      <w:r w:rsidR="009D05F6">
        <w:rPr>
          <w:rStyle w:val="Refdenotaderodap"/>
          <w:rFonts w:ascii="Times New Roman" w:hAnsi="Times New Roman"/>
          <w:sz w:val="24"/>
          <w:szCs w:val="24"/>
        </w:rPr>
        <w:footnoteReference w:id="54"/>
      </w:r>
      <w:r w:rsidR="009F603E">
        <w:rPr>
          <w:rFonts w:ascii="Times New Roman" w:hAnsi="Times New Roman"/>
          <w:sz w:val="24"/>
          <w:szCs w:val="24"/>
        </w:rPr>
        <w:t xml:space="preserve"> </w:t>
      </w:r>
      <w:r w:rsidR="00B319AC">
        <w:rPr>
          <w:rFonts w:ascii="Times New Roman" w:hAnsi="Times New Roman"/>
          <w:sz w:val="24"/>
          <w:szCs w:val="24"/>
        </w:rPr>
        <w:t xml:space="preserve">- </w:t>
      </w:r>
      <w:r w:rsidR="009F603E">
        <w:rPr>
          <w:rFonts w:ascii="Times New Roman" w:hAnsi="Times New Roman"/>
          <w:sz w:val="24"/>
          <w:szCs w:val="24"/>
        </w:rPr>
        <w:t>que se diferencia</w:t>
      </w:r>
      <w:r w:rsidR="000E563C">
        <w:rPr>
          <w:rFonts w:ascii="Times New Roman" w:hAnsi="Times New Roman"/>
          <w:sz w:val="24"/>
          <w:szCs w:val="24"/>
        </w:rPr>
        <w:t>m</w:t>
      </w:r>
      <w:r w:rsidR="009F603E">
        <w:rPr>
          <w:rFonts w:ascii="Times New Roman" w:hAnsi="Times New Roman"/>
          <w:sz w:val="24"/>
          <w:szCs w:val="24"/>
        </w:rPr>
        <w:t xml:space="preserve"> conforme </w:t>
      </w:r>
      <w:r w:rsidR="00D5110C">
        <w:rPr>
          <w:rFonts w:ascii="Times New Roman" w:hAnsi="Times New Roman"/>
          <w:sz w:val="24"/>
          <w:szCs w:val="24"/>
        </w:rPr>
        <w:t>a existência</w:t>
      </w:r>
      <w:r w:rsidR="00E33E26">
        <w:rPr>
          <w:rFonts w:ascii="Times New Roman" w:hAnsi="Times New Roman"/>
          <w:sz w:val="24"/>
          <w:szCs w:val="24"/>
        </w:rPr>
        <w:t xml:space="preserve"> e o grau de atuação do terceiro </w:t>
      </w:r>
      <w:r w:rsidR="00B319AC">
        <w:rPr>
          <w:rFonts w:ascii="Times New Roman" w:hAnsi="Times New Roman"/>
          <w:sz w:val="24"/>
          <w:szCs w:val="24"/>
        </w:rPr>
        <w:t>-</w:t>
      </w:r>
      <w:r w:rsidR="00E33E26">
        <w:rPr>
          <w:rFonts w:ascii="Times New Roman" w:hAnsi="Times New Roman"/>
          <w:sz w:val="24"/>
          <w:szCs w:val="24"/>
        </w:rPr>
        <w:t>, os termos são usados quase que indiscrimi</w:t>
      </w:r>
      <w:r w:rsidR="001A7270">
        <w:rPr>
          <w:rFonts w:ascii="Times New Roman" w:hAnsi="Times New Roman"/>
          <w:sz w:val="24"/>
          <w:szCs w:val="24"/>
        </w:rPr>
        <w:t>nadamente</w:t>
      </w:r>
      <w:r w:rsidR="005A2B45">
        <w:rPr>
          <w:rFonts w:ascii="Times New Roman" w:hAnsi="Times New Roman"/>
          <w:sz w:val="24"/>
          <w:szCs w:val="24"/>
        </w:rPr>
        <w:t xml:space="preserve"> nas legislações e no cotidiano.</w:t>
      </w:r>
    </w:p>
    <w:p w14:paraId="33181464" w14:textId="195DF866" w:rsidR="00377D28" w:rsidRDefault="005148B3"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Com relação</w:t>
      </w:r>
      <w:r w:rsidR="00D76C38">
        <w:rPr>
          <w:rFonts w:ascii="Times New Roman" w:hAnsi="Times New Roman"/>
          <w:sz w:val="24"/>
          <w:szCs w:val="24"/>
        </w:rPr>
        <w:t>, especificamente,</w:t>
      </w:r>
      <w:r>
        <w:rPr>
          <w:rFonts w:ascii="Times New Roman" w:hAnsi="Times New Roman"/>
          <w:sz w:val="24"/>
          <w:szCs w:val="24"/>
        </w:rPr>
        <w:t xml:space="preserve"> à litigiosidade envolvendo a </w:t>
      </w:r>
      <w:r w:rsidRPr="005148B3">
        <w:rPr>
          <w:rFonts w:ascii="Times New Roman" w:hAnsi="Times New Roman"/>
          <w:sz w:val="24"/>
          <w:szCs w:val="24"/>
        </w:rPr>
        <w:t>rela</w:t>
      </w:r>
      <w:r w:rsidRPr="005148B3">
        <w:rPr>
          <w:rFonts w:ascii="Times New Roman" w:hAnsi="Times New Roman"/>
          <w:sz w:val="24"/>
          <w:szCs w:val="24"/>
        </w:rPr>
        <w:softHyphen/>
        <w:t xml:space="preserve">ção </w:t>
      </w:r>
      <w:r w:rsidR="00E846D3">
        <w:rPr>
          <w:rFonts w:ascii="Times New Roman" w:hAnsi="Times New Roman"/>
          <w:sz w:val="24"/>
          <w:szCs w:val="24"/>
        </w:rPr>
        <w:t>Fisco/</w:t>
      </w:r>
      <w:r w:rsidRPr="005148B3">
        <w:rPr>
          <w:rFonts w:ascii="Times New Roman" w:hAnsi="Times New Roman"/>
          <w:sz w:val="24"/>
          <w:szCs w:val="24"/>
        </w:rPr>
        <w:t>contribuintes,</w:t>
      </w:r>
      <w:r w:rsidR="00551A1E">
        <w:rPr>
          <w:rFonts w:ascii="Times New Roman" w:hAnsi="Times New Roman"/>
          <w:sz w:val="24"/>
          <w:szCs w:val="24"/>
        </w:rPr>
        <w:t xml:space="preserve"> o relatório “Diagnóstico do Contencioso Judicial Tributário”</w:t>
      </w:r>
      <w:r w:rsidR="000B1D32">
        <w:rPr>
          <w:rFonts w:ascii="Times New Roman" w:hAnsi="Times New Roman"/>
          <w:sz w:val="24"/>
          <w:szCs w:val="24"/>
        </w:rPr>
        <w:t xml:space="preserve"> não foi capaz de </w:t>
      </w:r>
      <w:r w:rsidR="00EC173C">
        <w:rPr>
          <w:rFonts w:ascii="Times New Roman" w:hAnsi="Times New Roman"/>
          <w:sz w:val="24"/>
          <w:szCs w:val="24"/>
        </w:rPr>
        <w:t>e</w:t>
      </w:r>
      <w:r w:rsidR="00426085">
        <w:rPr>
          <w:rFonts w:ascii="Times New Roman" w:hAnsi="Times New Roman"/>
          <w:sz w:val="24"/>
          <w:szCs w:val="24"/>
        </w:rPr>
        <w:t>stabelecer quantitativamente a</w:t>
      </w:r>
      <w:r w:rsidR="00061276">
        <w:rPr>
          <w:rFonts w:ascii="Times New Roman" w:hAnsi="Times New Roman"/>
          <w:sz w:val="24"/>
          <w:szCs w:val="24"/>
        </w:rPr>
        <w:t xml:space="preserve"> </w:t>
      </w:r>
      <w:r w:rsidR="00426085">
        <w:rPr>
          <w:rFonts w:ascii="Times New Roman" w:hAnsi="Times New Roman"/>
          <w:sz w:val="24"/>
          <w:szCs w:val="24"/>
        </w:rPr>
        <w:t>proporção, mas apontou indicativos de existência</w:t>
      </w:r>
      <w:r w:rsidR="00D55137">
        <w:rPr>
          <w:rFonts w:ascii="Times New Roman" w:hAnsi="Times New Roman"/>
          <w:sz w:val="24"/>
          <w:szCs w:val="24"/>
        </w:rPr>
        <w:t xml:space="preserve"> de correlação da ausência de cooperatividade e transparência nos elevados estoques processuais</w:t>
      </w:r>
      <w:r w:rsidR="00BA5201">
        <w:rPr>
          <w:rFonts w:ascii="Times New Roman" w:hAnsi="Times New Roman"/>
          <w:sz w:val="24"/>
          <w:szCs w:val="24"/>
        </w:rPr>
        <w:t xml:space="preserve">, </w:t>
      </w:r>
      <w:r w:rsidR="00E16A69">
        <w:rPr>
          <w:rFonts w:ascii="Times New Roman" w:hAnsi="Times New Roman"/>
          <w:sz w:val="24"/>
          <w:szCs w:val="24"/>
        </w:rPr>
        <w:t>tendo apontado os tema mais recorrentes</w:t>
      </w:r>
      <w:r w:rsidR="00A82A3D">
        <w:rPr>
          <w:rStyle w:val="Refdenotaderodap"/>
          <w:rFonts w:ascii="Times New Roman" w:hAnsi="Times New Roman"/>
          <w:sz w:val="24"/>
          <w:szCs w:val="24"/>
        </w:rPr>
        <w:footnoteReference w:id="55"/>
      </w:r>
      <w:r w:rsidR="00E16A69">
        <w:rPr>
          <w:rFonts w:ascii="Times New Roman" w:hAnsi="Times New Roman"/>
          <w:sz w:val="24"/>
          <w:szCs w:val="24"/>
        </w:rPr>
        <w:t xml:space="preserve">, </w:t>
      </w:r>
      <w:r w:rsidR="00532776">
        <w:rPr>
          <w:rFonts w:ascii="Times New Roman" w:hAnsi="Times New Roman"/>
          <w:sz w:val="24"/>
          <w:szCs w:val="24"/>
        </w:rPr>
        <w:t xml:space="preserve">evitáveis </w:t>
      </w:r>
      <w:r w:rsidR="00A4096D">
        <w:rPr>
          <w:rFonts w:ascii="Times New Roman" w:hAnsi="Times New Roman"/>
          <w:sz w:val="24"/>
          <w:szCs w:val="24"/>
        </w:rPr>
        <w:t xml:space="preserve">por meio de maior cooperação e passíveis de </w:t>
      </w:r>
      <w:r w:rsidR="00E351FE">
        <w:rPr>
          <w:rFonts w:ascii="Times New Roman" w:hAnsi="Times New Roman"/>
          <w:sz w:val="24"/>
          <w:szCs w:val="24"/>
        </w:rPr>
        <w:t>resolução</w:t>
      </w:r>
      <w:r w:rsidR="00A4096D">
        <w:rPr>
          <w:rFonts w:ascii="Times New Roman" w:hAnsi="Times New Roman"/>
          <w:sz w:val="24"/>
          <w:szCs w:val="24"/>
        </w:rPr>
        <w:t xml:space="preserve"> consensua</w:t>
      </w:r>
      <w:r w:rsidR="00E351FE">
        <w:rPr>
          <w:rFonts w:ascii="Times New Roman" w:hAnsi="Times New Roman"/>
          <w:sz w:val="24"/>
          <w:szCs w:val="24"/>
        </w:rPr>
        <w:t>l</w:t>
      </w:r>
      <w:r w:rsidR="005C023A">
        <w:rPr>
          <w:rFonts w:ascii="Times New Roman" w:hAnsi="Times New Roman"/>
          <w:sz w:val="24"/>
          <w:szCs w:val="24"/>
        </w:rPr>
        <w:t>.</w:t>
      </w:r>
    </w:p>
    <w:p w14:paraId="35B5AC67" w14:textId="1D2CCCDD" w:rsidR="00232FA6" w:rsidRDefault="003E52B4"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C</w:t>
      </w:r>
      <w:r w:rsidR="00FC266B">
        <w:rPr>
          <w:rFonts w:ascii="Times New Roman" w:hAnsi="Times New Roman"/>
          <w:sz w:val="24"/>
          <w:szCs w:val="24"/>
        </w:rPr>
        <w:t>om funcionamento na prática</w:t>
      </w:r>
      <w:r w:rsidR="000074B4">
        <w:rPr>
          <w:rFonts w:ascii="Times New Roman" w:hAnsi="Times New Roman"/>
          <w:sz w:val="24"/>
          <w:szCs w:val="24"/>
        </w:rPr>
        <w:t xml:space="preserve">, </w:t>
      </w:r>
      <w:r w:rsidR="00232FA6">
        <w:rPr>
          <w:rFonts w:ascii="Times New Roman" w:hAnsi="Times New Roman"/>
          <w:sz w:val="24"/>
          <w:szCs w:val="24"/>
        </w:rPr>
        <w:t>m</w:t>
      </w:r>
      <w:r w:rsidR="00232FA6" w:rsidRPr="00232FA6">
        <w:rPr>
          <w:rFonts w:ascii="Times New Roman" w:hAnsi="Times New Roman"/>
          <w:sz w:val="24"/>
          <w:szCs w:val="24"/>
        </w:rPr>
        <w:t>encionamos</w:t>
      </w:r>
      <w:r w:rsidR="00232FA6">
        <w:rPr>
          <w:rFonts w:ascii="Times New Roman" w:hAnsi="Times New Roman"/>
          <w:sz w:val="24"/>
          <w:szCs w:val="24"/>
        </w:rPr>
        <w:t xml:space="preserve"> </w:t>
      </w:r>
      <w:r w:rsidR="00232FA6" w:rsidRPr="00232FA6">
        <w:rPr>
          <w:rFonts w:ascii="Times New Roman" w:hAnsi="Times New Roman"/>
          <w:sz w:val="24"/>
          <w:szCs w:val="24"/>
        </w:rPr>
        <w:t xml:space="preserve">a interessante iniciativa do Município de Porto Alegre, que instituiu a </w:t>
      </w:r>
      <w:r w:rsidR="00232FA6" w:rsidRPr="00232FA6">
        <w:rPr>
          <w:rFonts w:ascii="Times New Roman" w:hAnsi="Times New Roman"/>
          <w:i/>
          <w:iCs/>
          <w:sz w:val="24"/>
          <w:szCs w:val="24"/>
        </w:rPr>
        <w:t>mediação tributária</w:t>
      </w:r>
      <w:r w:rsidR="00232FA6" w:rsidRPr="00232FA6">
        <w:rPr>
          <w:rFonts w:ascii="Times New Roman" w:hAnsi="Times New Roman"/>
          <w:sz w:val="24"/>
          <w:szCs w:val="24"/>
        </w:rPr>
        <w:t xml:space="preserve"> </w:t>
      </w:r>
      <w:r w:rsidR="00BC61A0">
        <w:rPr>
          <w:rFonts w:ascii="Times New Roman" w:hAnsi="Times New Roman"/>
          <w:sz w:val="24"/>
          <w:szCs w:val="24"/>
        </w:rPr>
        <w:t>(</w:t>
      </w:r>
      <w:r w:rsidR="00232FA6" w:rsidRPr="00232FA6">
        <w:rPr>
          <w:rFonts w:ascii="Times New Roman" w:hAnsi="Times New Roman"/>
          <w:sz w:val="24"/>
          <w:szCs w:val="24"/>
        </w:rPr>
        <w:t>Lei nº 13.028</w:t>
      </w:r>
      <w:r w:rsidR="007109A8">
        <w:rPr>
          <w:rFonts w:ascii="Times New Roman" w:hAnsi="Times New Roman"/>
          <w:sz w:val="24"/>
          <w:szCs w:val="24"/>
        </w:rPr>
        <w:t>/2022</w:t>
      </w:r>
      <w:r w:rsidR="00BC61A0">
        <w:rPr>
          <w:rFonts w:ascii="Times New Roman" w:hAnsi="Times New Roman"/>
          <w:sz w:val="24"/>
          <w:szCs w:val="24"/>
        </w:rPr>
        <w:t>)</w:t>
      </w:r>
      <w:r w:rsidR="00232FA6" w:rsidRPr="00232FA6">
        <w:rPr>
          <w:rFonts w:ascii="Times New Roman" w:hAnsi="Times New Roman"/>
          <w:sz w:val="24"/>
          <w:szCs w:val="24"/>
        </w:rPr>
        <w:t>, optando por criar uma Câmara de Mediação e Conciliação na estrutura da Receita Municipal e outra no âmbito d</w:t>
      </w:r>
      <w:r w:rsidR="003752D7">
        <w:rPr>
          <w:rFonts w:ascii="Times New Roman" w:hAnsi="Times New Roman"/>
          <w:sz w:val="24"/>
          <w:szCs w:val="24"/>
        </w:rPr>
        <w:t xml:space="preserve">e sua </w:t>
      </w:r>
      <w:r w:rsidR="00232FA6" w:rsidRPr="00232FA6">
        <w:rPr>
          <w:rFonts w:ascii="Times New Roman" w:hAnsi="Times New Roman"/>
          <w:sz w:val="24"/>
          <w:szCs w:val="24"/>
        </w:rPr>
        <w:t xml:space="preserve">Procuradoria, possibilitando, assim, a autocomposição </w:t>
      </w:r>
      <w:r w:rsidR="00384FE5">
        <w:rPr>
          <w:rFonts w:ascii="Times New Roman" w:hAnsi="Times New Roman"/>
          <w:sz w:val="24"/>
          <w:szCs w:val="24"/>
        </w:rPr>
        <w:t>n</w:t>
      </w:r>
      <w:r w:rsidR="00232FA6" w:rsidRPr="00232FA6">
        <w:rPr>
          <w:rFonts w:ascii="Times New Roman" w:hAnsi="Times New Roman"/>
          <w:sz w:val="24"/>
          <w:szCs w:val="24"/>
        </w:rPr>
        <w:t xml:space="preserve">as fases </w:t>
      </w:r>
      <w:r w:rsidR="00232FA6" w:rsidRPr="00384FE5">
        <w:rPr>
          <w:rFonts w:ascii="Times New Roman" w:hAnsi="Times New Roman"/>
          <w:sz w:val="24"/>
          <w:szCs w:val="24"/>
        </w:rPr>
        <w:t>“administrativas ou judiciais</w:t>
      </w:r>
      <w:r>
        <w:rPr>
          <w:rFonts w:ascii="Times New Roman" w:hAnsi="Times New Roman"/>
          <w:sz w:val="24"/>
          <w:szCs w:val="24"/>
        </w:rPr>
        <w:t>”.</w:t>
      </w:r>
      <w:r w:rsidR="00232FA6" w:rsidRPr="00232FA6">
        <w:rPr>
          <w:rFonts w:ascii="Times New Roman" w:hAnsi="Times New Roman"/>
          <w:sz w:val="24"/>
          <w:szCs w:val="24"/>
          <w:vertAlign w:val="superscript"/>
        </w:rPr>
        <w:footnoteReference w:id="56"/>
      </w:r>
    </w:p>
    <w:p w14:paraId="003E7D0F" w14:textId="75829E89" w:rsidR="001157C4" w:rsidRPr="00096CC5" w:rsidRDefault="00BB5BF7" w:rsidP="00096CC5">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A partir de</w:t>
      </w:r>
      <w:r w:rsidR="007A5BD2">
        <w:rPr>
          <w:rFonts w:ascii="Times New Roman" w:hAnsi="Times New Roman"/>
          <w:sz w:val="24"/>
          <w:szCs w:val="24"/>
        </w:rPr>
        <w:t xml:space="preserve"> proposta similar</w:t>
      </w:r>
      <w:r w:rsidR="00E5704E">
        <w:rPr>
          <w:rStyle w:val="Refdenotaderodap"/>
          <w:rFonts w:ascii="Times New Roman" w:hAnsi="Times New Roman"/>
          <w:sz w:val="24"/>
          <w:szCs w:val="24"/>
        </w:rPr>
        <w:footnoteReference w:id="57"/>
      </w:r>
      <w:r>
        <w:rPr>
          <w:rFonts w:ascii="Times New Roman" w:hAnsi="Times New Roman"/>
          <w:sz w:val="24"/>
          <w:szCs w:val="24"/>
        </w:rPr>
        <w:t>, apresentada pel</w:t>
      </w:r>
      <w:r w:rsidR="007A5BD2">
        <w:rPr>
          <w:rFonts w:ascii="Times New Roman" w:hAnsi="Times New Roman"/>
          <w:sz w:val="24"/>
          <w:szCs w:val="24"/>
        </w:rPr>
        <w:t xml:space="preserve">a </w:t>
      </w:r>
      <w:r w:rsidR="00AC14EA">
        <w:rPr>
          <w:rFonts w:ascii="Times New Roman" w:hAnsi="Times New Roman"/>
          <w:sz w:val="24"/>
          <w:szCs w:val="24"/>
        </w:rPr>
        <w:t>c</w:t>
      </w:r>
      <w:r w:rsidR="007A5BD2">
        <w:rPr>
          <w:rFonts w:ascii="Times New Roman" w:hAnsi="Times New Roman"/>
          <w:sz w:val="24"/>
          <w:szCs w:val="24"/>
        </w:rPr>
        <w:t xml:space="preserve">omissão </w:t>
      </w:r>
      <w:r w:rsidR="00B8755A">
        <w:rPr>
          <w:rFonts w:ascii="Times New Roman" w:hAnsi="Times New Roman"/>
          <w:sz w:val="24"/>
          <w:szCs w:val="24"/>
        </w:rPr>
        <w:t xml:space="preserve">designada no </w:t>
      </w:r>
      <w:r w:rsidR="009C1DAF" w:rsidRPr="009C1DAF">
        <w:rPr>
          <w:rFonts w:ascii="Times New Roman" w:hAnsi="Times New Roman"/>
          <w:sz w:val="24"/>
          <w:szCs w:val="24"/>
        </w:rPr>
        <w:t>Ato Conjunto n. 01/2022</w:t>
      </w:r>
      <w:r w:rsidR="00FF002A">
        <w:rPr>
          <w:rFonts w:ascii="Times New Roman" w:hAnsi="Times New Roman"/>
          <w:sz w:val="24"/>
          <w:szCs w:val="24"/>
        </w:rPr>
        <w:t xml:space="preserve">, </w:t>
      </w:r>
      <w:r w:rsidR="00EB4C7F">
        <w:rPr>
          <w:rFonts w:ascii="Times New Roman" w:hAnsi="Times New Roman"/>
          <w:sz w:val="24"/>
          <w:szCs w:val="24"/>
        </w:rPr>
        <w:t xml:space="preserve">foi </w:t>
      </w:r>
      <w:r w:rsidR="00AC14EA">
        <w:rPr>
          <w:rFonts w:ascii="Times New Roman" w:hAnsi="Times New Roman"/>
          <w:sz w:val="24"/>
          <w:szCs w:val="24"/>
        </w:rPr>
        <w:t>proposto</w:t>
      </w:r>
      <w:r w:rsidR="00EB4C7F">
        <w:rPr>
          <w:rFonts w:ascii="Times New Roman" w:hAnsi="Times New Roman"/>
          <w:sz w:val="24"/>
          <w:szCs w:val="24"/>
        </w:rPr>
        <w:t xml:space="preserve"> </w:t>
      </w:r>
      <w:r w:rsidR="00FF002A">
        <w:rPr>
          <w:rFonts w:ascii="Times New Roman" w:hAnsi="Times New Roman"/>
          <w:sz w:val="24"/>
          <w:szCs w:val="24"/>
        </w:rPr>
        <w:t xml:space="preserve">o </w:t>
      </w:r>
      <w:r w:rsidR="00133338">
        <w:rPr>
          <w:rFonts w:ascii="Times New Roman" w:hAnsi="Times New Roman"/>
          <w:sz w:val="24"/>
          <w:szCs w:val="24"/>
        </w:rPr>
        <w:t xml:space="preserve">PL </w:t>
      </w:r>
      <w:r w:rsidR="00FF002A">
        <w:rPr>
          <w:rFonts w:ascii="Times New Roman" w:hAnsi="Times New Roman"/>
          <w:sz w:val="24"/>
          <w:szCs w:val="24"/>
        </w:rPr>
        <w:t xml:space="preserve">nº </w:t>
      </w:r>
      <w:r w:rsidR="00133338">
        <w:rPr>
          <w:rFonts w:ascii="Times New Roman" w:hAnsi="Times New Roman"/>
          <w:sz w:val="24"/>
          <w:szCs w:val="24"/>
        </w:rPr>
        <w:t>2485/2022</w:t>
      </w:r>
      <w:r w:rsidR="00467BC5">
        <w:rPr>
          <w:rFonts w:ascii="Times New Roman" w:hAnsi="Times New Roman"/>
          <w:sz w:val="24"/>
          <w:szCs w:val="24"/>
        </w:rPr>
        <w:t xml:space="preserve"> no Senado e o PL nº 2792/2022 na Câmara</w:t>
      </w:r>
      <w:r w:rsidR="00133338">
        <w:rPr>
          <w:rFonts w:ascii="Times New Roman" w:hAnsi="Times New Roman"/>
          <w:sz w:val="24"/>
          <w:szCs w:val="24"/>
        </w:rPr>
        <w:t xml:space="preserve">, </w:t>
      </w:r>
      <w:r w:rsidR="006332CF">
        <w:rPr>
          <w:rFonts w:ascii="Times New Roman" w:hAnsi="Times New Roman"/>
          <w:sz w:val="24"/>
          <w:szCs w:val="24"/>
        </w:rPr>
        <w:t>propos</w:t>
      </w:r>
      <w:r w:rsidR="00707704">
        <w:rPr>
          <w:rFonts w:ascii="Times New Roman" w:hAnsi="Times New Roman"/>
          <w:sz w:val="24"/>
          <w:szCs w:val="24"/>
        </w:rPr>
        <w:t xml:space="preserve">ições </w:t>
      </w:r>
      <w:r w:rsidR="006332CF">
        <w:rPr>
          <w:rFonts w:ascii="Times New Roman" w:hAnsi="Times New Roman"/>
          <w:sz w:val="24"/>
          <w:szCs w:val="24"/>
        </w:rPr>
        <w:t xml:space="preserve">idênticas </w:t>
      </w:r>
      <w:r w:rsidR="00133338">
        <w:rPr>
          <w:rFonts w:ascii="Times New Roman" w:hAnsi="Times New Roman"/>
          <w:sz w:val="24"/>
          <w:szCs w:val="24"/>
        </w:rPr>
        <w:t>que busca</w:t>
      </w:r>
      <w:r w:rsidR="006332CF">
        <w:rPr>
          <w:rFonts w:ascii="Times New Roman" w:hAnsi="Times New Roman"/>
          <w:sz w:val="24"/>
          <w:szCs w:val="24"/>
        </w:rPr>
        <w:t>m</w:t>
      </w:r>
      <w:r w:rsidR="00133338">
        <w:rPr>
          <w:rFonts w:ascii="Times New Roman" w:hAnsi="Times New Roman"/>
          <w:sz w:val="24"/>
          <w:szCs w:val="24"/>
        </w:rPr>
        <w:t xml:space="preserve"> </w:t>
      </w:r>
      <w:r w:rsidR="00EB4C7F">
        <w:rPr>
          <w:rFonts w:ascii="Times New Roman" w:hAnsi="Times New Roman"/>
          <w:sz w:val="24"/>
          <w:szCs w:val="24"/>
        </w:rPr>
        <w:t xml:space="preserve">instituir </w:t>
      </w:r>
      <w:r w:rsidR="004F4612" w:rsidRPr="004F4612">
        <w:rPr>
          <w:rFonts w:ascii="Times New Roman" w:hAnsi="Times New Roman"/>
          <w:sz w:val="24"/>
          <w:szCs w:val="24"/>
        </w:rPr>
        <w:t>a mediação tributária na União como meio de prevenção consensual de conflitos em matéria tributária entre a Fazenda Pública Federal e o sujeito passivo.</w:t>
      </w:r>
      <w:r w:rsidR="00096CC5">
        <w:rPr>
          <w:rFonts w:ascii="Times New Roman" w:hAnsi="Times New Roman"/>
          <w:sz w:val="24"/>
          <w:szCs w:val="24"/>
        </w:rPr>
        <w:t xml:space="preserve"> </w:t>
      </w:r>
      <w:r w:rsidR="00B6448F">
        <w:rPr>
          <w:rFonts w:ascii="Times New Roman" w:hAnsi="Times New Roman"/>
          <w:sz w:val="24"/>
          <w:szCs w:val="24"/>
        </w:rPr>
        <w:t xml:space="preserve">Destacamos a </w:t>
      </w:r>
      <w:r w:rsidR="00B6448F">
        <w:rPr>
          <w:rFonts w:ascii="Times New Roman" w:hAnsi="Times New Roman"/>
          <w:sz w:val="24"/>
          <w:szCs w:val="24"/>
        </w:rPr>
        <w:lastRenderedPageBreak/>
        <w:t xml:space="preserve">priorização </w:t>
      </w:r>
      <w:r w:rsidR="001B1919">
        <w:rPr>
          <w:rFonts w:ascii="Times New Roman" w:hAnsi="Times New Roman"/>
          <w:sz w:val="24"/>
          <w:szCs w:val="24"/>
        </w:rPr>
        <w:t>de mediações coletivas</w:t>
      </w:r>
      <w:r w:rsidR="006332CF">
        <w:rPr>
          <w:rFonts w:ascii="Times New Roman" w:hAnsi="Times New Roman"/>
          <w:sz w:val="24"/>
          <w:szCs w:val="24"/>
        </w:rPr>
        <w:t xml:space="preserve"> e </w:t>
      </w:r>
      <w:r w:rsidR="00EF1A4D">
        <w:rPr>
          <w:rFonts w:ascii="Times New Roman" w:hAnsi="Times New Roman"/>
          <w:sz w:val="24"/>
          <w:szCs w:val="24"/>
        </w:rPr>
        <w:t xml:space="preserve">a previsão de ser exercida </w:t>
      </w:r>
      <w:r w:rsidR="00EF1A4D" w:rsidRPr="00096CC5">
        <w:rPr>
          <w:rFonts w:ascii="Times New Roman" w:hAnsi="Times New Roman"/>
          <w:sz w:val="24"/>
          <w:szCs w:val="24"/>
        </w:rPr>
        <w:t>“</w:t>
      </w:r>
      <w:r w:rsidR="003A5226" w:rsidRPr="00096CC5">
        <w:rPr>
          <w:rFonts w:ascii="Times New Roman" w:hAnsi="Times New Roman"/>
          <w:sz w:val="24"/>
          <w:szCs w:val="24"/>
        </w:rPr>
        <w:t>por mediadores internos e/ou externos, caracterizados pela existência ou não de vínculo funcional com a administração pública federal, os quais atuarão nas Câmaras de Mediação</w:t>
      </w:r>
      <w:r w:rsidR="00BC6D6B">
        <w:rPr>
          <w:rFonts w:ascii="Times New Roman" w:hAnsi="Times New Roman"/>
          <w:sz w:val="24"/>
          <w:szCs w:val="24"/>
        </w:rPr>
        <w:t>”</w:t>
      </w:r>
      <w:r w:rsidR="003A5226" w:rsidRPr="00096CC5">
        <w:rPr>
          <w:rFonts w:ascii="Times New Roman" w:hAnsi="Times New Roman"/>
          <w:sz w:val="24"/>
          <w:szCs w:val="24"/>
        </w:rPr>
        <w:t>.</w:t>
      </w:r>
    </w:p>
    <w:p w14:paraId="4461BD26" w14:textId="7AD1BA79" w:rsidR="003D27CB" w:rsidRDefault="00D10DFA" w:rsidP="00B022B7">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 xml:space="preserve">Como se nota, a autocomposição em matéria fiscal, na perspectiva </w:t>
      </w:r>
      <w:r w:rsidR="0052019E">
        <w:rPr>
          <w:rFonts w:ascii="Times New Roman" w:hAnsi="Times New Roman"/>
          <w:sz w:val="24"/>
          <w:szCs w:val="24"/>
        </w:rPr>
        <w:t xml:space="preserve">proposta, de ser </w:t>
      </w:r>
      <w:r w:rsidR="00475E81">
        <w:rPr>
          <w:rFonts w:ascii="Times New Roman" w:hAnsi="Times New Roman"/>
          <w:sz w:val="24"/>
          <w:szCs w:val="24"/>
        </w:rPr>
        <w:t xml:space="preserve">residual e </w:t>
      </w:r>
      <w:r>
        <w:rPr>
          <w:rFonts w:ascii="Times New Roman" w:hAnsi="Times New Roman"/>
          <w:sz w:val="24"/>
          <w:szCs w:val="24"/>
        </w:rPr>
        <w:t xml:space="preserve">complementar </w:t>
      </w:r>
      <w:r w:rsidR="00475E81">
        <w:rPr>
          <w:rFonts w:ascii="Times New Roman" w:hAnsi="Times New Roman"/>
          <w:sz w:val="24"/>
          <w:szCs w:val="24"/>
        </w:rPr>
        <w:t>à</w:t>
      </w:r>
      <w:r>
        <w:rPr>
          <w:rFonts w:ascii="Times New Roman" w:hAnsi="Times New Roman"/>
          <w:sz w:val="24"/>
          <w:szCs w:val="24"/>
        </w:rPr>
        <w:t xml:space="preserve"> transação tributária, </w:t>
      </w:r>
      <w:r w:rsidR="005F4A65">
        <w:rPr>
          <w:rFonts w:ascii="Times New Roman" w:hAnsi="Times New Roman"/>
          <w:sz w:val="24"/>
          <w:szCs w:val="24"/>
        </w:rPr>
        <w:t xml:space="preserve">já vem sendo </w:t>
      </w:r>
      <w:r w:rsidR="00E6476E">
        <w:rPr>
          <w:rFonts w:ascii="Times New Roman" w:hAnsi="Times New Roman"/>
          <w:sz w:val="24"/>
          <w:szCs w:val="24"/>
        </w:rPr>
        <w:t>implementada</w:t>
      </w:r>
      <w:r w:rsidR="006E6FBA">
        <w:rPr>
          <w:rFonts w:ascii="Times New Roman" w:hAnsi="Times New Roman"/>
          <w:sz w:val="24"/>
          <w:szCs w:val="24"/>
        </w:rPr>
        <w:t xml:space="preserve"> e é objeto de projetos de lei que podem ampliar</w:t>
      </w:r>
      <w:r w:rsidR="00397BC9">
        <w:rPr>
          <w:rFonts w:ascii="Times New Roman" w:hAnsi="Times New Roman"/>
          <w:sz w:val="24"/>
          <w:szCs w:val="24"/>
        </w:rPr>
        <w:t xml:space="preserve"> e consolidar a sua aplicação, sendo crucial que se fortaleça a clareza de seu importante papel no âmbito do contencioso tributário</w:t>
      </w:r>
      <w:r w:rsidR="00FD072B">
        <w:rPr>
          <w:rFonts w:ascii="Times New Roman" w:hAnsi="Times New Roman"/>
          <w:sz w:val="24"/>
          <w:szCs w:val="24"/>
        </w:rPr>
        <w:t xml:space="preserve"> e que se estabeleça </w:t>
      </w:r>
      <w:r w:rsidR="00F874A0" w:rsidRPr="00FD072B">
        <w:rPr>
          <w:rFonts w:ascii="Times New Roman" w:hAnsi="Times New Roman"/>
          <w:sz w:val="24"/>
          <w:szCs w:val="24"/>
        </w:rPr>
        <w:t>critérios que garantam isonomia entre os contribuintes e vantajosidade à Administração Pública, evitando que todo e qualquer tipo de controvérsia desague no Judiciário, o que inclusive terceiriza o poder de decisão, diminuindo o gerenciamento de risco da Fazenda Pública sobre o conflito e impacta</w:t>
      </w:r>
      <w:r w:rsidR="0052019E">
        <w:rPr>
          <w:rFonts w:ascii="Times New Roman" w:hAnsi="Times New Roman"/>
          <w:sz w:val="24"/>
          <w:szCs w:val="24"/>
        </w:rPr>
        <w:t xml:space="preserve"> na</w:t>
      </w:r>
      <w:r w:rsidR="00F874A0" w:rsidRPr="00FD072B">
        <w:rPr>
          <w:rFonts w:ascii="Times New Roman" w:hAnsi="Times New Roman"/>
          <w:sz w:val="24"/>
          <w:szCs w:val="24"/>
        </w:rPr>
        <w:t xml:space="preserve"> sua capacidade de influência no</w:t>
      </w:r>
      <w:r w:rsidR="00954F86">
        <w:rPr>
          <w:rFonts w:ascii="Times New Roman" w:hAnsi="Times New Roman"/>
          <w:sz w:val="24"/>
          <w:szCs w:val="24"/>
        </w:rPr>
        <w:t xml:space="preserve"> efetivo resultado </w:t>
      </w:r>
      <w:r w:rsidR="00F874A0" w:rsidRPr="00FD072B">
        <w:rPr>
          <w:rFonts w:ascii="Times New Roman" w:hAnsi="Times New Roman"/>
          <w:sz w:val="24"/>
          <w:szCs w:val="24"/>
        </w:rPr>
        <w:t>da</w:t>
      </w:r>
      <w:r w:rsidR="000F1CA7">
        <w:rPr>
          <w:rFonts w:ascii="Times New Roman" w:hAnsi="Times New Roman"/>
          <w:sz w:val="24"/>
          <w:szCs w:val="24"/>
        </w:rPr>
        <w:t xml:space="preserve"> resolução da disputa.</w:t>
      </w:r>
    </w:p>
    <w:p w14:paraId="1E6006BF" w14:textId="77777777" w:rsidR="00B022B7" w:rsidRPr="00FD072B" w:rsidRDefault="00B022B7" w:rsidP="00B022B7">
      <w:pPr>
        <w:spacing w:before="120" w:after="120" w:line="360" w:lineRule="auto"/>
        <w:ind w:right="-2" w:firstLine="851"/>
        <w:jc w:val="both"/>
        <w:rPr>
          <w:rFonts w:ascii="Times New Roman" w:hAnsi="Times New Roman"/>
          <w:sz w:val="24"/>
          <w:szCs w:val="24"/>
        </w:rPr>
      </w:pPr>
    </w:p>
    <w:p w14:paraId="2F5CFA66" w14:textId="2279A049" w:rsidR="008C666C" w:rsidRPr="001A7A75" w:rsidRDefault="005F4180" w:rsidP="00EE07B3">
      <w:pPr>
        <w:spacing w:before="120" w:after="120" w:line="360" w:lineRule="auto"/>
        <w:ind w:right="-2" w:firstLine="851"/>
        <w:jc w:val="both"/>
        <w:rPr>
          <w:rFonts w:ascii="Times New Roman" w:hAnsi="Times New Roman" w:cs="Times New Roman"/>
          <w:b/>
          <w:bCs/>
          <w:sz w:val="24"/>
          <w:szCs w:val="24"/>
        </w:rPr>
      </w:pPr>
      <w:r w:rsidRPr="005F4180">
        <w:rPr>
          <w:rFonts w:ascii="Times New Roman" w:hAnsi="Times New Roman" w:cs="Times New Roman"/>
          <w:b/>
          <w:bCs/>
          <w:sz w:val="24"/>
          <w:szCs w:val="24"/>
        </w:rPr>
        <w:t>4.</w:t>
      </w:r>
      <w:r w:rsidRPr="008C666C">
        <w:rPr>
          <w:rFonts w:ascii="Times New Roman" w:hAnsi="Times New Roman" w:cs="Times New Roman"/>
          <w:b/>
          <w:bCs/>
          <w:sz w:val="24"/>
          <w:szCs w:val="24"/>
        </w:rPr>
        <w:t>3</w:t>
      </w:r>
      <w:r w:rsidRPr="005F4180">
        <w:rPr>
          <w:rFonts w:ascii="Times New Roman" w:hAnsi="Times New Roman" w:cs="Times New Roman"/>
          <w:b/>
          <w:bCs/>
          <w:sz w:val="24"/>
          <w:szCs w:val="24"/>
        </w:rPr>
        <w:t>. DA A</w:t>
      </w:r>
      <w:r w:rsidRPr="008C666C">
        <w:rPr>
          <w:rFonts w:ascii="Times New Roman" w:hAnsi="Times New Roman" w:cs="Times New Roman"/>
          <w:b/>
          <w:bCs/>
          <w:sz w:val="24"/>
          <w:szCs w:val="24"/>
        </w:rPr>
        <w:t>RBITRAGEM TRIBUTÁRIA</w:t>
      </w:r>
    </w:p>
    <w:p w14:paraId="15DA8A22" w14:textId="34BB5E09" w:rsidR="00A4257C" w:rsidRDefault="00C13091" w:rsidP="00083ED8">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De</w:t>
      </w:r>
      <w:r w:rsidR="00047AD2">
        <w:rPr>
          <w:rFonts w:ascii="Times New Roman" w:hAnsi="Times New Roman"/>
          <w:sz w:val="24"/>
          <w:szCs w:val="24"/>
        </w:rPr>
        <w:t>ntro do sistema proposto, a</w:t>
      </w:r>
      <w:r w:rsidR="008C666C" w:rsidRPr="0095235F">
        <w:rPr>
          <w:rFonts w:ascii="Times New Roman" w:hAnsi="Times New Roman"/>
          <w:sz w:val="24"/>
          <w:szCs w:val="24"/>
        </w:rPr>
        <w:t xml:space="preserve"> arbitragem</w:t>
      </w:r>
      <w:r w:rsidR="00047AD2">
        <w:rPr>
          <w:rFonts w:ascii="Times New Roman" w:hAnsi="Times New Roman"/>
          <w:sz w:val="24"/>
          <w:szCs w:val="24"/>
        </w:rPr>
        <w:t xml:space="preserve"> tributária terá a função de atender</w:t>
      </w:r>
      <w:r w:rsidR="000D6023">
        <w:rPr>
          <w:rFonts w:ascii="Times New Roman" w:hAnsi="Times New Roman"/>
          <w:sz w:val="24"/>
          <w:szCs w:val="24"/>
        </w:rPr>
        <w:t>, especialmente,</w:t>
      </w:r>
      <w:r w:rsidR="00047AD2">
        <w:rPr>
          <w:rFonts w:ascii="Times New Roman" w:hAnsi="Times New Roman"/>
          <w:sz w:val="24"/>
          <w:szCs w:val="24"/>
        </w:rPr>
        <w:t xml:space="preserve"> </w:t>
      </w:r>
      <w:r w:rsidR="005F2094">
        <w:rPr>
          <w:rFonts w:ascii="Times New Roman" w:hAnsi="Times New Roman"/>
          <w:sz w:val="24"/>
          <w:szCs w:val="24"/>
        </w:rPr>
        <w:t>aos conflitos</w:t>
      </w:r>
      <w:r w:rsidR="000D6023">
        <w:rPr>
          <w:rFonts w:ascii="Times New Roman" w:hAnsi="Times New Roman"/>
          <w:sz w:val="24"/>
          <w:szCs w:val="24"/>
        </w:rPr>
        <w:t xml:space="preserve"> em que se verifique questões de alta complexidade</w:t>
      </w:r>
      <w:r w:rsidR="005F2094">
        <w:rPr>
          <w:rFonts w:ascii="Times New Roman" w:hAnsi="Times New Roman"/>
          <w:sz w:val="24"/>
          <w:szCs w:val="24"/>
        </w:rPr>
        <w:t xml:space="preserve"> </w:t>
      </w:r>
      <w:r w:rsidR="000D6023">
        <w:rPr>
          <w:rFonts w:ascii="Times New Roman" w:hAnsi="Times New Roman"/>
          <w:sz w:val="24"/>
          <w:szCs w:val="24"/>
        </w:rPr>
        <w:t xml:space="preserve">fática, </w:t>
      </w:r>
      <w:r w:rsidR="005F2094">
        <w:rPr>
          <w:rFonts w:ascii="Times New Roman" w:hAnsi="Times New Roman"/>
          <w:sz w:val="24"/>
          <w:szCs w:val="24"/>
        </w:rPr>
        <w:t>viabiliza</w:t>
      </w:r>
      <w:r w:rsidR="000D6023">
        <w:rPr>
          <w:rFonts w:ascii="Times New Roman" w:hAnsi="Times New Roman"/>
          <w:sz w:val="24"/>
          <w:szCs w:val="24"/>
        </w:rPr>
        <w:t>ndo-se</w:t>
      </w:r>
      <w:r w:rsidR="005F2094">
        <w:rPr>
          <w:rFonts w:ascii="Times New Roman" w:hAnsi="Times New Roman"/>
          <w:sz w:val="24"/>
          <w:szCs w:val="24"/>
        </w:rPr>
        <w:t xml:space="preserve"> deci</w:t>
      </w:r>
      <w:r w:rsidR="00A47EE4">
        <w:rPr>
          <w:rFonts w:ascii="Times New Roman" w:hAnsi="Times New Roman"/>
          <w:sz w:val="24"/>
          <w:szCs w:val="24"/>
        </w:rPr>
        <w:t>sões técnicas, mas com maior celeridade.</w:t>
      </w:r>
      <w:r w:rsidR="00083ED8">
        <w:rPr>
          <w:rFonts w:ascii="Times New Roman" w:hAnsi="Times New Roman"/>
          <w:sz w:val="24"/>
          <w:szCs w:val="24"/>
        </w:rPr>
        <w:t xml:space="preserve"> </w:t>
      </w:r>
      <w:r w:rsidR="008F6123">
        <w:rPr>
          <w:rFonts w:ascii="Times New Roman" w:hAnsi="Times New Roman"/>
          <w:sz w:val="24"/>
          <w:szCs w:val="24"/>
        </w:rPr>
        <w:t>A</w:t>
      </w:r>
      <w:r w:rsidR="006E390E">
        <w:rPr>
          <w:rFonts w:ascii="Times New Roman" w:hAnsi="Times New Roman"/>
          <w:sz w:val="24"/>
          <w:szCs w:val="24"/>
        </w:rPr>
        <w:t>rbitragem</w:t>
      </w:r>
      <w:r w:rsidR="00644D27">
        <w:rPr>
          <w:rStyle w:val="Refdenotaderodap"/>
          <w:rFonts w:ascii="Times New Roman" w:hAnsi="Times New Roman"/>
          <w:sz w:val="24"/>
          <w:szCs w:val="24"/>
        </w:rPr>
        <w:footnoteReference w:id="58"/>
      </w:r>
      <w:r w:rsidR="006E390E">
        <w:rPr>
          <w:rFonts w:ascii="Times New Roman" w:hAnsi="Times New Roman"/>
          <w:sz w:val="24"/>
          <w:szCs w:val="24"/>
        </w:rPr>
        <w:t xml:space="preserve"> é </w:t>
      </w:r>
      <w:r w:rsidR="009E1E24">
        <w:rPr>
          <w:rFonts w:ascii="Times New Roman" w:hAnsi="Times New Roman"/>
          <w:sz w:val="24"/>
          <w:szCs w:val="24"/>
        </w:rPr>
        <w:t xml:space="preserve">método </w:t>
      </w:r>
      <w:r w:rsidR="009E1E24" w:rsidRPr="00BC7498">
        <w:rPr>
          <w:rFonts w:ascii="Times New Roman" w:hAnsi="Times New Roman"/>
          <w:i/>
          <w:iCs/>
          <w:sz w:val="24"/>
          <w:szCs w:val="24"/>
        </w:rPr>
        <w:t>heterocompositivo</w:t>
      </w:r>
      <w:r w:rsidR="00BC7498">
        <w:rPr>
          <w:rFonts w:ascii="Times New Roman" w:hAnsi="Times New Roman"/>
          <w:sz w:val="24"/>
          <w:szCs w:val="24"/>
        </w:rPr>
        <w:t xml:space="preserve"> de solução de conflitos</w:t>
      </w:r>
      <w:r w:rsidR="000D038A">
        <w:rPr>
          <w:rFonts w:ascii="Times New Roman" w:hAnsi="Times New Roman"/>
          <w:sz w:val="24"/>
          <w:szCs w:val="24"/>
        </w:rPr>
        <w:t>, se diferenciando da autocomposição na medida em que o poder de decidir</w:t>
      </w:r>
      <w:r w:rsidR="00A9334A">
        <w:rPr>
          <w:rFonts w:ascii="Times New Roman" w:hAnsi="Times New Roman"/>
          <w:sz w:val="24"/>
          <w:szCs w:val="24"/>
        </w:rPr>
        <w:t xml:space="preserve"> a controvérsia é atribuída a um terceiro, que o faz com imparcialidade e definitividade.</w:t>
      </w:r>
    </w:p>
    <w:p w14:paraId="78113728" w14:textId="603DAA90" w:rsidR="00097990" w:rsidRPr="008F6123" w:rsidRDefault="00DD670A" w:rsidP="00D638E8">
      <w:pPr>
        <w:spacing w:before="120" w:after="120" w:line="360" w:lineRule="auto"/>
        <w:ind w:right="-2" w:firstLine="851"/>
        <w:jc w:val="both"/>
        <w:rPr>
          <w:rFonts w:ascii="Times New Roman" w:eastAsia="Calibri" w:hAnsi="Times New Roman" w:cs="Times New Roman"/>
          <w:sz w:val="20"/>
          <w:szCs w:val="20"/>
        </w:rPr>
      </w:pPr>
      <w:r>
        <w:rPr>
          <w:rFonts w:ascii="Times New Roman" w:hAnsi="Times New Roman"/>
          <w:sz w:val="24"/>
          <w:szCs w:val="24"/>
        </w:rPr>
        <w:t xml:space="preserve">Desde a edição da Lei </w:t>
      </w:r>
      <w:r w:rsidR="00BE1599">
        <w:rPr>
          <w:rFonts w:ascii="Times New Roman" w:hAnsi="Times New Roman"/>
          <w:sz w:val="24"/>
          <w:szCs w:val="24"/>
        </w:rPr>
        <w:t xml:space="preserve">Geral </w:t>
      </w:r>
      <w:r>
        <w:rPr>
          <w:rFonts w:ascii="Times New Roman" w:hAnsi="Times New Roman"/>
          <w:sz w:val="24"/>
          <w:szCs w:val="24"/>
        </w:rPr>
        <w:t>de Arbitragem (</w:t>
      </w:r>
      <w:r w:rsidR="00684F9A">
        <w:rPr>
          <w:rFonts w:ascii="Times New Roman" w:hAnsi="Times New Roman"/>
          <w:sz w:val="24"/>
          <w:szCs w:val="24"/>
        </w:rPr>
        <w:t>Lei nº 9.307/1996), o instituto vem evoluindo</w:t>
      </w:r>
      <w:r w:rsidR="00097990">
        <w:rPr>
          <w:rFonts w:ascii="Times New Roman" w:hAnsi="Times New Roman"/>
          <w:sz w:val="24"/>
          <w:szCs w:val="24"/>
        </w:rPr>
        <w:t xml:space="preserve"> no </w:t>
      </w:r>
      <w:r w:rsidR="0098467F">
        <w:rPr>
          <w:rFonts w:ascii="Times New Roman" w:hAnsi="Times New Roman"/>
          <w:sz w:val="24"/>
          <w:szCs w:val="24"/>
        </w:rPr>
        <w:t>d</w:t>
      </w:r>
      <w:r w:rsidR="00097990">
        <w:rPr>
          <w:rFonts w:ascii="Times New Roman" w:hAnsi="Times New Roman"/>
          <w:sz w:val="24"/>
          <w:szCs w:val="24"/>
        </w:rPr>
        <w:t xml:space="preserve">ireito </w:t>
      </w:r>
      <w:r w:rsidR="0098467F">
        <w:rPr>
          <w:rFonts w:ascii="Times New Roman" w:hAnsi="Times New Roman"/>
          <w:sz w:val="24"/>
          <w:szCs w:val="24"/>
        </w:rPr>
        <w:t>p</w:t>
      </w:r>
      <w:r w:rsidR="00097990">
        <w:rPr>
          <w:rFonts w:ascii="Times New Roman" w:hAnsi="Times New Roman"/>
          <w:sz w:val="24"/>
          <w:szCs w:val="24"/>
        </w:rPr>
        <w:t>rivado</w:t>
      </w:r>
      <w:r w:rsidR="00684F9A">
        <w:rPr>
          <w:rFonts w:ascii="Times New Roman" w:hAnsi="Times New Roman"/>
          <w:sz w:val="24"/>
          <w:szCs w:val="24"/>
        </w:rPr>
        <w:t>, tendo se expandido para os conflitos envolvendo a Administração Pública</w:t>
      </w:r>
      <w:r w:rsidR="00CC79F7">
        <w:rPr>
          <w:rFonts w:ascii="Times New Roman" w:hAnsi="Times New Roman"/>
          <w:sz w:val="24"/>
          <w:szCs w:val="24"/>
        </w:rPr>
        <w:t xml:space="preserve"> a partir da Lei nº 13.129/2015, que incluiu os parágrafos primeiro e segundo</w:t>
      </w:r>
      <w:r w:rsidR="000E0C47">
        <w:rPr>
          <w:rFonts w:ascii="Times New Roman" w:hAnsi="Times New Roman"/>
          <w:sz w:val="24"/>
          <w:szCs w:val="24"/>
        </w:rPr>
        <w:t xml:space="preserve"> ao </w:t>
      </w:r>
      <w:r w:rsidR="004B1A6B">
        <w:rPr>
          <w:rFonts w:ascii="Times New Roman" w:hAnsi="Times New Roman"/>
          <w:sz w:val="24"/>
          <w:szCs w:val="24"/>
        </w:rPr>
        <w:t xml:space="preserve">seu </w:t>
      </w:r>
      <w:r w:rsidR="000E0C47">
        <w:rPr>
          <w:rFonts w:ascii="Times New Roman" w:hAnsi="Times New Roman"/>
          <w:sz w:val="24"/>
          <w:szCs w:val="24"/>
        </w:rPr>
        <w:t>art. 1º</w:t>
      </w:r>
      <w:r w:rsidR="00BE1599">
        <w:rPr>
          <w:rFonts w:ascii="Times New Roman" w:hAnsi="Times New Roman"/>
          <w:sz w:val="24"/>
          <w:szCs w:val="24"/>
        </w:rPr>
        <w:t>.</w:t>
      </w:r>
    </w:p>
    <w:p w14:paraId="3E4EF5E3" w14:textId="225EA297" w:rsidR="00EA4A95" w:rsidRDefault="00BE1599" w:rsidP="00EE07B3">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O</w:t>
      </w:r>
      <w:r w:rsidR="008D2ABA">
        <w:rPr>
          <w:rFonts w:ascii="Times New Roman" w:hAnsi="Times New Roman"/>
          <w:sz w:val="24"/>
          <w:szCs w:val="24"/>
        </w:rPr>
        <w:t xml:space="preserve">ptou-se por autorizar o uso da arbitragem pela Fazenda Pública </w:t>
      </w:r>
      <w:r w:rsidR="008D2ABA" w:rsidRPr="008D2ABA">
        <w:rPr>
          <w:rFonts w:ascii="Times New Roman" w:hAnsi="Times New Roman"/>
          <w:sz w:val="24"/>
          <w:szCs w:val="24"/>
        </w:rPr>
        <w:t>para direito</w:t>
      </w:r>
      <w:r w:rsidR="008D2ABA">
        <w:rPr>
          <w:rFonts w:ascii="Times New Roman" w:hAnsi="Times New Roman"/>
          <w:sz w:val="24"/>
          <w:szCs w:val="24"/>
        </w:rPr>
        <w:t xml:space="preserve">s patrimoniais </w:t>
      </w:r>
      <w:r w:rsidR="008D2ABA">
        <w:rPr>
          <w:rFonts w:ascii="Times New Roman" w:hAnsi="Times New Roman"/>
          <w:i/>
          <w:iCs/>
          <w:sz w:val="24"/>
          <w:szCs w:val="24"/>
        </w:rPr>
        <w:t>disponíveis</w:t>
      </w:r>
      <w:r w:rsidR="00A80063">
        <w:rPr>
          <w:rFonts w:ascii="Times New Roman" w:hAnsi="Times New Roman"/>
          <w:sz w:val="24"/>
          <w:szCs w:val="24"/>
        </w:rPr>
        <w:t>, o que já foi regulamentado por alguns estados membros</w:t>
      </w:r>
      <w:r w:rsidR="003F4A52">
        <w:rPr>
          <w:rStyle w:val="Refdenotaderodap"/>
          <w:rFonts w:ascii="Times New Roman" w:hAnsi="Times New Roman"/>
          <w:sz w:val="24"/>
          <w:szCs w:val="24"/>
        </w:rPr>
        <w:footnoteReference w:id="59"/>
      </w:r>
      <w:r w:rsidR="005D584B">
        <w:rPr>
          <w:rFonts w:ascii="Times New Roman" w:hAnsi="Times New Roman"/>
          <w:sz w:val="24"/>
          <w:szCs w:val="24"/>
        </w:rPr>
        <w:t xml:space="preserve">. Além disso, o parágrafo segundo estabelece </w:t>
      </w:r>
      <w:r w:rsidR="001B6C49">
        <w:rPr>
          <w:rFonts w:ascii="Times New Roman" w:hAnsi="Times New Roman"/>
          <w:sz w:val="24"/>
          <w:szCs w:val="24"/>
        </w:rPr>
        <w:t>norma de integração</w:t>
      </w:r>
      <w:r w:rsidR="005D584B">
        <w:rPr>
          <w:rFonts w:ascii="Times New Roman" w:hAnsi="Times New Roman"/>
          <w:sz w:val="24"/>
          <w:szCs w:val="24"/>
        </w:rPr>
        <w:t xml:space="preserve"> d</w:t>
      </w:r>
      <w:r w:rsidR="001B6C49">
        <w:rPr>
          <w:rFonts w:ascii="Times New Roman" w:hAnsi="Times New Roman"/>
          <w:sz w:val="24"/>
          <w:szCs w:val="24"/>
        </w:rPr>
        <w:t>os</w:t>
      </w:r>
      <w:r w:rsidR="005D584B">
        <w:rPr>
          <w:rFonts w:ascii="Times New Roman" w:hAnsi="Times New Roman"/>
          <w:sz w:val="24"/>
          <w:szCs w:val="24"/>
        </w:rPr>
        <w:t xml:space="preserve"> </w:t>
      </w:r>
      <w:r w:rsidR="004A3786">
        <w:rPr>
          <w:rFonts w:ascii="Times New Roman" w:hAnsi="Times New Roman"/>
          <w:sz w:val="24"/>
          <w:szCs w:val="24"/>
        </w:rPr>
        <w:t>instrumentos de consensualidade, reforçando a coesão do microssistema normativo de métodos adequados de resolução de conflitos.</w:t>
      </w:r>
    </w:p>
    <w:p w14:paraId="07FAC471" w14:textId="0CBB2991" w:rsidR="00540867" w:rsidRDefault="00BE5BB4" w:rsidP="005F30B9">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lastRenderedPageBreak/>
        <w:t xml:space="preserve">No caso da arbitralidade </w:t>
      </w:r>
      <w:r w:rsidR="00556E04">
        <w:rPr>
          <w:rFonts w:ascii="Times New Roman" w:hAnsi="Times New Roman"/>
          <w:sz w:val="24"/>
          <w:szCs w:val="24"/>
        </w:rPr>
        <w:t>fiscal</w:t>
      </w:r>
      <w:r w:rsidR="00CB5D8B">
        <w:rPr>
          <w:rStyle w:val="Refdenotaderodap"/>
          <w:rFonts w:ascii="Times New Roman" w:hAnsi="Times New Roman"/>
          <w:sz w:val="24"/>
          <w:szCs w:val="24"/>
        </w:rPr>
        <w:footnoteReference w:id="60"/>
      </w:r>
      <w:r w:rsidR="00427B08">
        <w:rPr>
          <w:rFonts w:ascii="Times New Roman" w:hAnsi="Times New Roman"/>
          <w:sz w:val="24"/>
          <w:szCs w:val="24"/>
        </w:rPr>
        <w:t>, o</w:t>
      </w:r>
      <w:r w:rsidR="00674773">
        <w:rPr>
          <w:rFonts w:ascii="Times New Roman" w:hAnsi="Times New Roman"/>
          <w:sz w:val="24"/>
          <w:szCs w:val="24"/>
        </w:rPr>
        <w:t xml:space="preserve"> primeiro obstáculo </w:t>
      </w:r>
      <w:r w:rsidR="00E36C73">
        <w:rPr>
          <w:rFonts w:ascii="Times New Roman" w:hAnsi="Times New Roman"/>
          <w:sz w:val="24"/>
          <w:szCs w:val="24"/>
        </w:rPr>
        <w:t xml:space="preserve">é </w:t>
      </w:r>
      <w:r>
        <w:rPr>
          <w:rFonts w:ascii="Times New Roman" w:hAnsi="Times New Roman"/>
          <w:sz w:val="24"/>
          <w:szCs w:val="24"/>
        </w:rPr>
        <w:t xml:space="preserve">justamente </w:t>
      </w:r>
      <w:r w:rsidR="00E36C73">
        <w:rPr>
          <w:rFonts w:ascii="Times New Roman" w:hAnsi="Times New Roman"/>
          <w:sz w:val="24"/>
          <w:szCs w:val="24"/>
        </w:rPr>
        <w:t>a discussão a respeito da (in)disponibilidade do crédito tributário</w:t>
      </w:r>
      <w:r w:rsidR="00540867">
        <w:rPr>
          <w:rFonts w:ascii="Times New Roman" w:hAnsi="Times New Roman"/>
          <w:sz w:val="24"/>
          <w:szCs w:val="24"/>
        </w:rPr>
        <w:t>.</w:t>
      </w:r>
      <w:r w:rsidR="005F30B9">
        <w:rPr>
          <w:rFonts w:ascii="Times New Roman" w:hAnsi="Times New Roman"/>
          <w:sz w:val="24"/>
          <w:szCs w:val="24"/>
        </w:rPr>
        <w:t xml:space="preserve"> </w:t>
      </w:r>
      <w:r w:rsidR="00142367">
        <w:rPr>
          <w:rFonts w:ascii="Times New Roman" w:hAnsi="Times New Roman"/>
          <w:sz w:val="24"/>
          <w:szCs w:val="24"/>
        </w:rPr>
        <w:t>Conforme destacamos em artigo publicado na Revista da PGE/MS</w:t>
      </w:r>
      <w:r w:rsidR="00382F58">
        <w:rPr>
          <w:rStyle w:val="Refdenotaderodap"/>
          <w:rFonts w:ascii="Times New Roman" w:hAnsi="Times New Roman"/>
          <w:sz w:val="24"/>
          <w:szCs w:val="24"/>
        </w:rPr>
        <w:footnoteReference w:id="61"/>
      </w:r>
      <w:r w:rsidR="00142367">
        <w:rPr>
          <w:rFonts w:ascii="Times New Roman" w:hAnsi="Times New Roman"/>
          <w:sz w:val="24"/>
          <w:szCs w:val="24"/>
        </w:rPr>
        <w:t xml:space="preserve">, o </w:t>
      </w:r>
      <w:r w:rsidR="00142367" w:rsidRPr="00A073FF">
        <w:rPr>
          <w:rFonts w:ascii="Times New Roman" w:hAnsi="Times New Roman"/>
          <w:sz w:val="24"/>
          <w:szCs w:val="24"/>
        </w:rPr>
        <w:t>“</w:t>
      </w:r>
      <w:r w:rsidR="00500CCB" w:rsidRPr="00A073FF">
        <w:rPr>
          <w:rFonts w:ascii="Times New Roman" w:hAnsi="Times New Roman"/>
          <w:sz w:val="24"/>
          <w:szCs w:val="24"/>
        </w:rPr>
        <w:t>crédito tributário, em regra, representa um direito patrimonial, de interesse público secundário, cuja finalidade é fornecer meios para que o Estado, em sentido amplo, tenha condições financeiras de atender aos interesses (primários) da coletividade</w:t>
      </w:r>
      <w:r w:rsidR="00B37368" w:rsidRPr="00A073FF">
        <w:rPr>
          <w:rFonts w:ascii="Times New Roman" w:hAnsi="Times New Roman"/>
          <w:sz w:val="24"/>
          <w:szCs w:val="24"/>
        </w:rPr>
        <w:t xml:space="preserve">”, sendo </w:t>
      </w:r>
      <w:r w:rsidR="00B37368">
        <w:rPr>
          <w:rFonts w:ascii="Times New Roman" w:hAnsi="Times New Roman"/>
          <w:sz w:val="24"/>
          <w:szCs w:val="24"/>
        </w:rPr>
        <w:t>que sua disponibilidade</w:t>
      </w:r>
      <w:r w:rsidR="005B5742">
        <w:rPr>
          <w:rStyle w:val="Refdenotaderodap"/>
          <w:rFonts w:ascii="Times New Roman" w:hAnsi="Times New Roman"/>
          <w:sz w:val="24"/>
          <w:szCs w:val="24"/>
        </w:rPr>
        <w:footnoteReference w:id="62"/>
      </w:r>
      <w:r w:rsidR="00B37368">
        <w:rPr>
          <w:rFonts w:ascii="Times New Roman" w:hAnsi="Times New Roman"/>
          <w:sz w:val="24"/>
          <w:szCs w:val="24"/>
        </w:rPr>
        <w:t xml:space="preserve"> é tomada como premissa no Sistema Tributário Nacional, que prevê</w:t>
      </w:r>
      <w:r w:rsidR="002C25DA">
        <w:rPr>
          <w:rFonts w:ascii="Times New Roman" w:hAnsi="Times New Roman"/>
          <w:sz w:val="24"/>
          <w:szCs w:val="24"/>
        </w:rPr>
        <w:t xml:space="preserve"> instrumentos de disposição do crédito</w:t>
      </w:r>
      <w:r w:rsidR="00AB34E1">
        <w:rPr>
          <w:rFonts w:ascii="Times New Roman" w:hAnsi="Times New Roman"/>
          <w:sz w:val="24"/>
          <w:szCs w:val="24"/>
        </w:rPr>
        <w:t xml:space="preserve"> público</w:t>
      </w:r>
      <w:r w:rsidR="002C25DA">
        <w:rPr>
          <w:rFonts w:ascii="Times New Roman" w:hAnsi="Times New Roman"/>
          <w:sz w:val="24"/>
          <w:szCs w:val="24"/>
        </w:rPr>
        <w:t>, como a isenção, anistia, parcelamento e a própria transação.</w:t>
      </w:r>
    </w:p>
    <w:p w14:paraId="09EF3998" w14:textId="360E5F7B" w:rsidR="001A6FEC" w:rsidRPr="007C0395" w:rsidRDefault="005D1495" w:rsidP="005D1495">
      <w:pPr>
        <w:spacing w:before="120" w:after="120" w:line="360" w:lineRule="auto"/>
        <w:ind w:right="-2" w:firstLine="851"/>
        <w:jc w:val="both"/>
        <w:rPr>
          <w:rFonts w:ascii="Times New Roman" w:hAnsi="Times New Roman"/>
          <w:sz w:val="24"/>
          <w:szCs w:val="24"/>
        </w:rPr>
      </w:pPr>
      <w:r>
        <w:rPr>
          <w:rFonts w:ascii="Times New Roman" w:hAnsi="Times New Roman"/>
          <w:sz w:val="24"/>
          <w:szCs w:val="24"/>
        </w:rPr>
        <w:t>O</w:t>
      </w:r>
      <w:r w:rsidR="00FC6996">
        <w:rPr>
          <w:rFonts w:ascii="Times New Roman" w:hAnsi="Times New Roman"/>
          <w:sz w:val="24"/>
          <w:szCs w:val="24"/>
        </w:rPr>
        <w:t xml:space="preserve"> exercício desta disposição</w:t>
      </w:r>
      <w:r>
        <w:rPr>
          <w:rFonts w:ascii="Times New Roman" w:hAnsi="Times New Roman"/>
          <w:sz w:val="24"/>
          <w:szCs w:val="24"/>
        </w:rPr>
        <w:t>, porém,</w:t>
      </w:r>
      <w:r w:rsidR="00FC6996">
        <w:rPr>
          <w:rFonts w:ascii="Times New Roman" w:hAnsi="Times New Roman"/>
          <w:sz w:val="24"/>
          <w:szCs w:val="24"/>
        </w:rPr>
        <w:t xml:space="preserve"> depende de atividade legislativa</w:t>
      </w:r>
      <w:r w:rsidR="00603CDD">
        <w:rPr>
          <w:rFonts w:ascii="Times New Roman" w:hAnsi="Times New Roman"/>
          <w:sz w:val="24"/>
          <w:szCs w:val="24"/>
        </w:rPr>
        <w:t>, de iniciativa privativa</w:t>
      </w:r>
      <w:r w:rsidR="00D9140F">
        <w:rPr>
          <w:rFonts w:ascii="Times New Roman" w:hAnsi="Times New Roman"/>
          <w:sz w:val="24"/>
          <w:szCs w:val="24"/>
        </w:rPr>
        <w:t xml:space="preserve">, </w:t>
      </w:r>
      <w:r w:rsidR="000D5191">
        <w:rPr>
          <w:rFonts w:ascii="Times New Roman" w:hAnsi="Times New Roman"/>
          <w:sz w:val="24"/>
          <w:szCs w:val="24"/>
        </w:rPr>
        <w:t>e deve</w:t>
      </w:r>
      <w:r w:rsidR="003F67B9">
        <w:rPr>
          <w:rFonts w:ascii="Times New Roman" w:hAnsi="Times New Roman"/>
          <w:sz w:val="24"/>
          <w:szCs w:val="24"/>
        </w:rPr>
        <w:t xml:space="preserve"> se conformar ao sistema constitucional e aos princípios </w:t>
      </w:r>
      <w:r w:rsidR="001A6FEC">
        <w:rPr>
          <w:rFonts w:ascii="Times New Roman" w:hAnsi="Times New Roman"/>
          <w:sz w:val="24"/>
          <w:szCs w:val="24"/>
        </w:rPr>
        <w:t xml:space="preserve">gerais de </w:t>
      </w:r>
      <w:r w:rsidR="00341AFC">
        <w:rPr>
          <w:rFonts w:ascii="Times New Roman" w:hAnsi="Times New Roman"/>
          <w:sz w:val="24"/>
          <w:szCs w:val="24"/>
        </w:rPr>
        <w:t>d</w:t>
      </w:r>
      <w:r w:rsidR="001A6FEC">
        <w:rPr>
          <w:rFonts w:ascii="Times New Roman" w:hAnsi="Times New Roman"/>
          <w:sz w:val="24"/>
          <w:szCs w:val="24"/>
        </w:rPr>
        <w:t xml:space="preserve">ireito </w:t>
      </w:r>
      <w:r w:rsidR="00341AFC">
        <w:rPr>
          <w:rFonts w:ascii="Times New Roman" w:hAnsi="Times New Roman"/>
          <w:sz w:val="24"/>
          <w:szCs w:val="24"/>
        </w:rPr>
        <w:t>p</w:t>
      </w:r>
      <w:r w:rsidR="001A6FEC">
        <w:rPr>
          <w:rFonts w:ascii="Times New Roman" w:hAnsi="Times New Roman"/>
          <w:sz w:val="24"/>
          <w:szCs w:val="24"/>
        </w:rPr>
        <w:t>úblico.</w:t>
      </w:r>
      <w:r>
        <w:rPr>
          <w:rFonts w:ascii="Times New Roman" w:hAnsi="Times New Roman"/>
          <w:sz w:val="24"/>
          <w:szCs w:val="24"/>
        </w:rPr>
        <w:t xml:space="preserve"> Fato é que</w:t>
      </w:r>
      <w:r w:rsidR="003260CC">
        <w:rPr>
          <w:rFonts w:ascii="Times New Roman" w:hAnsi="Times New Roman"/>
          <w:sz w:val="24"/>
          <w:szCs w:val="24"/>
        </w:rPr>
        <w:t xml:space="preserve"> existe margem de disponibilidade do crédito tributário</w:t>
      </w:r>
      <w:r w:rsidR="004C50D1">
        <w:rPr>
          <w:rFonts w:ascii="Times New Roman" w:hAnsi="Times New Roman"/>
          <w:sz w:val="24"/>
          <w:szCs w:val="24"/>
        </w:rPr>
        <w:t>,</w:t>
      </w:r>
      <w:r>
        <w:rPr>
          <w:rFonts w:ascii="Times New Roman" w:hAnsi="Times New Roman"/>
          <w:i/>
          <w:iCs/>
          <w:sz w:val="24"/>
          <w:szCs w:val="24"/>
        </w:rPr>
        <w:t xml:space="preserve"> </w:t>
      </w:r>
      <w:r w:rsidR="007C0395" w:rsidRPr="007C0395">
        <w:rPr>
          <w:rFonts w:ascii="Times New Roman" w:hAnsi="Times New Roman"/>
          <w:sz w:val="24"/>
          <w:szCs w:val="24"/>
        </w:rPr>
        <w:t>“</w:t>
      </w:r>
      <w:r w:rsidR="00930A94" w:rsidRPr="007C0395">
        <w:rPr>
          <w:rFonts w:ascii="Times New Roman" w:eastAsia="Calibri" w:hAnsi="Times New Roman" w:cs="Times New Roman"/>
          <w:sz w:val="24"/>
          <w:szCs w:val="24"/>
        </w:rPr>
        <w:t>residindo o desafio na dificuldade de se estabelecer as condições e limites que possibilitem encontrar o ponto ótimo (ou equilíbrio) entre perseguir a eficiência (implementando, por exemplo, a arbitragem), sem se descuidar dos outros princípios e garantias fundamentais”.</w:t>
      </w:r>
      <w:r w:rsidR="00930A94" w:rsidRPr="007C0395">
        <w:rPr>
          <w:rStyle w:val="Refdenotaderodap"/>
          <w:rFonts w:ascii="Times New Roman" w:eastAsia="Calibri" w:hAnsi="Times New Roman" w:cs="Times New Roman"/>
          <w:sz w:val="24"/>
          <w:szCs w:val="24"/>
        </w:rPr>
        <w:footnoteReference w:id="63"/>
      </w:r>
    </w:p>
    <w:p w14:paraId="6B300C0E" w14:textId="10118814" w:rsidR="001B6220" w:rsidRDefault="001E0A15" w:rsidP="00EE07B3">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Dito isso, enfatizamos que, </w:t>
      </w:r>
      <w:r w:rsidR="009A4B75">
        <w:rPr>
          <w:rFonts w:ascii="Times New Roman" w:eastAsia="Calibri" w:hAnsi="Times New Roman" w:cs="Times New Roman"/>
          <w:sz w:val="24"/>
          <w:szCs w:val="24"/>
        </w:rPr>
        <w:t>o</w:t>
      </w:r>
      <w:r>
        <w:rPr>
          <w:rFonts w:ascii="Times New Roman" w:eastAsia="Calibri" w:hAnsi="Times New Roman" w:cs="Times New Roman"/>
          <w:sz w:val="24"/>
          <w:szCs w:val="24"/>
        </w:rPr>
        <w:t xml:space="preserve"> crédito tributário ser considerado direito patrimonial disponível</w:t>
      </w:r>
      <w:r w:rsidR="009A4B75">
        <w:rPr>
          <w:rFonts w:ascii="Times New Roman" w:eastAsia="Calibri" w:hAnsi="Times New Roman" w:cs="Times New Roman"/>
          <w:sz w:val="24"/>
          <w:szCs w:val="24"/>
        </w:rPr>
        <w:t xml:space="preserve"> </w:t>
      </w:r>
      <w:r w:rsidR="0040619C">
        <w:rPr>
          <w:rFonts w:ascii="Times New Roman" w:eastAsia="Calibri" w:hAnsi="Times New Roman" w:cs="Times New Roman"/>
          <w:sz w:val="24"/>
          <w:szCs w:val="24"/>
        </w:rPr>
        <w:t>não quer dizer que dele irá se dispor</w:t>
      </w:r>
      <w:r w:rsidR="001B6220">
        <w:rPr>
          <w:rFonts w:ascii="Times New Roman" w:eastAsia="Calibri" w:hAnsi="Times New Roman" w:cs="Times New Roman"/>
          <w:sz w:val="24"/>
          <w:szCs w:val="24"/>
        </w:rPr>
        <w:t xml:space="preserve"> </w:t>
      </w:r>
      <w:r w:rsidR="003278D6">
        <w:rPr>
          <w:rFonts w:ascii="Times New Roman" w:eastAsia="Calibri" w:hAnsi="Times New Roman" w:cs="Times New Roman"/>
          <w:sz w:val="24"/>
          <w:szCs w:val="24"/>
        </w:rPr>
        <w:t>na</w:t>
      </w:r>
      <w:r w:rsidR="009A4B75">
        <w:rPr>
          <w:rFonts w:ascii="Times New Roman" w:eastAsia="Calibri" w:hAnsi="Times New Roman" w:cs="Times New Roman"/>
          <w:sz w:val="24"/>
          <w:szCs w:val="24"/>
        </w:rPr>
        <w:t xml:space="preserve"> arbi</w:t>
      </w:r>
      <w:r w:rsidR="00165C5B">
        <w:rPr>
          <w:rFonts w:ascii="Times New Roman" w:eastAsia="Calibri" w:hAnsi="Times New Roman" w:cs="Times New Roman"/>
          <w:sz w:val="24"/>
          <w:szCs w:val="24"/>
        </w:rPr>
        <w:t xml:space="preserve">tragem. </w:t>
      </w:r>
      <w:r w:rsidR="001B6220">
        <w:rPr>
          <w:rFonts w:ascii="Times New Roman" w:eastAsia="Calibri" w:hAnsi="Times New Roman" w:cs="Times New Roman"/>
          <w:sz w:val="24"/>
          <w:szCs w:val="24"/>
        </w:rPr>
        <w:t xml:space="preserve">O que se pretende, na realidade, é </w:t>
      </w:r>
      <w:r w:rsidR="00215E9C">
        <w:rPr>
          <w:rFonts w:ascii="Times New Roman" w:eastAsia="Calibri" w:hAnsi="Times New Roman" w:cs="Times New Roman"/>
          <w:sz w:val="24"/>
          <w:szCs w:val="24"/>
        </w:rPr>
        <w:t>possibilitar a</w:t>
      </w:r>
      <w:r w:rsidR="001B6220">
        <w:rPr>
          <w:rFonts w:ascii="Times New Roman" w:eastAsia="Calibri" w:hAnsi="Times New Roman" w:cs="Times New Roman"/>
          <w:sz w:val="24"/>
          <w:szCs w:val="24"/>
        </w:rPr>
        <w:t xml:space="preserve"> submissão de controvérsias fisca</w:t>
      </w:r>
      <w:r w:rsidR="00165C5B">
        <w:rPr>
          <w:rFonts w:ascii="Times New Roman" w:eastAsia="Calibri" w:hAnsi="Times New Roman" w:cs="Times New Roman"/>
          <w:sz w:val="24"/>
          <w:szCs w:val="24"/>
        </w:rPr>
        <w:t>is</w:t>
      </w:r>
      <w:r w:rsidR="00215E9C">
        <w:rPr>
          <w:rFonts w:ascii="Times New Roman" w:eastAsia="Calibri" w:hAnsi="Times New Roman" w:cs="Times New Roman"/>
          <w:sz w:val="24"/>
          <w:szCs w:val="24"/>
        </w:rPr>
        <w:t xml:space="preserve"> de determinado perfil </w:t>
      </w:r>
      <w:r w:rsidR="00FD1E49">
        <w:rPr>
          <w:rFonts w:ascii="Times New Roman" w:eastAsia="Calibri" w:hAnsi="Times New Roman" w:cs="Times New Roman"/>
          <w:sz w:val="24"/>
          <w:szCs w:val="24"/>
        </w:rPr>
        <w:t>ao processo arbitral,</w:t>
      </w:r>
      <w:r w:rsidR="00060E7D">
        <w:rPr>
          <w:rFonts w:ascii="Times New Roman" w:eastAsia="Calibri" w:hAnsi="Times New Roman" w:cs="Times New Roman"/>
          <w:sz w:val="24"/>
          <w:szCs w:val="24"/>
        </w:rPr>
        <w:t xml:space="preserve"> </w:t>
      </w:r>
      <w:r w:rsidR="00336CAC">
        <w:rPr>
          <w:rFonts w:ascii="Times New Roman" w:eastAsia="Calibri" w:hAnsi="Times New Roman" w:cs="Times New Roman"/>
          <w:sz w:val="24"/>
          <w:szCs w:val="24"/>
        </w:rPr>
        <w:t xml:space="preserve">viabilizando o acesso a decisões técnicas e céleres, </w:t>
      </w:r>
      <w:r w:rsidR="00060E7D">
        <w:rPr>
          <w:rFonts w:ascii="Times New Roman" w:eastAsia="Calibri" w:hAnsi="Times New Roman" w:cs="Times New Roman"/>
          <w:sz w:val="24"/>
          <w:szCs w:val="24"/>
        </w:rPr>
        <w:t>respeitada a voluntariedade.</w:t>
      </w:r>
    </w:p>
    <w:p w14:paraId="6F389992" w14:textId="2FA4FBA1" w:rsidR="00E465EC" w:rsidRDefault="00FD3659" w:rsidP="00EE07B3">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Outra grande discussão é a necessidade</w:t>
      </w:r>
      <w:r w:rsidR="00AA4C4B">
        <w:rPr>
          <w:rStyle w:val="Refdenotaderodap"/>
          <w:rFonts w:ascii="Times New Roman" w:eastAsia="Calibri" w:hAnsi="Times New Roman" w:cs="Times New Roman"/>
          <w:sz w:val="24"/>
          <w:szCs w:val="24"/>
        </w:rPr>
        <w:footnoteReference w:id="64"/>
      </w:r>
      <w:r>
        <w:rPr>
          <w:rFonts w:ascii="Times New Roman" w:eastAsia="Calibri" w:hAnsi="Times New Roman" w:cs="Times New Roman"/>
          <w:sz w:val="24"/>
          <w:szCs w:val="24"/>
        </w:rPr>
        <w:t xml:space="preserve"> ou não de lei </w:t>
      </w:r>
      <w:r w:rsidR="007C56EE">
        <w:rPr>
          <w:rFonts w:ascii="Times New Roman" w:eastAsia="Calibri" w:hAnsi="Times New Roman" w:cs="Times New Roman"/>
          <w:sz w:val="24"/>
          <w:szCs w:val="24"/>
        </w:rPr>
        <w:t>geral nacional (para alguns, lei complementar) permitindo o uso da arbitragem tributária</w:t>
      </w:r>
      <w:r w:rsidR="008157AF">
        <w:rPr>
          <w:rFonts w:ascii="Times New Roman" w:eastAsia="Calibri" w:hAnsi="Times New Roman" w:cs="Times New Roman"/>
          <w:sz w:val="24"/>
          <w:szCs w:val="24"/>
        </w:rPr>
        <w:t xml:space="preserve"> ou se é possível a sua utilização a partir da cláusula geral do art. 1º, §1º, da </w:t>
      </w:r>
      <w:r w:rsidR="006672FF">
        <w:rPr>
          <w:rFonts w:ascii="Times New Roman" w:eastAsia="Calibri" w:hAnsi="Times New Roman" w:cs="Times New Roman"/>
          <w:sz w:val="24"/>
          <w:szCs w:val="24"/>
        </w:rPr>
        <w:t>Lei de Arbitragem (Lei 9.307/1996)</w:t>
      </w:r>
      <w:r w:rsidR="005B5670">
        <w:rPr>
          <w:rStyle w:val="Refdenotaderodap"/>
          <w:rFonts w:ascii="Times New Roman" w:eastAsia="Calibri" w:hAnsi="Times New Roman" w:cs="Times New Roman"/>
          <w:sz w:val="24"/>
          <w:szCs w:val="24"/>
        </w:rPr>
        <w:footnoteReference w:id="65"/>
      </w:r>
      <w:r w:rsidR="006672FF">
        <w:rPr>
          <w:rFonts w:ascii="Times New Roman" w:eastAsia="Calibri" w:hAnsi="Times New Roman" w:cs="Times New Roman"/>
          <w:sz w:val="24"/>
          <w:szCs w:val="24"/>
        </w:rPr>
        <w:t>.</w:t>
      </w:r>
    </w:p>
    <w:p w14:paraId="0E54E978" w14:textId="66044B20" w:rsidR="00B72298" w:rsidRPr="00D4394C" w:rsidRDefault="007F2D85" w:rsidP="00EE07B3">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Escobar entende </w:t>
      </w:r>
      <w:r w:rsidR="00BA08D8">
        <w:rPr>
          <w:rFonts w:ascii="Times New Roman" w:eastAsia="Calibri" w:hAnsi="Times New Roman" w:cs="Times New Roman"/>
          <w:sz w:val="24"/>
          <w:szCs w:val="24"/>
        </w:rPr>
        <w:t>que não</w:t>
      </w:r>
      <w:r w:rsidR="00D4394C">
        <w:rPr>
          <w:rFonts w:ascii="Times New Roman" w:eastAsia="Calibri" w:hAnsi="Times New Roman" w:cs="Times New Roman"/>
          <w:sz w:val="24"/>
          <w:szCs w:val="24"/>
        </w:rPr>
        <w:t>, p</w:t>
      </w:r>
      <w:r w:rsidR="003278D6">
        <w:rPr>
          <w:rFonts w:ascii="Times New Roman" w:eastAsia="Calibri" w:hAnsi="Times New Roman" w:cs="Times New Roman"/>
          <w:sz w:val="24"/>
          <w:szCs w:val="24"/>
        </w:rPr>
        <w:t>o</w:t>
      </w:r>
      <w:r w:rsidR="00917281">
        <w:rPr>
          <w:rFonts w:ascii="Times New Roman" w:eastAsia="Calibri" w:hAnsi="Times New Roman" w:cs="Times New Roman"/>
          <w:sz w:val="24"/>
          <w:szCs w:val="24"/>
        </w:rPr>
        <w:t>is</w:t>
      </w:r>
      <w:r w:rsidR="00D4394C">
        <w:rPr>
          <w:rFonts w:ascii="Times New Roman" w:eastAsia="Calibri" w:hAnsi="Times New Roman" w:cs="Times New Roman"/>
          <w:sz w:val="24"/>
          <w:szCs w:val="24"/>
        </w:rPr>
        <w:t xml:space="preserve"> </w:t>
      </w:r>
      <w:r w:rsidR="00E430FD">
        <w:rPr>
          <w:rFonts w:ascii="Times New Roman" w:eastAsia="Calibri" w:hAnsi="Times New Roman" w:cs="Times New Roman"/>
          <w:sz w:val="24"/>
          <w:szCs w:val="24"/>
        </w:rPr>
        <w:t>vis</w:t>
      </w:r>
      <w:r w:rsidR="00917281">
        <w:rPr>
          <w:rFonts w:ascii="Times New Roman" w:eastAsia="Calibri" w:hAnsi="Times New Roman" w:cs="Times New Roman"/>
          <w:sz w:val="24"/>
          <w:szCs w:val="24"/>
        </w:rPr>
        <w:t>ualiza</w:t>
      </w:r>
      <w:r w:rsidR="00E430FD">
        <w:rPr>
          <w:rFonts w:ascii="Times New Roman" w:eastAsia="Calibri" w:hAnsi="Times New Roman" w:cs="Times New Roman"/>
          <w:sz w:val="24"/>
          <w:szCs w:val="24"/>
        </w:rPr>
        <w:t xml:space="preserve"> </w:t>
      </w:r>
      <w:r w:rsidR="00B72298" w:rsidRPr="00D4394C">
        <w:rPr>
          <w:rFonts w:ascii="Times New Roman" w:eastAsia="Calibri" w:hAnsi="Times New Roman" w:cs="Times New Roman"/>
          <w:sz w:val="24"/>
          <w:szCs w:val="24"/>
        </w:rPr>
        <w:t xml:space="preserve">equiparação da </w:t>
      </w:r>
      <w:r w:rsidR="009D0DCE">
        <w:rPr>
          <w:rFonts w:ascii="Times New Roman" w:eastAsia="Calibri" w:hAnsi="Times New Roman" w:cs="Times New Roman"/>
          <w:sz w:val="24"/>
          <w:szCs w:val="24"/>
        </w:rPr>
        <w:t>“</w:t>
      </w:r>
      <w:r w:rsidR="00B72298" w:rsidRPr="00D4394C">
        <w:rPr>
          <w:rFonts w:ascii="Times New Roman" w:eastAsia="Calibri" w:hAnsi="Times New Roman" w:cs="Times New Roman"/>
          <w:sz w:val="24"/>
          <w:szCs w:val="24"/>
        </w:rPr>
        <w:t>sentença arbitral à hipótese prevista no art. 156, X, do CTN, pois, tanto a LBA (art. 31), quanto o CPC</w:t>
      </w:r>
      <w:r w:rsidR="009A2423">
        <w:rPr>
          <w:rFonts w:ascii="Times New Roman" w:eastAsia="Calibri" w:hAnsi="Times New Roman" w:cs="Times New Roman"/>
          <w:sz w:val="24"/>
          <w:szCs w:val="24"/>
        </w:rPr>
        <w:t xml:space="preserve">, </w:t>
      </w:r>
      <w:r w:rsidR="00B72298" w:rsidRPr="00D4394C">
        <w:rPr>
          <w:rFonts w:ascii="Times New Roman" w:eastAsia="Calibri" w:hAnsi="Times New Roman" w:cs="Times New Roman"/>
          <w:sz w:val="24"/>
          <w:szCs w:val="24"/>
        </w:rPr>
        <w:t>equiparam a sentença arbitral ao título executivo judicial, ou seja, à decisão judicial transitada em julgado.”</w:t>
      </w:r>
      <w:r w:rsidR="00B72298" w:rsidRPr="00D4394C">
        <w:rPr>
          <w:rFonts w:ascii="Times New Roman" w:eastAsia="Calibri" w:hAnsi="Times New Roman" w:cs="Times New Roman"/>
          <w:sz w:val="24"/>
          <w:szCs w:val="24"/>
          <w:vertAlign w:val="superscript"/>
        </w:rPr>
        <w:footnoteReference w:id="66"/>
      </w:r>
    </w:p>
    <w:p w14:paraId="3A69703F" w14:textId="48D74C0D" w:rsidR="0037649D" w:rsidRDefault="00676DBA" w:rsidP="0037649D">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Seja ou não</w:t>
      </w:r>
      <w:r w:rsidR="00D84DB0">
        <w:rPr>
          <w:rFonts w:ascii="Times New Roman" w:eastAsia="Calibri" w:hAnsi="Times New Roman" w:cs="Times New Roman"/>
          <w:sz w:val="24"/>
          <w:szCs w:val="24"/>
        </w:rPr>
        <w:t xml:space="preserve"> </w:t>
      </w:r>
      <w:r w:rsidR="009A2423">
        <w:rPr>
          <w:rFonts w:ascii="Times New Roman" w:eastAsia="Calibri" w:hAnsi="Times New Roman" w:cs="Times New Roman"/>
          <w:sz w:val="24"/>
          <w:szCs w:val="24"/>
        </w:rPr>
        <w:t>inevitável</w:t>
      </w:r>
      <w:r w:rsidR="00D84DB0">
        <w:rPr>
          <w:rFonts w:ascii="Times New Roman" w:eastAsia="Calibri" w:hAnsi="Times New Roman" w:cs="Times New Roman"/>
          <w:sz w:val="24"/>
          <w:szCs w:val="24"/>
        </w:rPr>
        <w:t>, s</w:t>
      </w:r>
      <w:r w:rsidR="00BB5C34">
        <w:rPr>
          <w:rFonts w:ascii="Times New Roman" w:eastAsia="Calibri" w:hAnsi="Times New Roman" w:cs="Times New Roman"/>
          <w:sz w:val="24"/>
          <w:szCs w:val="24"/>
        </w:rPr>
        <w:t xml:space="preserve">em dúvida nenhuma que a aprovação de </w:t>
      </w:r>
      <w:r w:rsidR="009A2423">
        <w:rPr>
          <w:rFonts w:ascii="Times New Roman" w:eastAsia="Calibri" w:hAnsi="Times New Roman" w:cs="Times New Roman"/>
          <w:sz w:val="24"/>
          <w:szCs w:val="24"/>
        </w:rPr>
        <w:t>l</w:t>
      </w:r>
      <w:r w:rsidR="00BB5C34">
        <w:rPr>
          <w:rFonts w:ascii="Times New Roman" w:eastAsia="Calibri" w:hAnsi="Times New Roman" w:cs="Times New Roman"/>
          <w:sz w:val="24"/>
          <w:szCs w:val="24"/>
        </w:rPr>
        <w:t>ei, quiçá com alteração do CTN, traria maior segurança jurídica</w:t>
      </w:r>
      <w:r w:rsidR="00100E97">
        <w:rPr>
          <w:rFonts w:ascii="Times New Roman" w:eastAsia="Calibri" w:hAnsi="Times New Roman" w:cs="Times New Roman"/>
          <w:sz w:val="24"/>
          <w:szCs w:val="24"/>
        </w:rPr>
        <w:t>, tanto à Fazenda Pública, como aos particulares.</w:t>
      </w:r>
      <w:r w:rsidR="0037649D">
        <w:rPr>
          <w:rFonts w:ascii="Times New Roman" w:eastAsia="Calibri" w:hAnsi="Times New Roman" w:cs="Times New Roman"/>
          <w:sz w:val="24"/>
          <w:szCs w:val="24"/>
        </w:rPr>
        <w:t xml:space="preserve"> </w:t>
      </w:r>
      <w:r w:rsidR="00740FC0">
        <w:rPr>
          <w:rFonts w:ascii="Times New Roman" w:eastAsia="Calibri" w:hAnsi="Times New Roman" w:cs="Times New Roman"/>
          <w:sz w:val="24"/>
          <w:szCs w:val="24"/>
        </w:rPr>
        <w:t>Tanto é que, n</w:t>
      </w:r>
      <w:r w:rsidR="00E22A6A">
        <w:rPr>
          <w:rFonts w:ascii="Times New Roman" w:eastAsia="Calibri" w:hAnsi="Times New Roman" w:cs="Times New Roman"/>
          <w:sz w:val="24"/>
          <w:szCs w:val="24"/>
        </w:rPr>
        <w:t>a prática</w:t>
      </w:r>
      <w:r w:rsidR="00427F6B">
        <w:rPr>
          <w:rFonts w:ascii="Times New Roman" w:eastAsia="Calibri" w:hAnsi="Times New Roman" w:cs="Times New Roman"/>
          <w:sz w:val="24"/>
          <w:szCs w:val="24"/>
        </w:rPr>
        <w:t xml:space="preserve">, já existem alguns projetos de lei em andamento. </w:t>
      </w:r>
    </w:p>
    <w:p w14:paraId="0C61E2F0" w14:textId="580ED08C" w:rsidR="00D40DD9" w:rsidRDefault="00427F6B" w:rsidP="00C62376">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O primeiro foi o P</w:t>
      </w:r>
      <w:r w:rsidR="00A84D92">
        <w:rPr>
          <w:rFonts w:ascii="Times New Roman" w:eastAsia="Calibri" w:hAnsi="Times New Roman" w:cs="Times New Roman"/>
          <w:sz w:val="24"/>
          <w:szCs w:val="24"/>
        </w:rPr>
        <w:t>LC</w:t>
      </w:r>
      <w:r>
        <w:rPr>
          <w:rFonts w:ascii="Times New Roman" w:eastAsia="Calibri" w:hAnsi="Times New Roman" w:cs="Times New Roman"/>
          <w:sz w:val="24"/>
          <w:szCs w:val="24"/>
        </w:rPr>
        <w:t xml:space="preserve"> 469/2009, em que se pretende alterar o CTN, para incluir a arbitragem tributária, </w:t>
      </w:r>
      <w:r w:rsidR="00D40DD9">
        <w:rPr>
          <w:rFonts w:ascii="Times New Roman" w:eastAsia="Calibri" w:hAnsi="Times New Roman" w:cs="Times New Roman"/>
          <w:sz w:val="24"/>
          <w:szCs w:val="24"/>
        </w:rPr>
        <w:t>mas que se encontra parado há mais de 10 anos</w:t>
      </w:r>
      <w:r w:rsidR="00C62376">
        <w:rPr>
          <w:rFonts w:ascii="Times New Roman" w:eastAsia="Calibri" w:hAnsi="Times New Roman" w:cs="Times New Roman"/>
          <w:sz w:val="24"/>
          <w:szCs w:val="24"/>
        </w:rPr>
        <w:t xml:space="preserve">. </w:t>
      </w:r>
      <w:r w:rsidR="00D40DD9">
        <w:rPr>
          <w:rFonts w:ascii="Times New Roman" w:eastAsia="Calibri" w:hAnsi="Times New Roman" w:cs="Times New Roman"/>
          <w:sz w:val="24"/>
          <w:szCs w:val="24"/>
        </w:rPr>
        <w:t xml:space="preserve">Em seguida vieram os </w:t>
      </w:r>
      <w:r w:rsidR="000A7A82">
        <w:rPr>
          <w:rFonts w:ascii="Times New Roman" w:eastAsia="Calibri" w:hAnsi="Times New Roman" w:cs="Times New Roman"/>
          <w:sz w:val="24"/>
          <w:szCs w:val="24"/>
        </w:rPr>
        <w:t xml:space="preserve">PL nº 4257/2019 e </w:t>
      </w:r>
      <w:r w:rsidR="008D3800">
        <w:rPr>
          <w:rFonts w:ascii="Times New Roman" w:eastAsia="Calibri" w:hAnsi="Times New Roman" w:cs="Times New Roman"/>
          <w:sz w:val="24"/>
          <w:szCs w:val="24"/>
        </w:rPr>
        <w:t>PL nº 4468/2020, que possuem escopo</w:t>
      </w:r>
      <w:r w:rsidR="00A84D92">
        <w:rPr>
          <w:rFonts w:ascii="Times New Roman" w:eastAsia="Calibri" w:hAnsi="Times New Roman" w:cs="Times New Roman"/>
          <w:sz w:val="24"/>
          <w:szCs w:val="24"/>
        </w:rPr>
        <w:t>s diferentes,</w:t>
      </w:r>
      <w:r w:rsidR="008D3800">
        <w:rPr>
          <w:rFonts w:ascii="Times New Roman" w:eastAsia="Calibri" w:hAnsi="Times New Roman" w:cs="Times New Roman"/>
          <w:sz w:val="24"/>
          <w:szCs w:val="24"/>
        </w:rPr>
        <w:t xml:space="preserve"> </w:t>
      </w:r>
      <w:r w:rsidR="002F434F">
        <w:rPr>
          <w:rFonts w:ascii="Times New Roman" w:eastAsia="Calibri" w:hAnsi="Times New Roman" w:cs="Times New Roman"/>
          <w:sz w:val="24"/>
          <w:szCs w:val="24"/>
        </w:rPr>
        <w:t>restritivo</w:t>
      </w:r>
      <w:r w:rsidR="00A84D92">
        <w:rPr>
          <w:rFonts w:ascii="Times New Roman" w:eastAsia="Calibri" w:hAnsi="Times New Roman" w:cs="Times New Roman"/>
          <w:sz w:val="24"/>
          <w:szCs w:val="24"/>
        </w:rPr>
        <w:t>s</w:t>
      </w:r>
      <w:r w:rsidR="002F434F">
        <w:rPr>
          <w:rFonts w:ascii="Times New Roman" w:eastAsia="Calibri" w:hAnsi="Times New Roman" w:cs="Times New Roman"/>
          <w:sz w:val="24"/>
          <w:szCs w:val="24"/>
        </w:rPr>
        <w:t xml:space="preserve">, </w:t>
      </w:r>
      <w:r w:rsidR="00635BCB">
        <w:rPr>
          <w:rFonts w:ascii="Times New Roman" w:eastAsia="Calibri" w:hAnsi="Times New Roman" w:cs="Times New Roman"/>
          <w:sz w:val="24"/>
          <w:szCs w:val="24"/>
        </w:rPr>
        <w:t>mas com certa</w:t>
      </w:r>
      <w:r w:rsidR="00C917AB">
        <w:rPr>
          <w:rFonts w:ascii="Times New Roman" w:eastAsia="Calibri" w:hAnsi="Times New Roman" w:cs="Times New Roman"/>
          <w:sz w:val="24"/>
          <w:szCs w:val="24"/>
        </w:rPr>
        <w:t xml:space="preserve"> complementaridade</w:t>
      </w:r>
      <w:r w:rsidR="003A1209" w:rsidRPr="00DA75B7">
        <w:rPr>
          <w:rStyle w:val="Refdenotaderodap"/>
          <w:rFonts w:ascii="Times New Roman" w:eastAsia="Calibri" w:hAnsi="Times New Roman" w:cs="Times New Roman"/>
          <w:sz w:val="24"/>
          <w:szCs w:val="24"/>
        </w:rPr>
        <w:footnoteReference w:id="67"/>
      </w:r>
      <w:r w:rsidR="00861727" w:rsidRPr="00DA75B7">
        <w:rPr>
          <w:rFonts w:ascii="Times New Roman" w:eastAsia="Calibri" w:hAnsi="Times New Roman" w:cs="Times New Roman"/>
          <w:sz w:val="24"/>
          <w:szCs w:val="24"/>
        </w:rPr>
        <w:t>,</w:t>
      </w:r>
      <w:r w:rsidR="00861727">
        <w:rPr>
          <w:rFonts w:ascii="Times New Roman" w:eastAsia="Calibri" w:hAnsi="Times New Roman" w:cs="Times New Roman"/>
          <w:i/>
          <w:iCs/>
          <w:sz w:val="24"/>
          <w:szCs w:val="24"/>
        </w:rPr>
        <w:t xml:space="preserve"> </w:t>
      </w:r>
      <w:r w:rsidR="00C62376">
        <w:rPr>
          <w:rFonts w:ascii="Times New Roman" w:eastAsia="Calibri" w:hAnsi="Times New Roman" w:cs="Times New Roman"/>
          <w:sz w:val="24"/>
          <w:szCs w:val="24"/>
        </w:rPr>
        <w:t xml:space="preserve">e </w:t>
      </w:r>
      <w:r w:rsidR="00D5787E">
        <w:rPr>
          <w:rFonts w:ascii="Times New Roman" w:eastAsia="Calibri" w:hAnsi="Times New Roman" w:cs="Times New Roman"/>
          <w:sz w:val="24"/>
          <w:szCs w:val="24"/>
        </w:rPr>
        <w:t xml:space="preserve">também não apresentaram </w:t>
      </w:r>
      <w:r w:rsidR="00530014">
        <w:rPr>
          <w:rFonts w:ascii="Times New Roman" w:eastAsia="Calibri" w:hAnsi="Times New Roman" w:cs="Times New Roman"/>
          <w:sz w:val="24"/>
          <w:szCs w:val="24"/>
        </w:rPr>
        <w:t>avanço relevante</w:t>
      </w:r>
      <w:r w:rsidR="00807CDE">
        <w:rPr>
          <w:rFonts w:ascii="Times New Roman" w:eastAsia="Calibri" w:hAnsi="Times New Roman" w:cs="Times New Roman"/>
          <w:sz w:val="24"/>
          <w:szCs w:val="24"/>
        </w:rPr>
        <w:t xml:space="preserve"> </w:t>
      </w:r>
      <w:r w:rsidR="00EB0DF8">
        <w:rPr>
          <w:rFonts w:ascii="Times New Roman" w:eastAsia="Calibri" w:hAnsi="Times New Roman" w:cs="Times New Roman"/>
          <w:sz w:val="24"/>
          <w:szCs w:val="24"/>
        </w:rPr>
        <w:t>de</w:t>
      </w:r>
      <w:r w:rsidR="00807CDE">
        <w:rPr>
          <w:rFonts w:ascii="Times New Roman" w:eastAsia="Calibri" w:hAnsi="Times New Roman" w:cs="Times New Roman"/>
          <w:sz w:val="24"/>
          <w:szCs w:val="24"/>
        </w:rPr>
        <w:t xml:space="preserve"> tramitação</w:t>
      </w:r>
      <w:r w:rsidR="00530014">
        <w:rPr>
          <w:rFonts w:ascii="Times New Roman" w:eastAsia="Calibri" w:hAnsi="Times New Roman" w:cs="Times New Roman"/>
          <w:sz w:val="24"/>
          <w:szCs w:val="24"/>
        </w:rPr>
        <w:t xml:space="preserve"> nos últimos anos</w:t>
      </w:r>
      <w:r w:rsidR="00807CDE">
        <w:rPr>
          <w:rFonts w:ascii="Times New Roman" w:eastAsia="Calibri" w:hAnsi="Times New Roman" w:cs="Times New Roman"/>
          <w:sz w:val="24"/>
          <w:szCs w:val="24"/>
        </w:rPr>
        <w:t>.</w:t>
      </w:r>
    </w:p>
    <w:p w14:paraId="2955F1C6" w14:textId="5DAAEA4E" w:rsidR="000F6B5D" w:rsidRDefault="00DE0F69" w:rsidP="003C53CF">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Mais recentemente, </w:t>
      </w:r>
      <w:r w:rsidR="005447E3">
        <w:rPr>
          <w:rFonts w:ascii="Times New Roman" w:eastAsia="Calibri" w:hAnsi="Times New Roman" w:cs="Times New Roman"/>
          <w:sz w:val="24"/>
          <w:szCs w:val="24"/>
        </w:rPr>
        <w:t>n</w:t>
      </w:r>
      <w:r w:rsidR="00EC2870" w:rsidRPr="00EC2870">
        <w:rPr>
          <w:rFonts w:ascii="Times New Roman" w:eastAsia="Calibri" w:hAnsi="Times New Roman" w:cs="Times New Roman"/>
          <w:sz w:val="24"/>
          <w:szCs w:val="24"/>
        </w:rPr>
        <w:t xml:space="preserve">o </w:t>
      </w:r>
      <w:r w:rsidR="004834F0">
        <w:rPr>
          <w:rFonts w:ascii="Times New Roman" w:eastAsia="Calibri" w:hAnsi="Times New Roman" w:cs="Times New Roman"/>
          <w:sz w:val="24"/>
          <w:szCs w:val="24"/>
        </w:rPr>
        <w:t>r</w:t>
      </w:r>
      <w:r w:rsidR="00EC2870" w:rsidRPr="00EC2870">
        <w:rPr>
          <w:rFonts w:ascii="Times New Roman" w:eastAsia="Calibri" w:hAnsi="Times New Roman" w:cs="Times New Roman"/>
          <w:sz w:val="24"/>
          <w:szCs w:val="24"/>
        </w:rPr>
        <w:t xml:space="preserve">elatório da </w:t>
      </w:r>
      <w:r w:rsidR="00EB0DF8">
        <w:rPr>
          <w:rFonts w:ascii="Times New Roman" w:eastAsia="Calibri" w:hAnsi="Times New Roman" w:cs="Times New Roman"/>
          <w:sz w:val="24"/>
          <w:szCs w:val="24"/>
        </w:rPr>
        <w:t xml:space="preserve">comissão </w:t>
      </w:r>
      <w:r w:rsidR="00EC2870" w:rsidRPr="00EC2870">
        <w:rPr>
          <w:rFonts w:ascii="Times New Roman" w:eastAsia="Calibri" w:hAnsi="Times New Roman" w:cs="Times New Roman"/>
          <w:sz w:val="24"/>
          <w:szCs w:val="24"/>
        </w:rPr>
        <w:t>instituída pelo Ato Conjunto n. 01/2022</w:t>
      </w:r>
      <w:r w:rsidR="00354BDC">
        <w:rPr>
          <w:rStyle w:val="Refdenotaderodap"/>
          <w:rFonts w:ascii="Times New Roman" w:eastAsia="Calibri" w:hAnsi="Times New Roman" w:cs="Times New Roman"/>
          <w:sz w:val="24"/>
          <w:szCs w:val="24"/>
        </w:rPr>
        <w:footnoteReference w:id="68"/>
      </w:r>
      <w:r w:rsidR="00373AC9">
        <w:rPr>
          <w:rFonts w:ascii="Times New Roman" w:eastAsia="Calibri" w:hAnsi="Times New Roman" w:cs="Times New Roman"/>
          <w:sz w:val="24"/>
          <w:szCs w:val="24"/>
        </w:rPr>
        <w:t xml:space="preserve">, </w:t>
      </w:r>
      <w:r w:rsidR="005447E3">
        <w:rPr>
          <w:rFonts w:ascii="Times New Roman" w:eastAsia="Calibri" w:hAnsi="Times New Roman" w:cs="Times New Roman"/>
          <w:sz w:val="24"/>
          <w:szCs w:val="24"/>
        </w:rPr>
        <w:t>d</w:t>
      </w:r>
      <w:r w:rsidR="004262DC">
        <w:rPr>
          <w:rFonts w:ascii="Times New Roman" w:eastAsia="Calibri" w:hAnsi="Times New Roman" w:cs="Times New Roman"/>
          <w:sz w:val="24"/>
          <w:szCs w:val="24"/>
        </w:rPr>
        <w:t xml:space="preserve">entre outras propostas, foi </w:t>
      </w:r>
      <w:r w:rsidR="00747020">
        <w:rPr>
          <w:rFonts w:ascii="Times New Roman" w:eastAsia="Calibri" w:hAnsi="Times New Roman" w:cs="Times New Roman"/>
          <w:sz w:val="24"/>
          <w:szCs w:val="24"/>
        </w:rPr>
        <w:t>elaborado</w:t>
      </w:r>
      <w:r w:rsidR="000305B6">
        <w:rPr>
          <w:rFonts w:ascii="Times New Roman" w:eastAsia="Calibri" w:hAnsi="Times New Roman" w:cs="Times New Roman"/>
          <w:sz w:val="24"/>
          <w:szCs w:val="24"/>
        </w:rPr>
        <w:t xml:space="preserve"> </w:t>
      </w:r>
      <w:r w:rsidR="006A2B8C" w:rsidRPr="006A2B8C">
        <w:rPr>
          <w:rFonts w:ascii="Times New Roman" w:eastAsia="Calibri" w:hAnsi="Times New Roman" w:cs="Times New Roman"/>
          <w:sz w:val="24"/>
          <w:szCs w:val="24"/>
        </w:rPr>
        <w:t xml:space="preserve">um anteprojeto de lei de arbitragem tributária, que </w:t>
      </w:r>
      <w:r w:rsidR="00A04A26">
        <w:rPr>
          <w:rFonts w:ascii="Times New Roman" w:eastAsia="Calibri" w:hAnsi="Times New Roman" w:cs="Times New Roman"/>
          <w:sz w:val="24"/>
          <w:szCs w:val="24"/>
        </w:rPr>
        <w:t xml:space="preserve">a </w:t>
      </w:r>
      <w:r w:rsidR="006A2B8C" w:rsidRPr="006A2B8C">
        <w:rPr>
          <w:rFonts w:ascii="Times New Roman" w:eastAsia="Calibri" w:hAnsi="Times New Roman" w:cs="Times New Roman"/>
          <w:sz w:val="24"/>
          <w:szCs w:val="24"/>
        </w:rPr>
        <w:t xml:space="preserve">regulamenta de forma abrangente, em 11 capítulos, no intuito de autorizar amplamente a submissão de controvérsias tributárias </w:t>
      </w:r>
      <w:r w:rsidR="00C36745">
        <w:rPr>
          <w:rFonts w:ascii="Times New Roman" w:eastAsia="Calibri" w:hAnsi="Times New Roman" w:cs="Times New Roman"/>
          <w:sz w:val="24"/>
          <w:szCs w:val="24"/>
        </w:rPr>
        <w:t>ao juízo arbitral</w:t>
      </w:r>
      <w:r w:rsidR="006A2B8C" w:rsidRPr="006A2B8C">
        <w:rPr>
          <w:rFonts w:ascii="Times New Roman" w:eastAsia="Calibri" w:hAnsi="Times New Roman" w:cs="Times New Roman"/>
          <w:sz w:val="24"/>
          <w:szCs w:val="24"/>
        </w:rPr>
        <w:t>, como mais uma porta para a solução de conflitos, por meio de norma geral, de caráter nacional, aplicável a todos os entes públicos</w:t>
      </w:r>
      <w:r w:rsidR="00060F53">
        <w:rPr>
          <w:rFonts w:ascii="Times New Roman" w:eastAsia="Calibri" w:hAnsi="Times New Roman" w:cs="Times New Roman"/>
          <w:sz w:val="24"/>
          <w:szCs w:val="24"/>
        </w:rPr>
        <w:t>, o que gerou o</w:t>
      </w:r>
      <w:r w:rsidR="00C36745">
        <w:rPr>
          <w:rFonts w:ascii="Times New Roman" w:eastAsia="Calibri" w:hAnsi="Times New Roman" w:cs="Times New Roman"/>
          <w:sz w:val="24"/>
          <w:szCs w:val="24"/>
        </w:rPr>
        <w:t xml:space="preserve"> </w:t>
      </w:r>
      <w:r w:rsidR="00060F53">
        <w:rPr>
          <w:rFonts w:ascii="Times New Roman" w:eastAsia="Calibri" w:hAnsi="Times New Roman" w:cs="Times New Roman"/>
          <w:sz w:val="24"/>
          <w:szCs w:val="24"/>
        </w:rPr>
        <w:t xml:space="preserve">PL nº </w:t>
      </w:r>
      <w:r w:rsidR="00441A4E">
        <w:rPr>
          <w:rFonts w:ascii="Times New Roman" w:eastAsia="Calibri" w:hAnsi="Times New Roman" w:cs="Times New Roman"/>
          <w:sz w:val="24"/>
          <w:szCs w:val="24"/>
        </w:rPr>
        <w:t>2791/2022</w:t>
      </w:r>
      <w:r w:rsidR="009D1236">
        <w:rPr>
          <w:rFonts w:ascii="Times New Roman" w:eastAsia="Calibri" w:hAnsi="Times New Roman" w:cs="Times New Roman"/>
          <w:sz w:val="24"/>
          <w:szCs w:val="24"/>
        </w:rPr>
        <w:t xml:space="preserve">, </w:t>
      </w:r>
      <w:r w:rsidR="00F537CE">
        <w:rPr>
          <w:rFonts w:ascii="Times New Roman" w:eastAsia="Calibri" w:hAnsi="Times New Roman" w:cs="Times New Roman"/>
          <w:sz w:val="24"/>
          <w:szCs w:val="24"/>
        </w:rPr>
        <w:t xml:space="preserve">na </w:t>
      </w:r>
      <w:r w:rsidR="009D1236">
        <w:rPr>
          <w:rFonts w:ascii="Times New Roman" w:eastAsia="Calibri" w:hAnsi="Times New Roman" w:cs="Times New Roman"/>
          <w:sz w:val="24"/>
          <w:szCs w:val="24"/>
        </w:rPr>
        <w:t>Câmara,</w:t>
      </w:r>
      <w:r w:rsidR="00441A4E">
        <w:rPr>
          <w:rFonts w:ascii="Times New Roman" w:eastAsia="Calibri" w:hAnsi="Times New Roman" w:cs="Times New Roman"/>
          <w:sz w:val="24"/>
          <w:szCs w:val="24"/>
        </w:rPr>
        <w:t xml:space="preserve"> e </w:t>
      </w:r>
      <w:r w:rsidR="009D1236">
        <w:rPr>
          <w:rFonts w:ascii="Times New Roman" w:eastAsia="Calibri" w:hAnsi="Times New Roman" w:cs="Times New Roman"/>
          <w:sz w:val="24"/>
          <w:szCs w:val="24"/>
        </w:rPr>
        <w:t xml:space="preserve">PL nº 2486/2022, no Senado, </w:t>
      </w:r>
      <w:r w:rsidR="001C0BBE">
        <w:rPr>
          <w:rFonts w:ascii="Times New Roman" w:eastAsia="Calibri" w:hAnsi="Times New Roman" w:cs="Times New Roman"/>
          <w:sz w:val="24"/>
          <w:szCs w:val="24"/>
        </w:rPr>
        <w:t>propostas idênticas que ainda tramitam em paralelo nas casas do Congresso Nacional, ambas em estágio inicial.</w:t>
      </w:r>
    </w:p>
    <w:p w14:paraId="18F1CE9A" w14:textId="364E36D6" w:rsidR="00020AB3" w:rsidRDefault="0013609F" w:rsidP="00FD5329">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Preservou-se</w:t>
      </w:r>
      <w:r w:rsidR="003F74E0">
        <w:rPr>
          <w:rFonts w:ascii="Times New Roman" w:eastAsia="Calibri" w:hAnsi="Times New Roman" w:cs="Times New Roman"/>
          <w:sz w:val="24"/>
          <w:szCs w:val="24"/>
        </w:rPr>
        <w:t xml:space="preserve"> a </w:t>
      </w:r>
      <w:r w:rsidR="003F74E0" w:rsidRPr="003F74E0">
        <w:rPr>
          <w:rFonts w:ascii="Times New Roman" w:eastAsia="Calibri" w:hAnsi="Times New Roman" w:cs="Times New Roman"/>
          <w:sz w:val="24"/>
          <w:szCs w:val="24"/>
        </w:rPr>
        <w:t xml:space="preserve">aplicação subsidiária da Lei de Arbitragem, como fonte primária, além da </w:t>
      </w:r>
      <w:r w:rsidR="00DD3F9D">
        <w:rPr>
          <w:rFonts w:ascii="Times New Roman" w:eastAsia="Calibri" w:hAnsi="Times New Roman" w:cs="Times New Roman"/>
          <w:sz w:val="24"/>
          <w:szCs w:val="24"/>
        </w:rPr>
        <w:t xml:space="preserve">expressa </w:t>
      </w:r>
      <w:r w:rsidR="003F74E0" w:rsidRPr="003F74E0">
        <w:rPr>
          <w:rFonts w:ascii="Times New Roman" w:eastAsia="Calibri" w:hAnsi="Times New Roman" w:cs="Times New Roman"/>
          <w:sz w:val="24"/>
          <w:szCs w:val="24"/>
        </w:rPr>
        <w:t xml:space="preserve">garantia da consensualidade/voluntariedade como pilar da arbitralidade. </w:t>
      </w:r>
      <w:r w:rsidR="00F1693C">
        <w:rPr>
          <w:rFonts w:ascii="Times New Roman" w:eastAsia="Calibri" w:hAnsi="Times New Roman" w:cs="Times New Roman"/>
          <w:sz w:val="24"/>
          <w:szCs w:val="24"/>
        </w:rPr>
        <w:t>O</w:t>
      </w:r>
      <w:r w:rsidR="003F74E0" w:rsidRPr="003F74E0">
        <w:rPr>
          <w:rFonts w:ascii="Times New Roman" w:eastAsia="Calibri" w:hAnsi="Times New Roman" w:cs="Times New Roman"/>
          <w:sz w:val="24"/>
          <w:szCs w:val="24"/>
        </w:rPr>
        <w:t>ptou-se</w:t>
      </w:r>
      <w:r w:rsidR="00F1693C">
        <w:rPr>
          <w:rFonts w:ascii="Times New Roman" w:eastAsia="Calibri" w:hAnsi="Times New Roman" w:cs="Times New Roman"/>
          <w:sz w:val="24"/>
          <w:szCs w:val="24"/>
        </w:rPr>
        <w:t>, ainda,</w:t>
      </w:r>
      <w:r w:rsidR="003F74E0" w:rsidRPr="003F74E0">
        <w:rPr>
          <w:rFonts w:ascii="Times New Roman" w:eastAsia="Calibri" w:hAnsi="Times New Roman" w:cs="Times New Roman"/>
          <w:sz w:val="24"/>
          <w:szCs w:val="24"/>
        </w:rPr>
        <w:t xml:space="preserve"> por possibilita</w:t>
      </w:r>
      <w:r>
        <w:rPr>
          <w:rFonts w:ascii="Times New Roman" w:eastAsia="Calibri" w:hAnsi="Times New Roman" w:cs="Times New Roman"/>
          <w:sz w:val="24"/>
          <w:szCs w:val="24"/>
        </w:rPr>
        <w:t xml:space="preserve">-la </w:t>
      </w:r>
      <w:r w:rsidR="003F74E0" w:rsidRPr="003F74E0">
        <w:rPr>
          <w:rFonts w:ascii="Times New Roman" w:eastAsia="Calibri" w:hAnsi="Times New Roman" w:cs="Times New Roman"/>
          <w:sz w:val="24"/>
          <w:szCs w:val="24"/>
        </w:rPr>
        <w:t xml:space="preserve">em qualquer fase da existência do crédito público, desde a ciência do auto de </w:t>
      </w:r>
      <w:r w:rsidR="003F74E0" w:rsidRPr="003F74E0">
        <w:rPr>
          <w:rFonts w:ascii="Times New Roman" w:eastAsia="Calibri" w:hAnsi="Times New Roman" w:cs="Times New Roman"/>
          <w:sz w:val="24"/>
          <w:szCs w:val="24"/>
        </w:rPr>
        <w:lastRenderedPageBreak/>
        <w:t>infração até a sua judicialização</w:t>
      </w:r>
      <w:r w:rsidR="00FE6A96">
        <w:rPr>
          <w:rFonts w:ascii="Times New Roman" w:eastAsia="Calibri" w:hAnsi="Times New Roman" w:cs="Times New Roman"/>
          <w:sz w:val="24"/>
          <w:szCs w:val="24"/>
        </w:rPr>
        <w:t>;</w:t>
      </w:r>
      <w:r w:rsidR="003F74E0" w:rsidRPr="003F74E0">
        <w:rPr>
          <w:rFonts w:ascii="Times New Roman" w:eastAsia="Calibri" w:hAnsi="Times New Roman" w:cs="Times New Roman"/>
          <w:sz w:val="24"/>
          <w:szCs w:val="24"/>
        </w:rPr>
        <w:t xml:space="preserve"> </w:t>
      </w:r>
      <w:r w:rsidR="00FE6A96">
        <w:rPr>
          <w:rFonts w:ascii="Times New Roman" w:eastAsia="Calibri" w:hAnsi="Times New Roman" w:cs="Times New Roman"/>
          <w:sz w:val="24"/>
          <w:szCs w:val="24"/>
        </w:rPr>
        <w:t>t</w:t>
      </w:r>
      <w:r w:rsidR="00425344">
        <w:rPr>
          <w:rFonts w:ascii="Times New Roman" w:eastAsia="Calibri" w:hAnsi="Times New Roman" w:cs="Times New Roman"/>
          <w:sz w:val="24"/>
          <w:szCs w:val="24"/>
        </w:rPr>
        <w:t xml:space="preserve">ambém </w:t>
      </w:r>
      <w:r w:rsidR="00FE6A96">
        <w:rPr>
          <w:rFonts w:ascii="Times New Roman" w:eastAsia="Calibri" w:hAnsi="Times New Roman" w:cs="Times New Roman"/>
          <w:sz w:val="24"/>
          <w:szCs w:val="24"/>
        </w:rPr>
        <w:t>se estabeleceu</w:t>
      </w:r>
      <w:r w:rsidR="00FD5329">
        <w:rPr>
          <w:rFonts w:ascii="Times New Roman" w:eastAsia="Calibri" w:hAnsi="Times New Roman" w:cs="Times New Roman"/>
          <w:sz w:val="24"/>
          <w:szCs w:val="24"/>
        </w:rPr>
        <w:t xml:space="preserve"> </w:t>
      </w:r>
      <w:r w:rsidR="003F74E0" w:rsidRPr="003F74E0">
        <w:rPr>
          <w:rFonts w:ascii="Times New Roman" w:eastAsia="Calibri" w:hAnsi="Times New Roman" w:cs="Times New Roman"/>
          <w:sz w:val="24"/>
          <w:szCs w:val="24"/>
        </w:rPr>
        <w:t xml:space="preserve">vedações, como o julgamento por equidade e da discussão relativa à controle de constitucionalidade e de lei em tese. </w:t>
      </w:r>
    </w:p>
    <w:p w14:paraId="118DA67F" w14:textId="4865AA4A" w:rsidR="004910C1" w:rsidRDefault="003F74E0" w:rsidP="00EE07B3">
      <w:pPr>
        <w:spacing w:before="120" w:after="120" w:line="360" w:lineRule="auto"/>
        <w:ind w:firstLine="851"/>
        <w:jc w:val="both"/>
        <w:rPr>
          <w:rFonts w:ascii="Times New Roman" w:eastAsia="Calibri" w:hAnsi="Times New Roman" w:cs="Times New Roman"/>
          <w:sz w:val="24"/>
          <w:szCs w:val="24"/>
        </w:rPr>
      </w:pPr>
      <w:r w:rsidRPr="003F74E0">
        <w:rPr>
          <w:rFonts w:ascii="Times New Roman" w:eastAsia="Calibri" w:hAnsi="Times New Roman" w:cs="Times New Roman"/>
          <w:sz w:val="24"/>
          <w:szCs w:val="24"/>
        </w:rPr>
        <w:t xml:space="preserve">Ressalta-se, ainda, a </w:t>
      </w:r>
      <w:r w:rsidR="00B70483">
        <w:rPr>
          <w:rFonts w:ascii="Times New Roman" w:eastAsia="Calibri" w:hAnsi="Times New Roman" w:cs="Times New Roman"/>
          <w:sz w:val="24"/>
          <w:szCs w:val="24"/>
        </w:rPr>
        <w:t xml:space="preserve">previsão expressa dos órgãos da Advocacia Pública como representantes da Fazenda Pública perante o juízo arbitral, além da </w:t>
      </w:r>
      <w:r w:rsidRPr="003F74E0">
        <w:rPr>
          <w:rFonts w:ascii="Times New Roman" w:eastAsia="Calibri" w:hAnsi="Times New Roman" w:cs="Times New Roman"/>
          <w:sz w:val="24"/>
          <w:szCs w:val="24"/>
        </w:rPr>
        <w:t>imposição de observância dos precedentes obrigatórios, sobretudo do art. 927 do CPC/2015</w:t>
      </w:r>
      <w:r w:rsidR="00E02EEC">
        <w:rPr>
          <w:rFonts w:ascii="Times New Roman" w:eastAsia="Calibri" w:hAnsi="Times New Roman" w:cs="Times New Roman"/>
          <w:sz w:val="24"/>
          <w:szCs w:val="24"/>
        </w:rPr>
        <w:t>;</w:t>
      </w:r>
      <w:r w:rsidR="00B64D73">
        <w:rPr>
          <w:rFonts w:ascii="Times New Roman" w:eastAsia="Calibri" w:hAnsi="Times New Roman" w:cs="Times New Roman"/>
          <w:sz w:val="24"/>
          <w:szCs w:val="24"/>
        </w:rPr>
        <w:t xml:space="preserve"> </w:t>
      </w:r>
      <w:r w:rsidR="00E02EEC">
        <w:rPr>
          <w:rFonts w:ascii="Times New Roman" w:eastAsia="Calibri" w:hAnsi="Times New Roman" w:cs="Times New Roman"/>
          <w:sz w:val="24"/>
          <w:szCs w:val="24"/>
        </w:rPr>
        <w:t xml:space="preserve">e </w:t>
      </w:r>
      <w:r w:rsidRPr="003F74E0">
        <w:rPr>
          <w:rFonts w:ascii="Times New Roman" w:eastAsia="Calibri" w:hAnsi="Times New Roman" w:cs="Times New Roman"/>
          <w:sz w:val="24"/>
          <w:szCs w:val="24"/>
        </w:rPr>
        <w:t xml:space="preserve">a previsão de pagamento, em caso de condenação do ente público, por </w:t>
      </w:r>
      <w:r w:rsidR="008116A5">
        <w:rPr>
          <w:rFonts w:ascii="Times New Roman" w:eastAsia="Calibri" w:hAnsi="Times New Roman" w:cs="Times New Roman"/>
          <w:sz w:val="24"/>
          <w:szCs w:val="24"/>
        </w:rPr>
        <w:t xml:space="preserve">meio de </w:t>
      </w:r>
      <w:r w:rsidRPr="003F74E0">
        <w:rPr>
          <w:rFonts w:ascii="Times New Roman" w:eastAsia="Calibri" w:hAnsi="Times New Roman" w:cs="Times New Roman"/>
          <w:sz w:val="24"/>
          <w:szCs w:val="24"/>
        </w:rPr>
        <w:t>precatório ou via compensação.</w:t>
      </w:r>
    </w:p>
    <w:p w14:paraId="411B4D12" w14:textId="00D31B9C" w:rsidR="009429A2" w:rsidRDefault="005C7E93" w:rsidP="00CC064F">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É</w:t>
      </w:r>
      <w:r w:rsidR="0052741C">
        <w:rPr>
          <w:rFonts w:ascii="Times New Roman" w:eastAsia="Calibri" w:hAnsi="Times New Roman" w:cs="Times New Roman"/>
          <w:sz w:val="24"/>
          <w:szCs w:val="24"/>
        </w:rPr>
        <w:t xml:space="preserve"> </w:t>
      </w:r>
      <w:r w:rsidR="00A17CA8">
        <w:rPr>
          <w:rFonts w:ascii="Times New Roman" w:eastAsia="Calibri" w:hAnsi="Times New Roman" w:cs="Times New Roman"/>
          <w:sz w:val="24"/>
          <w:szCs w:val="24"/>
        </w:rPr>
        <w:t xml:space="preserve">inquestionável a evolução do debate em torno da arbitragem tributária, sendo questão de tempo a aprovação de lei </w:t>
      </w:r>
      <w:r w:rsidR="00F3658F">
        <w:rPr>
          <w:rFonts w:ascii="Times New Roman" w:eastAsia="Calibri" w:hAnsi="Times New Roman" w:cs="Times New Roman"/>
          <w:sz w:val="24"/>
          <w:szCs w:val="24"/>
        </w:rPr>
        <w:t xml:space="preserve">prevendo o uso </w:t>
      </w:r>
      <w:r w:rsidR="009576AE">
        <w:rPr>
          <w:rFonts w:ascii="Times New Roman" w:eastAsia="Calibri" w:hAnsi="Times New Roman" w:cs="Times New Roman"/>
          <w:sz w:val="24"/>
          <w:szCs w:val="24"/>
        </w:rPr>
        <w:t>do instituto, momento para o qual deve estar preparada a Advocacia Pública</w:t>
      </w:r>
      <w:r w:rsidR="00F335A1">
        <w:rPr>
          <w:rFonts w:ascii="Times New Roman" w:eastAsia="Calibri" w:hAnsi="Times New Roman" w:cs="Times New Roman"/>
          <w:sz w:val="24"/>
          <w:szCs w:val="24"/>
        </w:rPr>
        <w:t xml:space="preserve">, </w:t>
      </w:r>
      <w:r w:rsidR="005A6E49">
        <w:rPr>
          <w:rFonts w:ascii="Times New Roman" w:eastAsia="Calibri" w:hAnsi="Times New Roman" w:cs="Times New Roman"/>
          <w:sz w:val="24"/>
          <w:szCs w:val="24"/>
        </w:rPr>
        <w:t>seja</w:t>
      </w:r>
      <w:r w:rsidR="00F335A1">
        <w:rPr>
          <w:rFonts w:ascii="Times New Roman" w:eastAsia="Calibri" w:hAnsi="Times New Roman" w:cs="Times New Roman"/>
          <w:sz w:val="24"/>
          <w:szCs w:val="24"/>
        </w:rPr>
        <w:t xml:space="preserve"> para</w:t>
      </w:r>
      <w:r w:rsidR="005A6E49">
        <w:rPr>
          <w:rFonts w:ascii="Times New Roman" w:eastAsia="Calibri" w:hAnsi="Times New Roman" w:cs="Times New Roman"/>
          <w:sz w:val="24"/>
          <w:szCs w:val="24"/>
        </w:rPr>
        <w:t xml:space="preserve"> participar de sua</w:t>
      </w:r>
      <w:r w:rsidR="00F335A1">
        <w:rPr>
          <w:rFonts w:ascii="Times New Roman" w:eastAsia="Calibri" w:hAnsi="Times New Roman" w:cs="Times New Roman"/>
          <w:sz w:val="24"/>
          <w:szCs w:val="24"/>
        </w:rPr>
        <w:t xml:space="preserve"> </w:t>
      </w:r>
      <w:r w:rsidR="008A4C7B">
        <w:rPr>
          <w:rFonts w:ascii="Times New Roman" w:eastAsia="Calibri" w:hAnsi="Times New Roman" w:cs="Times New Roman"/>
          <w:sz w:val="24"/>
          <w:szCs w:val="24"/>
        </w:rPr>
        <w:t>regulamenta</w:t>
      </w:r>
      <w:r w:rsidR="005A6E49">
        <w:rPr>
          <w:rFonts w:ascii="Times New Roman" w:eastAsia="Calibri" w:hAnsi="Times New Roman" w:cs="Times New Roman"/>
          <w:sz w:val="24"/>
          <w:szCs w:val="24"/>
        </w:rPr>
        <w:t xml:space="preserve">ção </w:t>
      </w:r>
      <w:r w:rsidR="008A4C7B">
        <w:rPr>
          <w:rFonts w:ascii="Times New Roman" w:eastAsia="Calibri" w:hAnsi="Times New Roman" w:cs="Times New Roman"/>
          <w:sz w:val="24"/>
          <w:szCs w:val="24"/>
        </w:rPr>
        <w:t>em âmbito local</w:t>
      </w:r>
      <w:r w:rsidR="005A6E49">
        <w:rPr>
          <w:rFonts w:ascii="Times New Roman" w:eastAsia="Calibri" w:hAnsi="Times New Roman" w:cs="Times New Roman"/>
          <w:sz w:val="24"/>
          <w:szCs w:val="24"/>
        </w:rPr>
        <w:t xml:space="preserve"> (como previsto n</w:t>
      </w:r>
      <w:r w:rsidR="00D1441F">
        <w:rPr>
          <w:rFonts w:ascii="Times New Roman" w:eastAsia="Calibri" w:hAnsi="Times New Roman" w:cs="Times New Roman"/>
          <w:sz w:val="24"/>
          <w:szCs w:val="24"/>
        </w:rPr>
        <w:t>a proposta), seja para garantir a legitimidade de sua aplicação</w:t>
      </w:r>
      <w:r w:rsidR="0016506B">
        <w:rPr>
          <w:rFonts w:ascii="Times New Roman" w:eastAsia="Calibri" w:hAnsi="Times New Roman" w:cs="Times New Roman"/>
          <w:sz w:val="24"/>
          <w:szCs w:val="24"/>
        </w:rPr>
        <w:t xml:space="preserve">, na defesa do melhor interesse </w:t>
      </w:r>
      <w:r>
        <w:rPr>
          <w:rFonts w:ascii="Times New Roman" w:eastAsia="Calibri" w:hAnsi="Times New Roman" w:cs="Times New Roman"/>
          <w:sz w:val="24"/>
          <w:szCs w:val="24"/>
        </w:rPr>
        <w:t>público</w:t>
      </w:r>
      <w:r w:rsidR="0016506B">
        <w:rPr>
          <w:rFonts w:ascii="Times New Roman" w:eastAsia="Calibri" w:hAnsi="Times New Roman" w:cs="Times New Roman"/>
          <w:sz w:val="24"/>
          <w:szCs w:val="24"/>
        </w:rPr>
        <w:t>.</w:t>
      </w:r>
    </w:p>
    <w:p w14:paraId="2A0DC592" w14:textId="0F02202E" w:rsidR="00CC064F" w:rsidRDefault="00CE44FF" w:rsidP="005058AF">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Isto posto</w:t>
      </w:r>
      <w:r w:rsidR="00A13B41">
        <w:rPr>
          <w:rFonts w:ascii="Times New Roman" w:eastAsia="Calibri" w:hAnsi="Times New Roman" w:cs="Times New Roman"/>
          <w:sz w:val="24"/>
          <w:szCs w:val="24"/>
        </w:rPr>
        <w:t>,</w:t>
      </w:r>
      <w:r>
        <w:rPr>
          <w:rFonts w:ascii="Times New Roman" w:eastAsia="Calibri" w:hAnsi="Times New Roman" w:cs="Times New Roman"/>
          <w:sz w:val="24"/>
          <w:szCs w:val="24"/>
        </w:rPr>
        <w:t xml:space="preserve"> enfatizamos</w:t>
      </w:r>
      <w:r w:rsidR="00A13B41">
        <w:rPr>
          <w:rFonts w:ascii="Times New Roman" w:eastAsia="Calibri" w:hAnsi="Times New Roman" w:cs="Times New Roman"/>
          <w:sz w:val="24"/>
          <w:szCs w:val="24"/>
        </w:rPr>
        <w:t xml:space="preserve"> </w:t>
      </w:r>
      <w:r w:rsidR="00DE0606">
        <w:rPr>
          <w:rFonts w:ascii="Times New Roman" w:eastAsia="Calibri" w:hAnsi="Times New Roman" w:cs="Times New Roman"/>
          <w:sz w:val="24"/>
          <w:szCs w:val="24"/>
        </w:rPr>
        <w:t>o papel</w:t>
      </w:r>
      <w:r w:rsidR="00F02187">
        <w:rPr>
          <w:rFonts w:ascii="Times New Roman" w:eastAsia="Calibri" w:hAnsi="Times New Roman" w:cs="Times New Roman"/>
          <w:sz w:val="24"/>
          <w:szCs w:val="24"/>
        </w:rPr>
        <w:t xml:space="preserve"> </w:t>
      </w:r>
      <w:r w:rsidR="00FA7622">
        <w:rPr>
          <w:rFonts w:ascii="Times New Roman" w:eastAsia="Calibri" w:hAnsi="Times New Roman" w:cs="Times New Roman"/>
          <w:sz w:val="24"/>
          <w:szCs w:val="24"/>
        </w:rPr>
        <w:t xml:space="preserve">que </w:t>
      </w:r>
      <w:r>
        <w:rPr>
          <w:rFonts w:ascii="Times New Roman" w:eastAsia="Calibri" w:hAnsi="Times New Roman" w:cs="Times New Roman"/>
          <w:sz w:val="24"/>
          <w:szCs w:val="24"/>
        </w:rPr>
        <w:t>a arbitragem tributária</w:t>
      </w:r>
      <w:r w:rsidR="00FA7622">
        <w:rPr>
          <w:rFonts w:ascii="Times New Roman" w:eastAsia="Calibri" w:hAnsi="Times New Roman" w:cs="Times New Roman"/>
          <w:sz w:val="24"/>
          <w:szCs w:val="24"/>
        </w:rPr>
        <w:t xml:space="preserve"> pode ocupar</w:t>
      </w:r>
      <w:r w:rsidR="00F455B7">
        <w:rPr>
          <w:rFonts w:ascii="Times New Roman" w:eastAsia="Calibri" w:hAnsi="Times New Roman" w:cs="Times New Roman"/>
          <w:sz w:val="24"/>
          <w:szCs w:val="24"/>
        </w:rPr>
        <w:t xml:space="preserve"> dentro do modelo proposto,</w:t>
      </w:r>
      <w:r>
        <w:rPr>
          <w:rFonts w:ascii="Times New Roman" w:eastAsia="Calibri" w:hAnsi="Times New Roman" w:cs="Times New Roman"/>
          <w:sz w:val="24"/>
          <w:szCs w:val="24"/>
        </w:rPr>
        <w:t xml:space="preserve"> </w:t>
      </w:r>
      <w:r w:rsidR="00FA7622">
        <w:rPr>
          <w:rFonts w:ascii="Times New Roman" w:eastAsia="Calibri" w:hAnsi="Times New Roman" w:cs="Times New Roman"/>
          <w:sz w:val="24"/>
          <w:szCs w:val="24"/>
        </w:rPr>
        <w:t>sobretudo em</w:t>
      </w:r>
      <w:r>
        <w:rPr>
          <w:rFonts w:ascii="Times New Roman" w:eastAsia="Calibri" w:hAnsi="Times New Roman" w:cs="Times New Roman"/>
          <w:sz w:val="24"/>
          <w:szCs w:val="24"/>
        </w:rPr>
        <w:t xml:space="preserve"> demandas com </w:t>
      </w:r>
      <w:r w:rsidR="007F757D">
        <w:rPr>
          <w:rFonts w:ascii="Times New Roman" w:eastAsia="Calibri" w:hAnsi="Times New Roman" w:cs="Times New Roman"/>
          <w:sz w:val="24"/>
          <w:szCs w:val="24"/>
        </w:rPr>
        <w:t xml:space="preserve">questões de </w:t>
      </w:r>
      <w:r w:rsidR="00361C88">
        <w:rPr>
          <w:rFonts w:ascii="Times New Roman" w:eastAsia="Calibri" w:hAnsi="Times New Roman" w:cs="Times New Roman"/>
          <w:sz w:val="24"/>
          <w:szCs w:val="24"/>
        </w:rPr>
        <w:t xml:space="preserve">interpretação fática </w:t>
      </w:r>
      <w:r w:rsidR="007F757D">
        <w:rPr>
          <w:rFonts w:ascii="Times New Roman" w:eastAsia="Calibri" w:hAnsi="Times New Roman" w:cs="Times New Roman"/>
          <w:sz w:val="24"/>
          <w:szCs w:val="24"/>
        </w:rPr>
        <w:t>complexa</w:t>
      </w:r>
      <w:r w:rsidR="00F455B7">
        <w:rPr>
          <w:rFonts w:ascii="Times New Roman" w:eastAsia="Calibri" w:hAnsi="Times New Roman" w:cs="Times New Roman"/>
          <w:sz w:val="24"/>
          <w:szCs w:val="24"/>
        </w:rPr>
        <w:t>, que exijam conhecimento técnico especial</w:t>
      </w:r>
      <w:r w:rsidR="002D5785">
        <w:rPr>
          <w:rFonts w:ascii="Times New Roman" w:eastAsia="Calibri" w:hAnsi="Times New Roman" w:cs="Times New Roman"/>
          <w:sz w:val="24"/>
          <w:szCs w:val="24"/>
        </w:rPr>
        <w:t xml:space="preserve">, </w:t>
      </w:r>
      <w:r w:rsidR="00E36EA2">
        <w:rPr>
          <w:rFonts w:ascii="Times New Roman" w:eastAsia="Calibri" w:hAnsi="Times New Roman" w:cs="Times New Roman"/>
          <w:sz w:val="24"/>
          <w:szCs w:val="24"/>
        </w:rPr>
        <w:t xml:space="preserve">sendo </w:t>
      </w:r>
      <w:r w:rsidR="00607011">
        <w:rPr>
          <w:rFonts w:ascii="Times New Roman" w:eastAsia="Calibri" w:hAnsi="Times New Roman" w:cs="Times New Roman"/>
          <w:sz w:val="24"/>
          <w:szCs w:val="24"/>
        </w:rPr>
        <w:t>uma via segura e sofisticada para casos</w:t>
      </w:r>
      <w:r w:rsidR="0074772D">
        <w:rPr>
          <w:rFonts w:ascii="Times New Roman" w:eastAsia="Calibri" w:hAnsi="Times New Roman" w:cs="Times New Roman"/>
          <w:sz w:val="24"/>
          <w:szCs w:val="24"/>
        </w:rPr>
        <w:t xml:space="preserve"> em que</w:t>
      </w:r>
      <w:r w:rsidR="004B732D">
        <w:rPr>
          <w:rFonts w:ascii="Times New Roman" w:eastAsia="Calibri" w:hAnsi="Times New Roman" w:cs="Times New Roman"/>
          <w:sz w:val="24"/>
          <w:szCs w:val="24"/>
        </w:rPr>
        <w:t>,</w:t>
      </w:r>
      <w:r w:rsidR="0074772D">
        <w:rPr>
          <w:rFonts w:ascii="Times New Roman" w:eastAsia="Calibri" w:hAnsi="Times New Roman" w:cs="Times New Roman"/>
          <w:sz w:val="24"/>
          <w:szCs w:val="24"/>
        </w:rPr>
        <w:t xml:space="preserve"> tanto a Fazenda Pública</w:t>
      </w:r>
      <w:r w:rsidR="004B732D">
        <w:rPr>
          <w:rFonts w:ascii="Times New Roman" w:eastAsia="Calibri" w:hAnsi="Times New Roman" w:cs="Times New Roman"/>
          <w:sz w:val="24"/>
          <w:szCs w:val="24"/>
        </w:rPr>
        <w:t>, quanto</w:t>
      </w:r>
      <w:r w:rsidR="0074772D">
        <w:rPr>
          <w:rFonts w:ascii="Times New Roman" w:eastAsia="Calibri" w:hAnsi="Times New Roman" w:cs="Times New Roman"/>
          <w:sz w:val="24"/>
          <w:szCs w:val="24"/>
        </w:rPr>
        <w:t xml:space="preserve"> os contribui</w:t>
      </w:r>
      <w:r w:rsidR="004B732D">
        <w:rPr>
          <w:rFonts w:ascii="Times New Roman" w:eastAsia="Calibri" w:hAnsi="Times New Roman" w:cs="Times New Roman"/>
          <w:sz w:val="24"/>
          <w:szCs w:val="24"/>
        </w:rPr>
        <w:t>n</w:t>
      </w:r>
      <w:r w:rsidR="0074772D">
        <w:rPr>
          <w:rFonts w:ascii="Times New Roman" w:eastAsia="Calibri" w:hAnsi="Times New Roman" w:cs="Times New Roman"/>
          <w:sz w:val="24"/>
          <w:szCs w:val="24"/>
        </w:rPr>
        <w:t xml:space="preserve">tes, </w:t>
      </w:r>
      <w:r w:rsidR="001F4E77">
        <w:rPr>
          <w:rFonts w:ascii="Times New Roman" w:eastAsia="Calibri" w:hAnsi="Times New Roman" w:cs="Times New Roman"/>
          <w:sz w:val="24"/>
          <w:szCs w:val="24"/>
        </w:rPr>
        <w:t>entendam conveniente e oportuno</w:t>
      </w:r>
      <w:r w:rsidR="00BA5A03">
        <w:rPr>
          <w:rFonts w:ascii="Times New Roman" w:eastAsia="Calibri" w:hAnsi="Times New Roman" w:cs="Times New Roman"/>
          <w:sz w:val="24"/>
          <w:szCs w:val="24"/>
        </w:rPr>
        <w:t xml:space="preserve"> o caminho do processo arbitral.</w:t>
      </w:r>
    </w:p>
    <w:p w14:paraId="7C20C9E6" w14:textId="77777777" w:rsidR="005058AF" w:rsidRDefault="005058AF" w:rsidP="005058AF">
      <w:pPr>
        <w:spacing w:before="120" w:after="120" w:line="360" w:lineRule="auto"/>
        <w:ind w:firstLine="851"/>
        <w:jc w:val="both"/>
        <w:rPr>
          <w:rFonts w:ascii="Times New Roman" w:eastAsia="Calibri" w:hAnsi="Times New Roman" w:cs="Times New Roman"/>
          <w:sz w:val="24"/>
          <w:szCs w:val="24"/>
        </w:rPr>
      </w:pPr>
    </w:p>
    <w:p w14:paraId="5079E2F2" w14:textId="04029B0D" w:rsidR="00F03C43" w:rsidRPr="00806986" w:rsidRDefault="00F03C43" w:rsidP="00806986">
      <w:pPr>
        <w:pStyle w:val="PargrafodaLista"/>
        <w:numPr>
          <w:ilvl w:val="0"/>
          <w:numId w:val="3"/>
        </w:numPr>
        <w:spacing w:before="120" w:after="120" w:line="360" w:lineRule="auto"/>
        <w:ind w:left="851" w:firstLine="0"/>
        <w:jc w:val="both"/>
        <w:rPr>
          <w:rFonts w:ascii="Times New Roman" w:eastAsia="Calibri" w:hAnsi="Times New Roman" w:cs="Times New Roman"/>
          <w:b/>
          <w:bCs/>
          <w:sz w:val="24"/>
          <w:szCs w:val="24"/>
        </w:rPr>
      </w:pPr>
      <w:r w:rsidRPr="00806986">
        <w:rPr>
          <w:rFonts w:ascii="Times New Roman" w:eastAsia="Calibri" w:hAnsi="Times New Roman" w:cs="Times New Roman"/>
          <w:b/>
          <w:bCs/>
          <w:sz w:val="24"/>
          <w:szCs w:val="24"/>
        </w:rPr>
        <w:t>CONCLUSÃO</w:t>
      </w:r>
    </w:p>
    <w:p w14:paraId="7606D25C" w14:textId="24CFD82C" w:rsidR="005A1E31" w:rsidRDefault="005A1E31" w:rsidP="005A1E31">
      <w:pPr>
        <w:spacing w:before="120" w:after="120" w:line="360" w:lineRule="auto"/>
        <w:ind w:firstLine="851"/>
        <w:jc w:val="both"/>
        <w:rPr>
          <w:rFonts w:ascii="Times New Roman" w:eastAsia="Calibri" w:hAnsi="Times New Roman" w:cs="Times New Roman"/>
          <w:sz w:val="24"/>
          <w:szCs w:val="24"/>
        </w:rPr>
      </w:pPr>
      <w:r w:rsidRPr="00C714FE">
        <w:rPr>
          <w:rFonts w:ascii="Times New Roman" w:eastAsia="Calibri" w:hAnsi="Times New Roman" w:cs="Times New Roman"/>
          <w:sz w:val="24"/>
          <w:szCs w:val="24"/>
        </w:rPr>
        <w:t>O artigo teve o propósito de a</w:t>
      </w:r>
      <w:r w:rsidR="007B1BC7">
        <w:rPr>
          <w:rFonts w:ascii="Times New Roman" w:eastAsia="Calibri" w:hAnsi="Times New Roman" w:cs="Times New Roman"/>
          <w:sz w:val="24"/>
          <w:szCs w:val="24"/>
        </w:rPr>
        <w:t>pontar a aderência d</w:t>
      </w:r>
      <w:r w:rsidR="00514B6D">
        <w:rPr>
          <w:rFonts w:ascii="Times New Roman" w:eastAsia="Calibri" w:hAnsi="Times New Roman" w:cs="Times New Roman"/>
          <w:sz w:val="24"/>
          <w:szCs w:val="24"/>
        </w:rPr>
        <w:t>as iniciativas de</w:t>
      </w:r>
      <w:r w:rsidR="00A36F67">
        <w:rPr>
          <w:rFonts w:ascii="Times New Roman" w:eastAsia="Calibri" w:hAnsi="Times New Roman" w:cs="Times New Roman"/>
          <w:sz w:val="24"/>
          <w:szCs w:val="24"/>
        </w:rPr>
        <w:t xml:space="preserve"> desenvolvimento do sistema multiportas </w:t>
      </w:r>
      <w:r w:rsidR="009C7CD8">
        <w:rPr>
          <w:rFonts w:ascii="Times New Roman" w:eastAsia="Calibri" w:hAnsi="Times New Roman" w:cs="Times New Roman"/>
          <w:sz w:val="24"/>
          <w:szCs w:val="24"/>
        </w:rPr>
        <w:t>n</w:t>
      </w:r>
      <w:r w:rsidR="00A36F67">
        <w:rPr>
          <w:rFonts w:ascii="Times New Roman" w:eastAsia="Calibri" w:hAnsi="Times New Roman" w:cs="Times New Roman"/>
          <w:sz w:val="24"/>
          <w:szCs w:val="24"/>
        </w:rPr>
        <w:t xml:space="preserve">a Administração Pública à Agenda 2030, especialmente ao ODS 16, </w:t>
      </w:r>
      <w:r w:rsidR="00B94146">
        <w:rPr>
          <w:rFonts w:ascii="Times New Roman" w:eastAsia="Calibri" w:hAnsi="Times New Roman" w:cs="Times New Roman"/>
          <w:sz w:val="24"/>
          <w:szCs w:val="24"/>
        </w:rPr>
        <w:t xml:space="preserve">enfatizando a importância </w:t>
      </w:r>
      <w:r w:rsidR="00514B6D">
        <w:rPr>
          <w:rFonts w:ascii="Times New Roman" w:eastAsia="Calibri" w:hAnsi="Times New Roman" w:cs="Times New Roman"/>
          <w:sz w:val="24"/>
          <w:szCs w:val="24"/>
        </w:rPr>
        <w:t xml:space="preserve">e </w:t>
      </w:r>
      <w:r w:rsidR="001075D3">
        <w:rPr>
          <w:rFonts w:ascii="Times New Roman" w:eastAsia="Calibri" w:hAnsi="Times New Roman" w:cs="Times New Roman"/>
          <w:sz w:val="24"/>
          <w:szCs w:val="24"/>
        </w:rPr>
        <w:t>o</w:t>
      </w:r>
      <w:r w:rsidR="00A27ED5">
        <w:rPr>
          <w:rFonts w:ascii="Times New Roman" w:eastAsia="Calibri" w:hAnsi="Times New Roman" w:cs="Times New Roman"/>
          <w:sz w:val="24"/>
          <w:szCs w:val="24"/>
        </w:rPr>
        <w:t xml:space="preserve"> potencial</w:t>
      </w:r>
      <w:r w:rsidR="001075D3">
        <w:rPr>
          <w:rFonts w:ascii="Times New Roman" w:eastAsia="Calibri" w:hAnsi="Times New Roman" w:cs="Times New Roman"/>
          <w:sz w:val="24"/>
          <w:szCs w:val="24"/>
        </w:rPr>
        <w:t xml:space="preserve"> impacto </w:t>
      </w:r>
      <w:r w:rsidR="00641474">
        <w:rPr>
          <w:rFonts w:ascii="Times New Roman" w:eastAsia="Calibri" w:hAnsi="Times New Roman" w:cs="Times New Roman"/>
          <w:sz w:val="24"/>
          <w:szCs w:val="24"/>
        </w:rPr>
        <w:t xml:space="preserve">positivo </w:t>
      </w:r>
      <w:r w:rsidR="00B94146">
        <w:rPr>
          <w:rFonts w:ascii="Times New Roman" w:eastAsia="Calibri" w:hAnsi="Times New Roman" w:cs="Times New Roman"/>
          <w:sz w:val="24"/>
          <w:szCs w:val="24"/>
        </w:rPr>
        <w:t>de</w:t>
      </w:r>
      <w:r w:rsidR="001075D3">
        <w:rPr>
          <w:rFonts w:ascii="Times New Roman" w:eastAsia="Calibri" w:hAnsi="Times New Roman" w:cs="Times New Roman"/>
          <w:sz w:val="24"/>
          <w:szCs w:val="24"/>
        </w:rPr>
        <w:t xml:space="preserve"> se</w:t>
      </w:r>
      <w:r w:rsidR="00B94146">
        <w:rPr>
          <w:rFonts w:ascii="Times New Roman" w:eastAsia="Calibri" w:hAnsi="Times New Roman" w:cs="Times New Roman"/>
          <w:sz w:val="24"/>
          <w:szCs w:val="24"/>
        </w:rPr>
        <w:t xml:space="preserve"> </w:t>
      </w:r>
      <w:r w:rsidR="000174DF">
        <w:rPr>
          <w:rFonts w:ascii="Times New Roman" w:eastAsia="Calibri" w:hAnsi="Times New Roman" w:cs="Times New Roman"/>
          <w:sz w:val="24"/>
          <w:szCs w:val="24"/>
        </w:rPr>
        <w:t>consolidar esta mudança de paradigma</w:t>
      </w:r>
      <w:r w:rsidR="00EA0240">
        <w:rPr>
          <w:rFonts w:ascii="Times New Roman" w:eastAsia="Calibri" w:hAnsi="Times New Roman" w:cs="Times New Roman"/>
          <w:sz w:val="24"/>
          <w:szCs w:val="24"/>
        </w:rPr>
        <w:t xml:space="preserve"> </w:t>
      </w:r>
      <w:r w:rsidR="001075D3">
        <w:rPr>
          <w:rFonts w:ascii="Times New Roman" w:eastAsia="Calibri" w:hAnsi="Times New Roman" w:cs="Times New Roman"/>
          <w:sz w:val="24"/>
          <w:szCs w:val="24"/>
        </w:rPr>
        <w:t xml:space="preserve">no tratamento do contencioso </w:t>
      </w:r>
      <w:r w:rsidR="00FC2CC0">
        <w:rPr>
          <w:rFonts w:ascii="Times New Roman" w:eastAsia="Calibri" w:hAnsi="Times New Roman" w:cs="Times New Roman"/>
          <w:sz w:val="24"/>
          <w:szCs w:val="24"/>
        </w:rPr>
        <w:t>fiscal</w:t>
      </w:r>
      <w:r w:rsidR="002F1F18">
        <w:rPr>
          <w:rFonts w:ascii="Times New Roman" w:eastAsia="Calibri" w:hAnsi="Times New Roman" w:cs="Times New Roman"/>
          <w:sz w:val="24"/>
          <w:szCs w:val="24"/>
        </w:rPr>
        <w:t>,</w:t>
      </w:r>
      <w:r w:rsidR="0086171D">
        <w:rPr>
          <w:rFonts w:ascii="Times New Roman" w:eastAsia="Calibri" w:hAnsi="Times New Roman" w:cs="Times New Roman"/>
          <w:sz w:val="24"/>
          <w:szCs w:val="24"/>
        </w:rPr>
        <w:t xml:space="preserve"> e</w:t>
      </w:r>
      <w:r w:rsidR="00A27ED5">
        <w:rPr>
          <w:rFonts w:ascii="Times New Roman" w:eastAsia="Calibri" w:hAnsi="Times New Roman" w:cs="Times New Roman"/>
          <w:sz w:val="24"/>
          <w:szCs w:val="24"/>
        </w:rPr>
        <w:t xml:space="preserve"> abordando</w:t>
      </w:r>
      <w:r w:rsidR="0086171D">
        <w:rPr>
          <w:rFonts w:ascii="Times New Roman" w:eastAsia="Calibri" w:hAnsi="Times New Roman" w:cs="Times New Roman"/>
          <w:sz w:val="24"/>
          <w:szCs w:val="24"/>
        </w:rPr>
        <w:t>, ao final,</w:t>
      </w:r>
      <w:r w:rsidR="0023632A">
        <w:rPr>
          <w:rFonts w:ascii="Times New Roman" w:eastAsia="Calibri" w:hAnsi="Times New Roman" w:cs="Times New Roman"/>
          <w:sz w:val="24"/>
          <w:szCs w:val="24"/>
        </w:rPr>
        <w:t xml:space="preserve"> </w:t>
      </w:r>
      <w:r w:rsidR="0086171D">
        <w:rPr>
          <w:rFonts w:ascii="Times New Roman" w:eastAsia="Calibri" w:hAnsi="Times New Roman" w:cs="Times New Roman"/>
          <w:sz w:val="24"/>
          <w:szCs w:val="24"/>
        </w:rPr>
        <w:t xml:space="preserve">o </w:t>
      </w:r>
      <w:r w:rsidR="0023632A">
        <w:rPr>
          <w:rFonts w:ascii="Times New Roman" w:eastAsia="Calibri" w:hAnsi="Times New Roman" w:cs="Times New Roman"/>
          <w:sz w:val="24"/>
          <w:szCs w:val="24"/>
        </w:rPr>
        <w:t>panorama atual</w:t>
      </w:r>
      <w:r w:rsidR="00A27ED5">
        <w:rPr>
          <w:rFonts w:ascii="Times New Roman" w:eastAsia="Calibri" w:hAnsi="Times New Roman" w:cs="Times New Roman"/>
          <w:sz w:val="24"/>
          <w:szCs w:val="24"/>
        </w:rPr>
        <w:t xml:space="preserve"> </w:t>
      </w:r>
      <w:r w:rsidR="0023632A">
        <w:rPr>
          <w:rFonts w:ascii="Times New Roman" w:eastAsia="Calibri" w:hAnsi="Times New Roman" w:cs="Times New Roman"/>
          <w:sz w:val="24"/>
          <w:szCs w:val="24"/>
        </w:rPr>
        <w:t>d</w:t>
      </w:r>
      <w:r w:rsidR="002D2B8C">
        <w:rPr>
          <w:rFonts w:ascii="Times New Roman" w:eastAsia="Calibri" w:hAnsi="Times New Roman" w:cs="Times New Roman"/>
          <w:sz w:val="24"/>
          <w:szCs w:val="24"/>
        </w:rPr>
        <w:t xml:space="preserve">os instrumentos de resolução </w:t>
      </w:r>
      <w:r w:rsidR="0086171D">
        <w:rPr>
          <w:rFonts w:ascii="Times New Roman" w:eastAsia="Calibri" w:hAnsi="Times New Roman" w:cs="Times New Roman"/>
          <w:sz w:val="24"/>
          <w:szCs w:val="24"/>
        </w:rPr>
        <w:t>consensual</w:t>
      </w:r>
      <w:r w:rsidR="002D2B8C">
        <w:rPr>
          <w:rFonts w:ascii="Times New Roman" w:eastAsia="Calibri" w:hAnsi="Times New Roman" w:cs="Times New Roman"/>
          <w:sz w:val="24"/>
          <w:szCs w:val="24"/>
        </w:rPr>
        <w:t xml:space="preserve"> de conflitos </w:t>
      </w:r>
      <w:r w:rsidRPr="0023632A">
        <w:rPr>
          <w:rFonts w:ascii="Times New Roman" w:eastAsia="Calibri" w:hAnsi="Times New Roman" w:cs="Times New Roman"/>
          <w:sz w:val="24"/>
          <w:szCs w:val="24"/>
        </w:rPr>
        <w:t>no Direito Tributário, tendo como proposições:</w:t>
      </w:r>
    </w:p>
    <w:p w14:paraId="3938FF1A" w14:textId="692F40EE" w:rsidR="00175586" w:rsidRDefault="007B245D" w:rsidP="00175586">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B5F">
        <w:rPr>
          <w:rFonts w:ascii="Times New Roman" w:eastAsia="Calibri" w:hAnsi="Times New Roman" w:cs="Times New Roman"/>
          <w:sz w:val="24"/>
          <w:szCs w:val="24"/>
        </w:rPr>
        <w:t>A nova concepção do direito de acesso à justiça, aliad</w:t>
      </w:r>
      <w:r w:rsidR="00FF3DD0">
        <w:rPr>
          <w:rFonts w:ascii="Times New Roman" w:eastAsia="Calibri" w:hAnsi="Times New Roman" w:cs="Times New Roman"/>
          <w:sz w:val="24"/>
          <w:szCs w:val="24"/>
        </w:rPr>
        <w:t xml:space="preserve">a ao dever estatal de resolver os conflitos, sempre que possível, </w:t>
      </w:r>
      <w:r w:rsidR="003A249F">
        <w:rPr>
          <w:rFonts w:ascii="Times New Roman" w:eastAsia="Calibri" w:hAnsi="Times New Roman" w:cs="Times New Roman"/>
          <w:sz w:val="24"/>
          <w:szCs w:val="24"/>
        </w:rPr>
        <w:t xml:space="preserve">de forma consensual, </w:t>
      </w:r>
      <w:r w:rsidR="000E741F">
        <w:rPr>
          <w:rFonts w:ascii="Times New Roman" w:eastAsia="Calibri" w:hAnsi="Times New Roman" w:cs="Times New Roman"/>
          <w:sz w:val="24"/>
          <w:szCs w:val="24"/>
        </w:rPr>
        <w:t xml:space="preserve">impõe a implementação </w:t>
      </w:r>
      <w:r w:rsidR="005A1E31" w:rsidRPr="00B2686D">
        <w:rPr>
          <w:rFonts w:ascii="Times New Roman" w:eastAsia="Calibri" w:hAnsi="Times New Roman" w:cs="Times New Roman"/>
          <w:sz w:val="24"/>
          <w:szCs w:val="24"/>
        </w:rPr>
        <w:t xml:space="preserve">de meios adequados de solução de </w:t>
      </w:r>
      <w:r w:rsidR="005A5F5C">
        <w:rPr>
          <w:rFonts w:ascii="Times New Roman" w:eastAsia="Calibri" w:hAnsi="Times New Roman" w:cs="Times New Roman"/>
          <w:sz w:val="24"/>
          <w:szCs w:val="24"/>
        </w:rPr>
        <w:t>controvérsias</w:t>
      </w:r>
      <w:r w:rsidR="005A1E31" w:rsidRPr="00B2686D">
        <w:rPr>
          <w:rFonts w:ascii="Times New Roman" w:eastAsia="Calibri" w:hAnsi="Times New Roman" w:cs="Times New Roman"/>
          <w:sz w:val="24"/>
          <w:szCs w:val="24"/>
        </w:rPr>
        <w:t>, alternativos</w:t>
      </w:r>
      <w:r w:rsidR="00B2686D">
        <w:rPr>
          <w:rFonts w:ascii="Times New Roman" w:eastAsia="Calibri" w:hAnsi="Times New Roman" w:cs="Times New Roman"/>
          <w:sz w:val="24"/>
          <w:szCs w:val="24"/>
        </w:rPr>
        <w:t>, mas equiparados</w:t>
      </w:r>
      <w:r w:rsidR="005A1E31" w:rsidRPr="00B2686D">
        <w:rPr>
          <w:rFonts w:ascii="Times New Roman" w:eastAsia="Calibri" w:hAnsi="Times New Roman" w:cs="Times New Roman"/>
          <w:sz w:val="24"/>
          <w:szCs w:val="24"/>
        </w:rPr>
        <w:t xml:space="preserve"> à justiça estatal, ampliando a tendência pela </w:t>
      </w:r>
      <w:r w:rsidR="005A1E31" w:rsidRPr="002F2893">
        <w:rPr>
          <w:rFonts w:ascii="Times New Roman" w:eastAsia="Calibri" w:hAnsi="Times New Roman" w:cs="Times New Roman"/>
          <w:sz w:val="24"/>
          <w:szCs w:val="24"/>
        </w:rPr>
        <w:t>desjudicialização</w:t>
      </w:r>
      <w:r w:rsidR="004A18D8">
        <w:rPr>
          <w:rFonts w:ascii="Times New Roman" w:eastAsia="Calibri" w:hAnsi="Times New Roman" w:cs="Times New Roman"/>
          <w:sz w:val="24"/>
          <w:szCs w:val="24"/>
        </w:rPr>
        <w:t xml:space="preserve">, especialmente nas </w:t>
      </w:r>
      <w:r w:rsidR="00194D32">
        <w:rPr>
          <w:rFonts w:ascii="Times New Roman" w:eastAsia="Calibri" w:hAnsi="Times New Roman" w:cs="Times New Roman"/>
          <w:sz w:val="24"/>
          <w:szCs w:val="24"/>
        </w:rPr>
        <w:t>disputas</w:t>
      </w:r>
      <w:r w:rsidR="004A18D8">
        <w:rPr>
          <w:rFonts w:ascii="Times New Roman" w:eastAsia="Calibri" w:hAnsi="Times New Roman" w:cs="Times New Roman"/>
          <w:sz w:val="24"/>
          <w:szCs w:val="24"/>
        </w:rPr>
        <w:t xml:space="preserve"> envolvendo a Administração Pública</w:t>
      </w:r>
      <w:r w:rsidR="005A1E31" w:rsidRPr="00B2686D">
        <w:rPr>
          <w:rFonts w:ascii="Times New Roman" w:eastAsia="Calibri" w:hAnsi="Times New Roman" w:cs="Times New Roman"/>
          <w:sz w:val="24"/>
          <w:szCs w:val="24"/>
        </w:rPr>
        <w:t>;</w:t>
      </w:r>
    </w:p>
    <w:p w14:paraId="3DCF04B0" w14:textId="11A5C4EF" w:rsidR="00AB5011" w:rsidRDefault="00175586" w:rsidP="00175586">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11B00">
        <w:rPr>
          <w:rFonts w:ascii="Times New Roman" w:eastAsia="Calibri" w:hAnsi="Times New Roman" w:cs="Times New Roman"/>
          <w:sz w:val="24"/>
          <w:szCs w:val="24"/>
        </w:rPr>
        <w:t>Os projetos e iniciativas do setor público,</w:t>
      </w:r>
      <w:r w:rsidR="00E676FA">
        <w:rPr>
          <w:rFonts w:ascii="Times New Roman" w:eastAsia="Calibri" w:hAnsi="Times New Roman" w:cs="Times New Roman"/>
          <w:sz w:val="24"/>
          <w:szCs w:val="24"/>
        </w:rPr>
        <w:t xml:space="preserve"> que tenham como objetivo o </w:t>
      </w:r>
      <w:r w:rsidR="006F28C5">
        <w:rPr>
          <w:rFonts w:ascii="Times New Roman" w:eastAsia="Calibri" w:hAnsi="Times New Roman" w:cs="Times New Roman"/>
          <w:sz w:val="24"/>
          <w:szCs w:val="24"/>
        </w:rPr>
        <w:t xml:space="preserve">desenvolvimento </w:t>
      </w:r>
      <w:r w:rsidR="00DF2CA1">
        <w:rPr>
          <w:rFonts w:ascii="Times New Roman" w:eastAsia="Calibri" w:hAnsi="Times New Roman" w:cs="Times New Roman"/>
          <w:sz w:val="24"/>
          <w:szCs w:val="24"/>
        </w:rPr>
        <w:t>da consensualidade</w:t>
      </w:r>
      <w:r w:rsidR="00C0437C">
        <w:rPr>
          <w:rFonts w:ascii="Times New Roman" w:eastAsia="Calibri" w:hAnsi="Times New Roman" w:cs="Times New Roman"/>
          <w:sz w:val="24"/>
          <w:szCs w:val="24"/>
        </w:rPr>
        <w:t xml:space="preserve"> e o tratamento da alta litigiosidade</w:t>
      </w:r>
      <w:r w:rsidR="00DC3D6B">
        <w:rPr>
          <w:rFonts w:ascii="Times New Roman" w:eastAsia="Calibri" w:hAnsi="Times New Roman" w:cs="Times New Roman"/>
          <w:sz w:val="24"/>
          <w:szCs w:val="24"/>
        </w:rPr>
        <w:t xml:space="preserve"> no Brasil</w:t>
      </w:r>
      <w:r w:rsidR="00D2644C">
        <w:rPr>
          <w:rFonts w:ascii="Times New Roman" w:eastAsia="Calibri" w:hAnsi="Times New Roman" w:cs="Times New Roman"/>
          <w:sz w:val="24"/>
          <w:szCs w:val="24"/>
        </w:rPr>
        <w:t>,</w:t>
      </w:r>
      <w:r w:rsidR="00C0437C">
        <w:rPr>
          <w:rFonts w:ascii="Times New Roman" w:eastAsia="Calibri" w:hAnsi="Times New Roman" w:cs="Times New Roman"/>
          <w:sz w:val="24"/>
          <w:szCs w:val="24"/>
        </w:rPr>
        <w:t xml:space="preserve"> têm aderência direta com a Agenda 2030, especificamente com o ODS 16</w:t>
      </w:r>
      <w:r w:rsidR="0002730D">
        <w:rPr>
          <w:rFonts w:ascii="Times New Roman" w:eastAsia="Calibri" w:hAnsi="Times New Roman" w:cs="Times New Roman"/>
          <w:sz w:val="24"/>
          <w:szCs w:val="24"/>
        </w:rPr>
        <w:t>;</w:t>
      </w:r>
    </w:p>
    <w:p w14:paraId="6963B90C" w14:textId="6AFC09D1" w:rsidR="0002730D" w:rsidRDefault="0002730D" w:rsidP="00175586">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25CE7">
        <w:rPr>
          <w:rFonts w:ascii="Times New Roman" w:eastAsia="Calibri" w:hAnsi="Times New Roman" w:cs="Times New Roman"/>
          <w:sz w:val="24"/>
          <w:szCs w:val="24"/>
        </w:rPr>
        <w:t xml:space="preserve">O aprimoramento do </w:t>
      </w:r>
      <w:r w:rsidR="003E757E">
        <w:rPr>
          <w:rFonts w:ascii="Times New Roman" w:eastAsia="Calibri" w:hAnsi="Times New Roman" w:cs="Times New Roman"/>
          <w:sz w:val="24"/>
          <w:szCs w:val="24"/>
        </w:rPr>
        <w:t xml:space="preserve">acesso à justiça, </w:t>
      </w:r>
      <w:r w:rsidR="004D72AB">
        <w:rPr>
          <w:rFonts w:ascii="Times New Roman" w:eastAsia="Calibri" w:hAnsi="Times New Roman" w:cs="Times New Roman"/>
          <w:sz w:val="24"/>
          <w:szCs w:val="24"/>
        </w:rPr>
        <w:t xml:space="preserve">com o pretendido aumento de eficiência </w:t>
      </w:r>
      <w:r w:rsidR="00C75B7C">
        <w:rPr>
          <w:rFonts w:ascii="Times New Roman" w:eastAsia="Calibri" w:hAnsi="Times New Roman" w:cs="Times New Roman"/>
          <w:sz w:val="24"/>
          <w:szCs w:val="24"/>
        </w:rPr>
        <w:t>n</w:t>
      </w:r>
      <w:r w:rsidR="004D72AB">
        <w:rPr>
          <w:rFonts w:ascii="Times New Roman" w:eastAsia="Calibri" w:hAnsi="Times New Roman" w:cs="Times New Roman"/>
          <w:sz w:val="24"/>
          <w:szCs w:val="24"/>
        </w:rPr>
        <w:t>a entrega jurisdicional</w:t>
      </w:r>
      <w:r w:rsidR="00536AE5">
        <w:rPr>
          <w:rFonts w:ascii="Times New Roman" w:eastAsia="Calibri" w:hAnsi="Times New Roman" w:cs="Times New Roman"/>
          <w:sz w:val="24"/>
          <w:szCs w:val="24"/>
        </w:rPr>
        <w:t xml:space="preserve"> e </w:t>
      </w:r>
      <w:r w:rsidR="00C75B7C">
        <w:rPr>
          <w:rFonts w:ascii="Times New Roman" w:eastAsia="Calibri" w:hAnsi="Times New Roman" w:cs="Times New Roman"/>
          <w:sz w:val="24"/>
          <w:szCs w:val="24"/>
        </w:rPr>
        <w:t>na</w:t>
      </w:r>
      <w:r w:rsidR="00536AE5">
        <w:rPr>
          <w:rFonts w:ascii="Times New Roman" w:eastAsia="Calibri" w:hAnsi="Times New Roman" w:cs="Times New Roman"/>
          <w:sz w:val="24"/>
          <w:szCs w:val="24"/>
        </w:rPr>
        <w:t xml:space="preserve"> capacidade de garanti</w:t>
      </w:r>
      <w:r w:rsidR="00564D8B">
        <w:rPr>
          <w:rFonts w:ascii="Times New Roman" w:eastAsia="Calibri" w:hAnsi="Times New Roman" w:cs="Times New Roman"/>
          <w:sz w:val="24"/>
          <w:szCs w:val="24"/>
        </w:rPr>
        <w:t>a</w:t>
      </w:r>
      <w:r w:rsidR="00536AE5">
        <w:rPr>
          <w:rFonts w:ascii="Times New Roman" w:eastAsia="Calibri" w:hAnsi="Times New Roman" w:cs="Times New Roman"/>
          <w:sz w:val="24"/>
          <w:szCs w:val="24"/>
        </w:rPr>
        <w:t xml:space="preserve"> </w:t>
      </w:r>
      <w:r w:rsidR="00564D8B">
        <w:rPr>
          <w:rFonts w:ascii="Times New Roman" w:eastAsia="Calibri" w:hAnsi="Times New Roman" w:cs="Times New Roman"/>
          <w:sz w:val="24"/>
          <w:szCs w:val="24"/>
        </w:rPr>
        <w:t>de</w:t>
      </w:r>
      <w:r w:rsidR="00536AE5">
        <w:rPr>
          <w:rFonts w:ascii="Times New Roman" w:eastAsia="Calibri" w:hAnsi="Times New Roman" w:cs="Times New Roman"/>
          <w:sz w:val="24"/>
          <w:szCs w:val="24"/>
        </w:rPr>
        <w:t xml:space="preserve"> pacificação social, </w:t>
      </w:r>
      <w:r w:rsidR="000E56B1">
        <w:rPr>
          <w:rFonts w:ascii="Times New Roman" w:eastAsia="Calibri" w:hAnsi="Times New Roman" w:cs="Times New Roman"/>
          <w:sz w:val="24"/>
          <w:szCs w:val="24"/>
        </w:rPr>
        <w:t xml:space="preserve">exige uma transformação no </w:t>
      </w:r>
      <w:r w:rsidR="000E56B1">
        <w:rPr>
          <w:rFonts w:ascii="Times New Roman" w:eastAsia="Calibri" w:hAnsi="Times New Roman" w:cs="Times New Roman"/>
          <w:sz w:val="24"/>
          <w:szCs w:val="24"/>
        </w:rPr>
        <w:lastRenderedPageBreak/>
        <w:t xml:space="preserve">tratamento do contencioso </w:t>
      </w:r>
      <w:r w:rsidR="002F31BB">
        <w:rPr>
          <w:rFonts w:ascii="Times New Roman" w:eastAsia="Calibri" w:hAnsi="Times New Roman" w:cs="Times New Roman"/>
          <w:sz w:val="24"/>
          <w:szCs w:val="24"/>
        </w:rPr>
        <w:t>fiscal</w:t>
      </w:r>
      <w:r w:rsidR="00BE0436">
        <w:rPr>
          <w:rFonts w:ascii="Times New Roman" w:eastAsia="Calibri" w:hAnsi="Times New Roman" w:cs="Times New Roman"/>
          <w:sz w:val="24"/>
          <w:szCs w:val="24"/>
        </w:rPr>
        <w:t>, sendo um dos caminhos para tanto</w:t>
      </w:r>
      <w:r w:rsidR="00C75B7C">
        <w:rPr>
          <w:rFonts w:ascii="Times New Roman" w:eastAsia="Calibri" w:hAnsi="Times New Roman" w:cs="Times New Roman"/>
          <w:sz w:val="24"/>
          <w:szCs w:val="24"/>
        </w:rPr>
        <w:t xml:space="preserve"> </w:t>
      </w:r>
      <w:r w:rsidR="00BE0436">
        <w:rPr>
          <w:rFonts w:ascii="Times New Roman" w:eastAsia="Calibri" w:hAnsi="Times New Roman" w:cs="Times New Roman"/>
          <w:sz w:val="24"/>
          <w:szCs w:val="24"/>
        </w:rPr>
        <w:t xml:space="preserve">a </w:t>
      </w:r>
      <w:r w:rsidR="0059473A">
        <w:rPr>
          <w:rFonts w:ascii="Times New Roman" w:eastAsia="Calibri" w:hAnsi="Times New Roman" w:cs="Times New Roman"/>
          <w:sz w:val="24"/>
          <w:szCs w:val="24"/>
        </w:rPr>
        <w:t>estruturação de um modelo multiportas no Direito Tributário;</w:t>
      </w:r>
    </w:p>
    <w:p w14:paraId="1764C7DE" w14:textId="50BDC053" w:rsidR="00137276" w:rsidRPr="003346E4" w:rsidRDefault="00A81C2B" w:rsidP="00137276">
      <w:pPr>
        <w:spacing w:before="120" w:after="12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Uma proposta viável e eficaz de modelo multiportas no Direito Tributári</w:t>
      </w:r>
      <w:r w:rsidR="0047396D">
        <w:rPr>
          <w:rFonts w:ascii="Times New Roman" w:eastAsia="Calibri" w:hAnsi="Times New Roman" w:cs="Times New Roman"/>
          <w:sz w:val="24"/>
          <w:szCs w:val="24"/>
        </w:rPr>
        <w:t>o</w:t>
      </w:r>
      <w:r w:rsidR="007044F5">
        <w:rPr>
          <w:rFonts w:ascii="Times New Roman" w:eastAsia="Calibri" w:hAnsi="Times New Roman" w:cs="Times New Roman"/>
          <w:sz w:val="24"/>
          <w:szCs w:val="24"/>
        </w:rPr>
        <w:t xml:space="preserve"> é a estrutura </w:t>
      </w:r>
      <w:r w:rsidR="0067055E">
        <w:rPr>
          <w:rFonts w:ascii="Times New Roman" w:eastAsia="Calibri" w:hAnsi="Times New Roman" w:cs="Times New Roman"/>
          <w:sz w:val="24"/>
          <w:szCs w:val="24"/>
        </w:rPr>
        <w:t>sustentada pel</w:t>
      </w:r>
      <w:r w:rsidR="0021735B">
        <w:rPr>
          <w:rFonts w:ascii="Times New Roman" w:eastAsia="Calibri" w:hAnsi="Times New Roman" w:cs="Times New Roman"/>
          <w:sz w:val="24"/>
          <w:szCs w:val="24"/>
        </w:rPr>
        <w:t>a</w:t>
      </w:r>
      <w:r w:rsidR="0067055E">
        <w:rPr>
          <w:rFonts w:ascii="Times New Roman" w:eastAsia="Calibri" w:hAnsi="Times New Roman" w:cs="Times New Roman"/>
          <w:sz w:val="24"/>
          <w:szCs w:val="24"/>
        </w:rPr>
        <w:t xml:space="preserve">s </w:t>
      </w:r>
      <w:r w:rsidR="0021735B">
        <w:rPr>
          <w:rFonts w:ascii="Times New Roman" w:eastAsia="Calibri" w:hAnsi="Times New Roman" w:cs="Times New Roman"/>
          <w:sz w:val="24"/>
          <w:szCs w:val="24"/>
        </w:rPr>
        <w:t xml:space="preserve">ferramentas </w:t>
      </w:r>
      <w:r w:rsidR="0067055E">
        <w:rPr>
          <w:rFonts w:ascii="Times New Roman" w:eastAsia="Calibri" w:hAnsi="Times New Roman" w:cs="Times New Roman"/>
          <w:sz w:val="24"/>
          <w:szCs w:val="24"/>
        </w:rPr>
        <w:t xml:space="preserve">da </w:t>
      </w:r>
      <w:r w:rsidR="0067055E" w:rsidRPr="0021735B">
        <w:rPr>
          <w:rFonts w:ascii="Times New Roman" w:eastAsia="Calibri" w:hAnsi="Times New Roman" w:cs="Times New Roman"/>
          <w:i/>
          <w:iCs/>
          <w:sz w:val="24"/>
          <w:szCs w:val="24"/>
        </w:rPr>
        <w:t>transação tributária</w:t>
      </w:r>
      <w:r w:rsidR="0067055E">
        <w:rPr>
          <w:rFonts w:ascii="Times New Roman" w:eastAsia="Calibri" w:hAnsi="Times New Roman" w:cs="Times New Roman"/>
          <w:sz w:val="24"/>
          <w:szCs w:val="24"/>
        </w:rPr>
        <w:t xml:space="preserve">, </w:t>
      </w:r>
      <w:r w:rsidR="0067055E" w:rsidRPr="0021735B">
        <w:rPr>
          <w:rFonts w:ascii="Times New Roman" w:eastAsia="Calibri" w:hAnsi="Times New Roman" w:cs="Times New Roman"/>
          <w:i/>
          <w:iCs/>
          <w:sz w:val="24"/>
          <w:szCs w:val="24"/>
        </w:rPr>
        <w:t xml:space="preserve">autocomposição </w:t>
      </w:r>
      <w:r w:rsidR="0021735B">
        <w:rPr>
          <w:rFonts w:ascii="Times New Roman" w:eastAsia="Calibri" w:hAnsi="Times New Roman" w:cs="Times New Roman"/>
          <w:i/>
          <w:iCs/>
          <w:sz w:val="24"/>
          <w:szCs w:val="24"/>
        </w:rPr>
        <w:t xml:space="preserve">em matéria </w:t>
      </w:r>
      <w:r w:rsidR="0067055E" w:rsidRPr="0021735B">
        <w:rPr>
          <w:rFonts w:ascii="Times New Roman" w:eastAsia="Calibri" w:hAnsi="Times New Roman" w:cs="Times New Roman"/>
          <w:i/>
          <w:iCs/>
          <w:sz w:val="24"/>
          <w:szCs w:val="24"/>
        </w:rPr>
        <w:t>fiscal</w:t>
      </w:r>
      <w:r w:rsidR="0067055E">
        <w:rPr>
          <w:rFonts w:ascii="Times New Roman" w:eastAsia="Calibri" w:hAnsi="Times New Roman" w:cs="Times New Roman"/>
          <w:sz w:val="24"/>
          <w:szCs w:val="24"/>
        </w:rPr>
        <w:t xml:space="preserve"> e </w:t>
      </w:r>
      <w:r w:rsidR="0067055E" w:rsidRPr="0021735B">
        <w:rPr>
          <w:rFonts w:ascii="Times New Roman" w:eastAsia="Calibri" w:hAnsi="Times New Roman" w:cs="Times New Roman"/>
          <w:i/>
          <w:iCs/>
          <w:sz w:val="24"/>
          <w:szCs w:val="24"/>
        </w:rPr>
        <w:t>arbitragem tributária</w:t>
      </w:r>
      <w:r w:rsidR="0021735B">
        <w:rPr>
          <w:rFonts w:ascii="Times New Roman" w:eastAsia="Calibri" w:hAnsi="Times New Roman" w:cs="Times New Roman"/>
          <w:sz w:val="24"/>
          <w:szCs w:val="24"/>
        </w:rPr>
        <w:t xml:space="preserve">, instrumentos </w:t>
      </w:r>
      <w:r w:rsidR="00BC7DC8">
        <w:rPr>
          <w:rFonts w:ascii="Times New Roman" w:eastAsia="Calibri" w:hAnsi="Times New Roman" w:cs="Times New Roman"/>
          <w:sz w:val="24"/>
          <w:szCs w:val="24"/>
        </w:rPr>
        <w:t>complementares e interdependentes</w:t>
      </w:r>
      <w:r w:rsidR="00A57E2B">
        <w:rPr>
          <w:rFonts w:ascii="Times New Roman" w:eastAsia="Calibri" w:hAnsi="Times New Roman" w:cs="Times New Roman"/>
          <w:sz w:val="24"/>
          <w:szCs w:val="24"/>
        </w:rPr>
        <w:t xml:space="preserve">, capazes de apresentar alternativas </w:t>
      </w:r>
      <w:r w:rsidR="00592D95">
        <w:rPr>
          <w:rFonts w:ascii="Times New Roman" w:eastAsia="Calibri" w:hAnsi="Times New Roman" w:cs="Times New Roman"/>
          <w:sz w:val="24"/>
          <w:szCs w:val="24"/>
        </w:rPr>
        <w:t>eficazes para</w:t>
      </w:r>
      <w:r w:rsidR="00A57E2B">
        <w:rPr>
          <w:rFonts w:ascii="Times New Roman" w:eastAsia="Calibri" w:hAnsi="Times New Roman" w:cs="Times New Roman"/>
          <w:sz w:val="24"/>
          <w:szCs w:val="24"/>
        </w:rPr>
        <w:t xml:space="preserve"> </w:t>
      </w:r>
      <w:r w:rsidR="00592D95">
        <w:rPr>
          <w:rFonts w:ascii="Times New Roman" w:eastAsia="Calibri" w:hAnsi="Times New Roman" w:cs="Times New Roman"/>
          <w:sz w:val="24"/>
          <w:szCs w:val="24"/>
        </w:rPr>
        <w:t xml:space="preserve">a </w:t>
      </w:r>
      <w:r w:rsidR="00A57E2B">
        <w:rPr>
          <w:rFonts w:ascii="Times New Roman" w:eastAsia="Calibri" w:hAnsi="Times New Roman" w:cs="Times New Roman"/>
          <w:sz w:val="24"/>
          <w:szCs w:val="24"/>
        </w:rPr>
        <w:t>resolução de conflitos fiscais de diferentes perfis</w:t>
      </w:r>
      <w:r w:rsidR="00E5303B">
        <w:rPr>
          <w:rFonts w:ascii="Times New Roman" w:eastAsia="Calibri" w:hAnsi="Times New Roman" w:cs="Times New Roman"/>
          <w:sz w:val="24"/>
          <w:szCs w:val="24"/>
        </w:rPr>
        <w:t>.</w:t>
      </w:r>
    </w:p>
    <w:p w14:paraId="752EBD75" w14:textId="00E19EB9" w:rsidR="00F43527" w:rsidRDefault="00F43527" w:rsidP="00564223">
      <w:pPr>
        <w:spacing w:line="360" w:lineRule="auto"/>
        <w:ind w:firstLine="851"/>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REFERÊNCIAS</w:t>
      </w:r>
    </w:p>
    <w:p w14:paraId="0A7925A2" w14:textId="2DE752ED" w:rsidR="00555B4C" w:rsidRPr="00555B4C" w:rsidRDefault="008363BB"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BINENBOJM, Gustavo</w:t>
      </w:r>
      <w:r w:rsidRPr="00555B4C">
        <w:rPr>
          <w:rFonts w:ascii="Times New Roman" w:eastAsia="Calibri" w:hAnsi="Times New Roman" w:cs="Times New Roman"/>
          <w:b/>
          <w:bCs/>
          <w:sz w:val="20"/>
          <w:szCs w:val="20"/>
        </w:rPr>
        <w:t>. Da supremacia do interesse público ao dever de proporcionalidade: um novo paradigma para o direito administrativo.</w:t>
      </w:r>
      <w:r w:rsidRPr="00555B4C">
        <w:rPr>
          <w:rFonts w:ascii="Times New Roman" w:eastAsia="Calibri" w:hAnsi="Times New Roman" w:cs="Times New Roman"/>
          <w:sz w:val="20"/>
          <w:szCs w:val="20"/>
        </w:rPr>
        <w:t xml:space="preserve"> Revista de Direito Administrativo, v. 239, p. 1, 2015. Disponível em: https://doi. org/10.12660/rda.v239.2005.43855.  Acesso em: </w:t>
      </w:r>
      <w:r w:rsidR="00056061" w:rsidRPr="00555B4C">
        <w:rPr>
          <w:rFonts w:ascii="Times New Roman" w:eastAsia="Calibri" w:hAnsi="Times New Roman" w:cs="Times New Roman"/>
          <w:sz w:val="20"/>
          <w:szCs w:val="20"/>
        </w:rPr>
        <w:t>02</w:t>
      </w:r>
      <w:r w:rsidRPr="00555B4C">
        <w:rPr>
          <w:rFonts w:ascii="Times New Roman" w:eastAsia="Calibri" w:hAnsi="Times New Roman" w:cs="Times New Roman"/>
          <w:sz w:val="20"/>
          <w:szCs w:val="20"/>
        </w:rPr>
        <w:t xml:space="preserve"> </w:t>
      </w:r>
      <w:r w:rsidR="00056061" w:rsidRPr="00555B4C">
        <w:rPr>
          <w:rFonts w:ascii="Times New Roman" w:eastAsia="Calibri" w:hAnsi="Times New Roman" w:cs="Times New Roman"/>
          <w:sz w:val="20"/>
          <w:szCs w:val="20"/>
        </w:rPr>
        <w:t>ago</w:t>
      </w:r>
      <w:r w:rsidRPr="00555B4C">
        <w:rPr>
          <w:rFonts w:ascii="Times New Roman" w:eastAsia="Calibri" w:hAnsi="Times New Roman" w:cs="Times New Roman"/>
          <w:sz w:val="20"/>
          <w:szCs w:val="20"/>
        </w:rPr>
        <w:t>. 202</w:t>
      </w:r>
      <w:r w:rsidR="00056061" w:rsidRPr="00555B4C">
        <w:rPr>
          <w:rFonts w:ascii="Times New Roman" w:eastAsia="Calibri" w:hAnsi="Times New Roman" w:cs="Times New Roman"/>
          <w:sz w:val="20"/>
          <w:szCs w:val="20"/>
        </w:rPr>
        <w:t>3</w:t>
      </w:r>
    </w:p>
    <w:p w14:paraId="37E294E6" w14:textId="2F0FB0D1" w:rsidR="00555B4C" w:rsidRPr="00555B4C" w:rsidRDefault="006B3DC8"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DUBEUX, Bruno. </w:t>
      </w:r>
      <w:r w:rsidRPr="00D202FA">
        <w:rPr>
          <w:rFonts w:ascii="Times New Roman" w:eastAsia="Calibri" w:hAnsi="Times New Roman" w:cs="Times New Roman"/>
          <w:b/>
          <w:bCs/>
          <w:sz w:val="20"/>
          <w:szCs w:val="20"/>
        </w:rPr>
        <w:t>A Advocacia Pública e os meios adequados de solução de controvérsias, uma mudança de cultura necessária.</w:t>
      </w:r>
      <w:r w:rsidRPr="00555B4C">
        <w:rPr>
          <w:rFonts w:ascii="Times New Roman" w:eastAsia="Calibri" w:hAnsi="Times New Roman" w:cs="Times New Roman"/>
          <w:sz w:val="20"/>
          <w:szCs w:val="20"/>
        </w:rPr>
        <w:t xml:space="preserve"> </w:t>
      </w:r>
      <w:r w:rsidRPr="00D202FA">
        <w:rPr>
          <w:rFonts w:ascii="Times New Roman" w:eastAsia="Calibri" w:hAnsi="Times New Roman" w:cs="Times New Roman"/>
          <w:sz w:val="20"/>
          <w:szCs w:val="20"/>
        </w:rPr>
        <w:t>Revista de Direito da Procuradoria Geral</w:t>
      </w:r>
      <w:r w:rsidR="006777BA" w:rsidRPr="00D202FA">
        <w:rPr>
          <w:rFonts w:ascii="Times New Roman" w:eastAsia="Calibri" w:hAnsi="Times New Roman" w:cs="Times New Roman"/>
          <w:sz w:val="20"/>
          <w:szCs w:val="20"/>
        </w:rPr>
        <w:t xml:space="preserve"> do Estado do Rio de Janeiro.</w:t>
      </w:r>
      <w:r w:rsidRPr="00D202FA">
        <w:rPr>
          <w:rFonts w:ascii="Times New Roman" w:eastAsia="Calibri" w:hAnsi="Times New Roman" w:cs="Times New Roman"/>
          <w:sz w:val="20"/>
          <w:szCs w:val="20"/>
        </w:rPr>
        <w:t xml:space="preserve"> Edição Especial </w:t>
      </w:r>
      <w:r w:rsidR="00AF3236" w:rsidRPr="00D202FA">
        <w:rPr>
          <w:rFonts w:ascii="Times New Roman" w:eastAsia="Calibri" w:hAnsi="Times New Roman" w:cs="Times New Roman"/>
          <w:sz w:val="20"/>
          <w:szCs w:val="20"/>
        </w:rPr>
        <w:t xml:space="preserve">nº 79 </w:t>
      </w:r>
      <w:r w:rsidRPr="00D202FA">
        <w:rPr>
          <w:rFonts w:ascii="Times New Roman" w:eastAsia="Calibri" w:hAnsi="Times New Roman" w:cs="Times New Roman"/>
          <w:sz w:val="20"/>
          <w:szCs w:val="20"/>
        </w:rPr>
        <w:t>– Autocomposição e a Administração Pública.</w:t>
      </w:r>
      <w:r w:rsidRPr="00555B4C">
        <w:rPr>
          <w:rFonts w:ascii="Times New Roman" w:eastAsia="Calibri" w:hAnsi="Times New Roman" w:cs="Times New Roman"/>
          <w:sz w:val="20"/>
          <w:szCs w:val="20"/>
        </w:rPr>
        <w:t xml:space="preserve"> </w:t>
      </w:r>
      <w:r w:rsidR="00050D02" w:rsidRPr="00555B4C">
        <w:rPr>
          <w:rFonts w:ascii="Times New Roman" w:eastAsia="Calibri" w:hAnsi="Times New Roman" w:cs="Times New Roman"/>
          <w:sz w:val="20"/>
          <w:szCs w:val="20"/>
        </w:rPr>
        <w:t xml:space="preserve">Rio de Janeiro: </w:t>
      </w:r>
      <w:r w:rsidR="00C84169" w:rsidRPr="00555B4C">
        <w:rPr>
          <w:rFonts w:ascii="Times New Roman" w:eastAsia="Calibri" w:hAnsi="Times New Roman" w:cs="Times New Roman"/>
          <w:sz w:val="20"/>
          <w:szCs w:val="20"/>
        </w:rPr>
        <w:t>PGE/RJ</w:t>
      </w:r>
      <w:r w:rsidR="00976F58" w:rsidRPr="00555B4C">
        <w:rPr>
          <w:rFonts w:ascii="Times New Roman" w:eastAsia="Calibri" w:hAnsi="Times New Roman" w:cs="Times New Roman"/>
          <w:sz w:val="20"/>
          <w:szCs w:val="20"/>
        </w:rPr>
        <w:t xml:space="preserve">, </w:t>
      </w:r>
      <w:r w:rsidR="00050D02" w:rsidRPr="00555B4C">
        <w:rPr>
          <w:rFonts w:ascii="Times New Roman" w:eastAsia="Calibri" w:hAnsi="Times New Roman" w:cs="Times New Roman"/>
          <w:sz w:val="20"/>
          <w:szCs w:val="20"/>
        </w:rPr>
        <w:t>2021.</w:t>
      </w:r>
    </w:p>
    <w:p w14:paraId="1F19D9D9" w14:textId="77777777" w:rsidR="00E5152F" w:rsidRDefault="00600E91"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CABRAL, Antonio do Passo; NOGUEIRA, Pedro Henrique (Org.). </w:t>
      </w:r>
      <w:r w:rsidRPr="00555B4C">
        <w:rPr>
          <w:rFonts w:ascii="Times New Roman" w:eastAsia="Calibri" w:hAnsi="Times New Roman" w:cs="Times New Roman"/>
          <w:b/>
          <w:bCs/>
          <w:sz w:val="20"/>
          <w:szCs w:val="20"/>
        </w:rPr>
        <w:t>Negócios Processuais.</w:t>
      </w:r>
      <w:r w:rsidRPr="00555B4C">
        <w:rPr>
          <w:rFonts w:ascii="Times New Roman" w:eastAsia="Calibri" w:hAnsi="Times New Roman" w:cs="Times New Roman"/>
          <w:sz w:val="20"/>
          <w:szCs w:val="20"/>
        </w:rPr>
        <w:t xml:space="preserve"> Salvador: JusPodivm, 2015.</w:t>
      </w:r>
    </w:p>
    <w:p w14:paraId="35782B49" w14:textId="21359174" w:rsidR="00AD239C" w:rsidRPr="00555B4C" w:rsidRDefault="00AD239C"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DE FIGUEIREDO MOREIRA NETO, Diogo. </w:t>
      </w:r>
      <w:r w:rsidRPr="00555B4C">
        <w:rPr>
          <w:rFonts w:ascii="Times New Roman" w:eastAsia="Calibri" w:hAnsi="Times New Roman" w:cs="Times New Roman"/>
          <w:b/>
          <w:bCs/>
          <w:sz w:val="20"/>
          <w:szCs w:val="20"/>
        </w:rPr>
        <w:t>Mutações de Direito Público.</w:t>
      </w:r>
      <w:r w:rsidRPr="00555B4C">
        <w:rPr>
          <w:rFonts w:ascii="Times New Roman" w:eastAsia="Calibri" w:hAnsi="Times New Roman" w:cs="Times New Roman"/>
          <w:sz w:val="20"/>
          <w:szCs w:val="20"/>
        </w:rPr>
        <w:t xml:space="preserve"> Ed. Renovar: Rio de Janeiro. 2006.</w:t>
      </w:r>
    </w:p>
    <w:p w14:paraId="11E4BEC0" w14:textId="4A92B082" w:rsidR="00555B4C" w:rsidRDefault="00600E91" w:rsidP="00E5152F">
      <w:pPr>
        <w:spacing w:before="40" w:after="40" w:line="240" w:lineRule="auto"/>
        <w:jc w:val="both"/>
        <w:rPr>
          <w:rFonts w:ascii="Times New Roman" w:eastAsia="Calibri" w:hAnsi="Times New Roman" w:cs="Times New Roman"/>
          <w:sz w:val="20"/>
          <w:szCs w:val="20"/>
        </w:rPr>
      </w:pPr>
      <w:r w:rsidRPr="00600E91">
        <w:rPr>
          <w:rFonts w:ascii="Times New Roman" w:eastAsia="Calibri" w:hAnsi="Times New Roman" w:cs="Times New Roman"/>
          <w:sz w:val="20"/>
          <w:szCs w:val="20"/>
        </w:rPr>
        <w:t xml:space="preserve">DOMINGOS, F. N. </w:t>
      </w:r>
      <w:r w:rsidRPr="00600E91">
        <w:rPr>
          <w:rFonts w:ascii="Times New Roman" w:eastAsia="Calibri" w:hAnsi="Times New Roman" w:cs="Times New Roman"/>
          <w:b/>
          <w:bCs/>
          <w:sz w:val="20"/>
          <w:szCs w:val="20"/>
        </w:rPr>
        <w:t xml:space="preserve">Os métodos alternativos de resolução de conflitos tributários: novas tendências dogmáticas. </w:t>
      </w:r>
      <w:r w:rsidRPr="00600E91">
        <w:rPr>
          <w:rFonts w:ascii="Times New Roman" w:eastAsia="Calibri" w:hAnsi="Times New Roman" w:cs="Times New Roman"/>
          <w:sz w:val="20"/>
          <w:szCs w:val="20"/>
        </w:rPr>
        <w:t>Porto Alegre: Núria Fabris, 2016.</w:t>
      </w:r>
    </w:p>
    <w:p w14:paraId="6BA5530E" w14:textId="40702D76" w:rsidR="009A0810" w:rsidRDefault="009A0810" w:rsidP="00E5152F">
      <w:pPr>
        <w:spacing w:before="40" w:after="40" w:line="240" w:lineRule="auto"/>
        <w:jc w:val="both"/>
        <w:rPr>
          <w:rFonts w:ascii="Times New Roman" w:eastAsia="Calibri" w:hAnsi="Times New Roman" w:cs="Times New Roman"/>
          <w:sz w:val="20"/>
          <w:szCs w:val="20"/>
        </w:rPr>
      </w:pPr>
      <w:r w:rsidRPr="009A0810">
        <w:rPr>
          <w:rFonts w:ascii="Times New Roman" w:eastAsia="Calibri" w:hAnsi="Times New Roman" w:cs="Times New Roman"/>
          <w:sz w:val="20"/>
          <w:szCs w:val="20"/>
        </w:rPr>
        <w:t>ESCOBAR, Marcelo Ricardo Wydra. Estudos de arbitragem e transação tributária. São Paulo: Almedina, 2021.</w:t>
      </w:r>
    </w:p>
    <w:p w14:paraId="749F8A15" w14:textId="278143B6" w:rsidR="00FC0967" w:rsidRDefault="00FC0967" w:rsidP="00E5152F">
      <w:pPr>
        <w:spacing w:before="40" w:after="40" w:line="240" w:lineRule="auto"/>
        <w:jc w:val="both"/>
        <w:rPr>
          <w:rFonts w:ascii="Times New Roman" w:eastAsia="Calibri" w:hAnsi="Times New Roman" w:cs="Times New Roman"/>
          <w:sz w:val="20"/>
          <w:szCs w:val="20"/>
        </w:rPr>
      </w:pPr>
      <w:r w:rsidRPr="00FC0967">
        <w:rPr>
          <w:rFonts w:ascii="Times New Roman" w:eastAsia="Calibri" w:hAnsi="Times New Roman" w:cs="Times New Roman"/>
          <w:sz w:val="20"/>
          <w:szCs w:val="20"/>
        </w:rPr>
        <w:t xml:space="preserve">FERRARI, Isabela. </w:t>
      </w:r>
      <w:r w:rsidRPr="00FC0967">
        <w:rPr>
          <w:rFonts w:ascii="Times New Roman" w:eastAsia="Calibri" w:hAnsi="Times New Roman" w:cs="Times New Roman"/>
          <w:b/>
          <w:bCs/>
          <w:sz w:val="20"/>
          <w:szCs w:val="20"/>
        </w:rPr>
        <w:t>Conflito e Inovação: introdução aos métodos de ODR.</w:t>
      </w:r>
      <w:r w:rsidRPr="00FC0967">
        <w:rPr>
          <w:rFonts w:ascii="Times New Roman" w:eastAsia="Calibri" w:hAnsi="Times New Roman" w:cs="Times New Roman"/>
          <w:sz w:val="20"/>
          <w:szCs w:val="20"/>
        </w:rPr>
        <w:t xml:space="preserve"> </w:t>
      </w:r>
      <w:r w:rsidRPr="00FC0967">
        <w:rPr>
          <w:rFonts w:ascii="Times New Roman" w:eastAsia="Calibri" w:hAnsi="Times New Roman" w:cs="Times New Roman"/>
          <w:i/>
          <w:iCs/>
          <w:sz w:val="20"/>
          <w:szCs w:val="20"/>
        </w:rPr>
        <w:t xml:space="preserve">In: Justiça Digital. </w:t>
      </w:r>
      <w:r w:rsidRPr="00FC0967">
        <w:rPr>
          <w:rFonts w:ascii="Times New Roman" w:eastAsia="Calibri" w:hAnsi="Times New Roman" w:cs="Times New Roman"/>
          <w:sz w:val="20"/>
          <w:szCs w:val="20"/>
        </w:rPr>
        <w:t>Instituto New Law e Isabela Ferrari, coordenadores. 1ª ed. São Paulo: Thomson Reuters Brasil, 2020</w:t>
      </w:r>
    </w:p>
    <w:p w14:paraId="52124DB0" w14:textId="1AC0E1B5" w:rsidR="00555B4C" w:rsidRDefault="00036145"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GABARDO, Emerson. </w:t>
      </w:r>
      <w:r w:rsidRPr="00555B4C">
        <w:rPr>
          <w:rFonts w:ascii="Times New Roman" w:eastAsia="Calibri" w:hAnsi="Times New Roman" w:cs="Times New Roman"/>
          <w:b/>
          <w:bCs/>
          <w:sz w:val="20"/>
          <w:szCs w:val="20"/>
        </w:rPr>
        <w:t>Interesse público e subsidiariedade.</w:t>
      </w:r>
      <w:r w:rsidRPr="00555B4C">
        <w:rPr>
          <w:rFonts w:ascii="Times New Roman" w:eastAsia="Calibri" w:hAnsi="Times New Roman" w:cs="Times New Roman"/>
          <w:sz w:val="20"/>
          <w:szCs w:val="20"/>
        </w:rPr>
        <w:t xml:space="preserve"> Belo Horizonte: Editora Fórum, 2009</w:t>
      </w:r>
      <w:r w:rsidR="008363BB" w:rsidRPr="00555B4C">
        <w:rPr>
          <w:rFonts w:ascii="Times New Roman" w:eastAsia="Calibri" w:hAnsi="Times New Roman" w:cs="Times New Roman"/>
          <w:sz w:val="20"/>
          <w:szCs w:val="20"/>
        </w:rPr>
        <w:t>.</w:t>
      </w:r>
    </w:p>
    <w:p w14:paraId="1D7D4F48" w14:textId="197C1DDD" w:rsidR="00B61B36" w:rsidRDefault="00B61B36" w:rsidP="00E5152F">
      <w:pPr>
        <w:spacing w:before="40" w:after="40" w:line="240" w:lineRule="auto"/>
        <w:jc w:val="both"/>
        <w:rPr>
          <w:rFonts w:ascii="Times New Roman" w:eastAsia="Calibri" w:hAnsi="Times New Roman" w:cs="Times New Roman"/>
          <w:sz w:val="20"/>
          <w:szCs w:val="20"/>
        </w:rPr>
      </w:pPr>
      <w:r w:rsidRPr="00B61B36">
        <w:rPr>
          <w:rFonts w:ascii="Times New Roman" w:eastAsia="Calibri" w:hAnsi="Times New Roman" w:cs="Times New Roman"/>
          <w:sz w:val="20"/>
          <w:szCs w:val="20"/>
        </w:rPr>
        <w:t xml:space="preserve">GRINOVER, Ada Pellegrini. </w:t>
      </w:r>
      <w:r w:rsidRPr="00B61B36">
        <w:rPr>
          <w:rFonts w:ascii="Times New Roman" w:eastAsia="Calibri" w:hAnsi="Times New Roman" w:cs="Times New Roman"/>
          <w:b/>
          <w:bCs/>
          <w:sz w:val="20"/>
          <w:szCs w:val="20"/>
        </w:rPr>
        <w:t>A inafastabilidade do controle jurisdicional e uma nova modalidade de autotutela (parágrafos únicos dos artigos 249 e 251 do Código Civil).</w:t>
      </w:r>
      <w:r w:rsidRPr="00B61B36">
        <w:rPr>
          <w:rFonts w:ascii="Times New Roman" w:eastAsia="Calibri" w:hAnsi="Times New Roman" w:cs="Times New Roman"/>
          <w:sz w:val="20"/>
          <w:szCs w:val="20"/>
        </w:rPr>
        <w:t xml:space="preserve"> Revista Brasileira de Direito Constitucional, n. RBDC n. 10 – jul./dez. 2007, 2007. Disponível em: http://www.esdc.com.br/RBDC/RBDC-10/RBDC-10-013-Ada_Pellegrini_Grinover.pdf. Acesso em: 27 abr. 2022.</w:t>
      </w:r>
    </w:p>
    <w:p w14:paraId="31234D73" w14:textId="7B3CF3F8" w:rsidR="00555B4C" w:rsidRDefault="000123EC" w:rsidP="00E5152F">
      <w:pPr>
        <w:spacing w:before="40" w:after="40" w:line="240" w:lineRule="auto"/>
        <w:jc w:val="both"/>
        <w:rPr>
          <w:rFonts w:ascii="Times New Roman" w:eastAsia="Calibri" w:hAnsi="Times New Roman" w:cs="Times New Roman"/>
          <w:sz w:val="20"/>
          <w:szCs w:val="20"/>
        </w:rPr>
      </w:pPr>
      <w:r w:rsidRPr="000123EC">
        <w:rPr>
          <w:rFonts w:ascii="Times New Roman" w:eastAsia="Calibri" w:hAnsi="Times New Roman" w:cs="Times New Roman"/>
          <w:sz w:val="20"/>
          <w:szCs w:val="20"/>
        </w:rPr>
        <w:t xml:space="preserve">JUNIOR, Ailton Cardozo; DANTAS, Miguel Calmon Teixeira de Carvalho; CARVALHO, Paulo Moreno (Org). </w:t>
      </w:r>
      <w:r w:rsidRPr="000123EC">
        <w:rPr>
          <w:rFonts w:ascii="Times New Roman" w:eastAsia="Calibri" w:hAnsi="Times New Roman" w:cs="Times New Roman"/>
          <w:b/>
          <w:bCs/>
          <w:sz w:val="20"/>
          <w:szCs w:val="20"/>
        </w:rPr>
        <w:t>Advocacia Pública para a sociedade: estudos em homenagem aos 56 anos da Procuradoria Geral do Estado da Bahia.</w:t>
      </w:r>
      <w:r w:rsidRPr="000123EC">
        <w:rPr>
          <w:rFonts w:ascii="Times New Roman" w:eastAsia="Calibri" w:hAnsi="Times New Roman" w:cs="Times New Roman"/>
          <w:sz w:val="20"/>
          <w:szCs w:val="20"/>
        </w:rPr>
        <w:t xml:space="preserve"> 1</w:t>
      </w:r>
      <w:r w:rsidR="00536638" w:rsidRPr="00555B4C">
        <w:rPr>
          <w:rFonts w:ascii="Times New Roman" w:eastAsia="Calibri" w:hAnsi="Times New Roman" w:cs="Times New Roman"/>
          <w:sz w:val="20"/>
          <w:szCs w:val="20"/>
        </w:rPr>
        <w:t>ª</w:t>
      </w:r>
      <w:r w:rsidRPr="000123EC">
        <w:rPr>
          <w:rFonts w:ascii="Times New Roman" w:eastAsia="Calibri" w:hAnsi="Times New Roman" w:cs="Times New Roman"/>
          <w:sz w:val="20"/>
          <w:szCs w:val="20"/>
        </w:rPr>
        <w:t xml:space="preserve"> ed. São Paulo: Contracorrente, 2022.</w:t>
      </w:r>
    </w:p>
    <w:p w14:paraId="0136F24D" w14:textId="2690DD95" w:rsidR="00555B4C" w:rsidRDefault="003A11DB"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MACHADO, Carlos Henrique. </w:t>
      </w:r>
      <w:r w:rsidRPr="00555B4C">
        <w:rPr>
          <w:rFonts w:ascii="Times New Roman" w:eastAsia="Calibri" w:hAnsi="Times New Roman" w:cs="Times New Roman"/>
          <w:b/>
          <w:bCs/>
          <w:sz w:val="20"/>
          <w:szCs w:val="20"/>
        </w:rPr>
        <w:t>Modelo Multiportas no direito tributário</w:t>
      </w:r>
      <w:r w:rsidRPr="00555B4C">
        <w:rPr>
          <w:rFonts w:ascii="Times New Roman" w:eastAsia="Calibri" w:hAnsi="Times New Roman" w:cs="Times New Roman"/>
          <w:sz w:val="20"/>
          <w:szCs w:val="20"/>
        </w:rPr>
        <w:t>. Porto Alegre: Livraria do Advogado, 2021.</w:t>
      </w:r>
    </w:p>
    <w:p w14:paraId="204F26DD" w14:textId="56648205" w:rsidR="00555B4C" w:rsidRDefault="00555B4C"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MANCUSO, Rodolfo de Camargo. </w:t>
      </w:r>
      <w:r w:rsidRPr="00555B4C">
        <w:rPr>
          <w:rFonts w:ascii="Times New Roman" w:eastAsia="Calibri" w:hAnsi="Times New Roman" w:cs="Times New Roman"/>
          <w:b/>
          <w:bCs/>
          <w:sz w:val="20"/>
          <w:szCs w:val="20"/>
        </w:rPr>
        <w:t xml:space="preserve">A Resolução dos Conflitos e a Função Judicial no Contemporâneo Estado de Direito. </w:t>
      </w:r>
      <w:r w:rsidRPr="00555B4C">
        <w:rPr>
          <w:rFonts w:ascii="Times New Roman" w:eastAsia="Calibri" w:hAnsi="Times New Roman" w:cs="Times New Roman"/>
          <w:sz w:val="20"/>
          <w:szCs w:val="20"/>
        </w:rPr>
        <w:t>3ª ed.</w:t>
      </w:r>
      <w:r w:rsidRPr="00555B4C">
        <w:rPr>
          <w:rFonts w:ascii="Times New Roman" w:eastAsia="Calibri" w:hAnsi="Times New Roman" w:cs="Times New Roman"/>
          <w:b/>
          <w:bCs/>
          <w:sz w:val="20"/>
          <w:szCs w:val="20"/>
        </w:rPr>
        <w:t xml:space="preserve"> </w:t>
      </w:r>
      <w:r w:rsidRPr="00555B4C">
        <w:rPr>
          <w:rFonts w:ascii="Times New Roman" w:eastAsia="Calibri" w:hAnsi="Times New Roman" w:cs="Times New Roman"/>
          <w:sz w:val="20"/>
          <w:szCs w:val="20"/>
        </w:rPr>
        <w:t>Salvador: JusPodivm, 2020.</w:t>
      </w:r>
    </w:p>
    <w:p w14:paraId="72EEB091" w14:textId="4A1944EC" w:rsidR="00555B4C" w:rsidRDefault="00D50BB9"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MOREIRA NETO, Diogo de Figueiredo. </w:t>
      </w:r>
      <w:r w:rsidRPr="00555B4C">
        <w:rPr>
          <w:rFonts w:ascii="Times New Roman" w:eastAsia="Calibri" w:hAnsi="Times New Roman" w:cs="Times New Roman"/>
          <w:b/>
          <w:bCs/>
          <w:sz w:val="20"/>
          <w:szCs w:val="20"/>
        </w:rPr>
        <w:t>Mutações do direito administrativo.</w:t>
      </w:r>
      <w:r w:rsidRPr="00555B4C">
        <w:rPr>
          <w:rFonts w:ascii="Times New Roman" w:eastAsia="Calibri" w:hAnsi="Times New Roman" w:cs="Times New Roman"/>
          <w:sz w:val="20"/>
          <w:szCs w:val="20"/>
        </w:rPr>
        <w:t xml:space="preserve"> 3. ed. Rio de Janeiro: Renovar, 2007</w:t>
      </w:r>
    </w:p>
    <w:p w14:paraId="08CCC724" w14:textId="110C8459" w:rsidR="00155ACD" w:rsidRPr="00555B4C" w:rsidRDefault="00155ACD" w:rsidP="00E5152F">
      <w:pPr>
        <w:spacing w:before="40" w:after="40" w:line="240" w:lineRule="auto"/>
        <w:jc w:val="both"/>
        <w:rPr>
          <w:rFonts w:ascii="Times New Roman" w:eastAsia="Calibri" w:hAnsi="Times New Roman" w:cs="Times New Roman"/>
          <w:sz w:val="20"/>
          <w:szCs w:val="20"/>
        </w:rPr>
      </w:pPr>
      <w:r w:rsidRPr="00155ACD">
        <w:rPr>
          <w:rFonts w:ascii="Times New Roman" w:eastAsia="Calibri" w:hAnsi="Times New Roman" w:cs="Times New Roman"/>
          <w:sz w:val="20"/>
          <w:szCs w:val="20"/>
        </w:rPr>
        <w:t xml:space="preserve">PASINATO, Ana Paula. </w:t>
      </w:r>
      <w:r w:rsidR="00D01CB3">
        <w:rPr>
          <w:rFonts w:ascii="Times New Roman" w:eastAsia="Calibri" w:hAnsi="Times New Roman" w:cs="Times New Roman"/>
          <w:b/>
          <w:bCs/>
          <w:sz w:val="20"/>
          <w:szCs w:val="20"/>
        </w:rPr>
        <w:t>A</w:t>
      </w:r>
      <w:r w:rsidR="00D01CB3" w:rsidRPr="00155ACD">
        <w:rPr>
          <w:rFonts w:ascii="Times New Roman" w:eastAsia="Calibri" w:hAnsi="Times New Roman" w:cs="Times New Roman"/>
          <w:b/>
          <w:bCs/>
          <w:sz w:val="20"/>
          <w:szCs w:val="20"/>
        </w:rPr>
        <w:t xml:space="preserve"> arbitrabilidade da matéria tributária no brasil frente ao exemplo vigente da arbitragem tributária em portugal: a superação paradigmática do dogma da indisponibilidade do crédito tributário brasileiro.</w:t>
      </w:r>
      <w:r w:rsidR="00D01CB3" w:rsidRPr="00155ACD">
        <w:rPr>
          <w:rFonts w:ascii="Times New Roman" w:eastAsia="Calibri" w:hAnsi="Times New Roman" w:cs="Times New Roman"/>
          <w:sz w:val="20"/>
          <w:szCs w:val="20"/>
        </w:rPr>
        <w:t xml:space="preserve"> </w:t>
      </w:r>
      <w:r w:rsidRPr="00155ACD">
        <w:rPr>
          <w:rFonts w:ascii="Times New Roman" w:eastAsia="Calibri" w:hAnsi="Times New Roman" w:cs="Times New Roman"/>
          <w:sz w:val="20"/>
          <w:szCs w:val="20"/>
        </w:rPr>
        <w:t xml:space="preserve">2021. 243 p. Dissertação (Mestrado em Direito). Universidade de Brasília. Brasília. Disponível em: </w:t>
      </w:r>
      <w:hyperlink r:id="rId8" w:history="1">
        <w:r w:rsidRPr="00155ACD">
          <w:rPr>
            <w:rStyle w:val="Hyperlink"/>
            <w:rFonts w:ascii="Times New Roman" w:eastAsia="Calibri" w:hAnsi="Times New Roman" w:cs="Times New Roman"/>
            <w:sz w:val="20"/>
            <w:szCs w:val="20"/>
          </w:rPr>
          <w:t>https://repositorio.unb.br/handle/10482/43394</w:t>
        </w:r>
      </w:hyperlink>
      <w:r w:rsidRPr="00155ACD">
        <w:rPr>
          <w:rFonts w:ascii="Times New Roman" w:eastAsia="Calibri" w:hAnsi="Times New Roman" w:cs="Times New Roman"/>
          <w:sz w:val="20"/>
          <w:szCs w:val="20"/>
        </w:rPr>
        <w:t>. Acesso em 01 ago 2023.</w:t>
      </w:r>
    </w:p>
    <w:p w14:paraId="6330815B" w14:textId="2DEBD44D" w:rsidR="00555B4C" w:rsidRDefault="00745740" w:rsidP="00E5152F">
      <w:pPr>
        <w:spacing w:before="40" w:after="40" w:line="240" w:lineRule="auto"/>
        <w:jc w:val="both"/>
        <w:rPr>
          <w:rFonts w:ascii="Times New Roman" w:eastAsia="Calibri" w:hAnsi="Times New Roman" w:cs="Times New Roman"/>
          <w:sz w:val="20"/>
          <w:szCs w:val="20"/>
        </w:rPr>
      </w:pPr>
      <w:r w:rsidRPr="00745740">
        <w:rPr>
          <w:rFonts w:ascii="Times New Roman" w:eastAsia="Calibri" w:hAnsi="Times New Roman" w:cs="Times New Roman"/>
          <w:sz w:val="20"/>
          <w:szCs w:val="20"/>
        </w:rPr>
        <w:t xml:space="preserve">PEREIRA, Thiago de Freitas Alves. </w:t>
      </w:r>
      <w:r w:rsidRPr="00745740">
        <w:rPr>
          <w:rFonts w:ascii="Times New Roman" w:eastAsia="Calibri" w:hAnsi="Times New Roman" w:cs="Times New Roman"/>
          <w:b/>
          <w:bCs/>
          <w:sz w:val="20"/>
          <w:szCs w:val="20"/>
        </w:rPr>
        <w:t>Modelo Multiportas e o Direito Tributário: da viabilidade e das perspectivas da arbitragem tributária no Brasil.</w:t>
      </w:r>
      <w:r w:rsidRPr="00745740">
        <w:rPr>
          <w:rFonts w:ascii="Times New Roman" w:eastAsia="Calibri" w:hAnsi="Times New Roman" w:cs="Times New Roman"/>
          <w:sz w:val="20"/>
          <w:szCs w:val="20"/>
        </w:rPr>
        <w:t xml:space="preserve"> Revista da Procuradoria-Geral do Estado de Mato Grosso do Sul. Edição nº 18 (dezembro/2022). 2022. Disponível em: </w:t>
      </w:r>
      <w:hyperlink r:id="rId9" w:history="1">
        <w:r w:rsidRPr="00745740">
          <w:rPr>
            <w:rStyle w:val="Hyperlink"/>
            <w:rFonts w:ascii="Times New Roman" w:eastAsia="Calibri" w:hAnsi="Times New Roman" w:cs="Times New Roman"/>
            <w:sz w:val="20"/>
            <w:szCs w:val="20"/>
          </w:rPr>
          <w:t>https://www.pge.ms.gov.br/wp-content/uploads/2022/12/Revista-PGE-18-completo.pdf</w:t>
        </w:r>
      </w:hyperlink>
      <w:r w:rsidRPr="00745740">
        <w:rPr>
          <w:rFonts w:ascii="Times New Roman" w:eastAsia="Calibri" w:hAnsi="Times New Roman" w:cs="Times New Roman"/>
          <w:sz w:val="20"/>
          <w:szCs w:val="20"/>
        </w:rPr>
        <w:t>. Acesso em: 03 ago 2023.</w:t>
      </w:r>
    </w:p>
    <w:p w14:paraId="5F0937EC" w14:textId="7FB33D36" w:rsidR="00B05974" w:rsidRDefault="00B05974" w:rsidP="00E5152F">
      <w:pPr>
        <w:spacing w:before="40" w:after="40" w:line="240" w:lineRule="auto"/>
        <w:jc w:val="both"/>
        <w:rPr>
          <w:rFonts w:ascii="Times New Roman" w:eastAsia="Calibri" w:hAnsi="Times New Roman" w:cs="Times New Roman"/>
          <w:sz w:val="20"/>
          <w:szCs w:val="20"/>
        </w:rPr>
      </w:pPr>
      <w:r w:rsidRPr="00B05974">
        <w:rPr>
          <w:rFonts w:ascii="Times New Roman" w:eastAsia="Calibri" w:hAnsi="Times New Roman" w:cs="Times New Roman"/>
          <w:sz w:val="20"/>
          <w:szCs w:val="20"/>
        </w:rPr>
        <w:t xml:space="preserve">PISCITELLI, Tathiane. MASCITTO, Andrea. FARICELLI DE MENDONÇA, Priscila. (coord.). </w:t>
      </w:r>
      <w:r w:rsidRPr="00B05974">
        <w:rPr>
          <w:rFonts w:ascii="Times New Roman" w:eastAsia="Calibri" w:hAnsi="Times New Roman" w:cs="Times New Roman"/>
          <w:b/>
          <w:bCs/>
          <w:sz w:val="20"/>
          <w:szCs w:val="20"/>
        </w:rPr>
        <w:t>Arbitragem Tributária: Desafios Institucionais brasileiros e a experiência Portuguesa.</w:t>
      </w:r>
      <w:r w:rsidRPr="00B05974">
        <w:rPr>
          <w:rFonts w:ascii="Times New Roman" w:eastAsia="Calibri" w:hAnsi="Times New Roman" w:cs="Times New Roman"/>
          <w:sz w:val="20"/>
          <w:szCs w:val="20"/>
        </w:rPr>
        <w:t xml:space="preserve"> 2ª ed. São Paulo: Thomson Reuters Brasil, 2020.</w:t>
      </w:r>
    </w:p>
    <w:p w14:paraId="12488EEF" w14:textId="67526568" w:rsidR="003A11DB" w:rsidRPr="00555B4C" w:rsidRDefault="003A11DB"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RODRIGUES, Roberto de Aragão Ribeiro. </w:t>
      </w:r>
      <w:r w:rsidRPr="00555B4C">
        <w:rPr>
          <w:rFonts w:ascii="Times New Roman" w:eastAsia="Calibri" w:hAnsi="Times New Roman" w:cs="Times New Roman"/>
          <w:b/>
          <w:bCs/>
          <w:sz w:val="20"/>
          <w:szCs w:val="20"/>
        </w:rPr>
        <w:t xml:space="preserve">Justiça multiportas e advocacia pública </w:t>
      </w:r>
      <w:r w:rsidRPr="00555B4C">
        <w:rPr>
          <w:rFonts w:ascii="Times New Roman" w:eastAsia="Calibri" w:hAnsi="Times New Roman" w:cs="Times New Roman"/>
          <w:sz w:val="20"/>
          <w:szCs w:val="20"/>
        </w:rPr>
        <w:t>1.ed. Rio de Janeiro: GZ, 2021.</w:t>
      </w:r>
    </w:p>
    <w:p w14:paraId="4552BDCF" w14:textId="422DDE3E" w:rsidR="003A11DB" w:rsidRDefault="00FC7F23" w:rsidP="00E5152F">
      <w:pPr>
        <w:spacing w:before="40" w:after="40" w:line="240" w:lineRule="auto"/>
        <w:jc w:val="both"/>
        <w:rPr>
          <w:rFonts w:ascii="Times New Roman" w:eastAsia="Calibri" w:hAnsi="Times New Roman" w:cs="Times New Roman"/>
          <w:sz w:val="20"/>
          <w:szCs w:val="20"/>
        </w:rPr>
      </w:pPr>
      <w:r w:rsidRPr="00555B4C">
        <w:rPr>
          <w:rFonts w:ascii="Times New Roman" w:eastAsia="Calibri" w:hAnsi="Times New Roman" w:cs="Times New Roman"/>
          <w:sz w:val="20"/>
          <w:szCs w:val="20"/>
        </w:rPr>
        <w:t xml:space="preserve">SARMENTO, Daniel (org.). </w:t>
      </w:r>
      <w:r w:rsidRPr="00555B4C">
        <w:rPr>
          <w:rFonts w:ascii="Times New Roman" w:eastAsia="Calibri" w:hAnsi="Times New Roman" w:cs="Times New Roman"/>
          <w:b/>
          <w:bCs/>
          <w:sz w:val="20"/>
          <w:szCs w:val="20"/>
        </w:rPr>
        <w:t>Interesses públicos versus Interesses privados: desconstruindo o princípio da supremacia do interesse público.</w:t>
      </w:r>
      <w:r w:rsidRPr="00555B4C">
        <w:rPr>
          <w:rFonts w:ascii="Times New Roman" w:eastAsia="Calibri" w:hAnsi="Times New Roman" w:cs="Times New Roman"/>
          <w:sz w:val="20"/>
          <w:szCs w:val="20"/>
        </w:rPr>
        <w:t xml:space="preserve"> Rio de Janeiro: Lumen Juris, 2010.</w:t>
      </w:r>
    </w:p>
    <w:p w14:paraId="50B485F6" w14:textId="2F34F576" w:rsidR="00E4167E" w:rsidRPr="00555B4C" w:rsidRDefault="00E4167E" w:rsidP="00E5152F">
      <w:pPr>
        <w:spacing w:before="40" w:after="40" w:line="240" w:lineRule="auto"/>
        <w:jc w:val="both"/>
        <w:rPr>
          <w:rFonts w:ascii="Times New Roman" w:eastAsia="Calibri" w:hAnsi="Times New Roman" w:cs="Times New Roman"/>
          <w:sz w:val="20"/>
          <w:szCs w:val="20"/>
        </w:rPr>
      </w:pPr>
      <w:r w:rsidRPr="00E4167E">
        <w:rPr>
          <w:rFonts w:ascii="Times New Roman" w:eastAsia="Calibri" w:hAnsi="Times New Roman" w:cs="Times New Roman"/>
          <w:sz w:val="20"/>
          <w:szCs w:val="20"/>
        </w:rPr>
        <w:t xml:space="preserve">TORRES, Heleno. </w:t>
      </w:r>
      <w:r w:rsidRPr="00E4167E">
        <w:rPr>
          <w:rFonts w:ascii="Times New Roman" w:eastAsia="Calibri" w:hAnsi="Times New Roman" w:cs="Times New Roman"/>
          <w:b/>
          <w:bCs/>
          <w:sz w:val="20"/>
          <w:szCs w:val="20"/>
        </w:rPr>
        <w:t>Princípios da segurança jurídica e transação em matérias tributária. Os limites da revisão administrativas dos acordos tributários.</w:t>
      </w:r>
      <w:r w:rsidRPr="00E4167E">
        <w:rPr>
          <w:rFonts w:ascii="Times New Roman" w:eastAsia="Calibri" w:hAnsi="Times New Roman" w:cs="Times New Roman"/>
          <w:sz w:val="20"/>
          <w:szCs w:val="20"/>
        </w:rPr>
        <w:t xml:space="preserve"> </w:t>
      </w:r>
      <w:r w:rsidRPr="00E4167E">
        <w:rPr>
          <w:rFonts w:ascii="Times New Roman" w:eastAsia="Calibri" w:hAnsi="Times New Roman" w:cs="Times New Roman"/>
          <w:i/>
          <w:iCs/>
          <w:sz w:val="20"/>
          <w:szCs w:val="20"/>
        </w:rPr>
        <w:t>In:</w:t>
      </w:r>
      <w:r w:rsidRPr="00E4167E">
        <w:rPr>
          <w:rFonts w:ascii="Times New Roman" w:eastAsia="Calibri" w:hAnsi="Times New Roman" w:cs="Times New Roman"/>
          <w:sz w:val="20"/>
          <w:szCs w:val="20"/>
        </w:rPr>
        <w:t xml:space="preserve"> TORRES, Heleno. Transação e arbitragem no âmbito tributário: homenagem ao jurista Carlos Mário da Silva Velloso. Belo Horizonte: Fórum, 2008. p. 300-301 e RODRIGUES, Roberto de Aragão Ribeiro. Justiça multiportas e advocacia pública 1.ed. Rio de Janeiro: GZ, 2021.</w:t>
      </w:r>
    </w:p>
    <w:sectPr w:rsidR="00E4167E" w:rsidRPr="00555B4C" w:rsidSect="008C5C93">
      <w:headerReference w:type="default" r:id="rId10"/>
      <w:footerReference w:type="default" r:id="rId11"/>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40F8" w14:textId="77777777" w:rsidR="00575D70" w:rsidRDefault="00575D70" w:rsidP="008559A5">
      <w:pPr>
        <w:spacing w:after="0" w:line="240" w:lineRule="auto"/>
      </w:pPr>
      <w:r>
        <w:separator/>
      </w:r>
    </w:p>
  </w:endnote>
  <w:endnote w:type="continuationSeparator" w:id="0">
    <w:p w14:paraId="448737AF" w14:textId="77777777" w:rsidR="00575D70" w:rsidRDefault="00575D70" w:rsidP="008559A5">
      <w:pPr>
        <w:spacing w:after="0" w:line="240" w:lineRule="auto"/>
      </w:pPr>
      <w:r>
        <w:continuationSeparator/>
      </w:r>
    </w:p>
  </w:endnote>
  <w:endnote w:type="continuationNotice" w:id="1">
    <w:p w14:paraId="72AEAA1B" w14:textId="77777777" w:rsidR="00575D70" w:rsidRDefault="00575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3989012" w14:paraId="7C6566A2" w14:textId="77777777" w:rsidTr="33989012">
      <w:trPr>
        <w:trHeight w:val="300"/>
      </w:trPr>
      <w:tc>
        <w:tcPr>
          <w:tcW w:w="3020" w:type="dxa"/>
        </w:tcPr>
        <w:p w14:paraId="6938ADC7" w14:textId="1F85B816" w:rsidR="33989012" w:rsidRDefault="33989012" w:rsidP="33989012">
          <w:pPr>
            <w:pStyle w:val="Cabealho"/>
            <w:ind w:left="-115"/>
          </w:pPr>
        </w:p>
      </w:tc>
      <w:tc>
        <w:tcPr>
          <w:tcW w:w="3020" w:type="dxa"/>
        </w:tcPr>
        <w:p w14:paraId="17364194" w14:textId="6C353D74" w:rsidR="33989012" w:rsidRDefault="33989012" w:rsidP="33989012">
          <w:pPr>
            <w:pStyle w:val="Cabealho"/>
            <w:jc w:val="center"/>
          </w:pPr>
        </w:p>
      </w:tc>
      <w:tc>
        <w:tcPr>
          <w:tcW w:w="3020" w:type="dxa"/>
        </w:tcPr>
        <w:p w14:paraId="5A5D6B18" w14:textId="6446C807" w:rsidR="33989012" w:rsidRDefault="33989012" w:rsidP="33989012">
          <w:pPr>
            <w:pStyle w:val="Cabealho"/>
            <w:ind w:right="-115"/>
            <w:jc w:val="right"/>
          </w:pPr>
        </w:p>
      </w:tc>
    </w:tr>
  </w:tbl>
  <w:p w14:paraId="447A0F6D" w14:textId="0E83A0BA" w:rsidR="33989012" w:rsidRDefault="33989012" w:rsidP="339890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8277" w14:textId="77777777" w:rsidR="00575D70" w:rsidRDefault="00575D70" w:rsidP="008559A5">
      <w:pPr>
        <w:spacing w:after="0" w:line="240" w:lineRule="auto"/>
      </w:pPr>
      <w:r>
        <w:separator/>
      </w:r>
    </w:p>
  </w:footnote>
  <w:footnote w:type="continuationSeparator" w:id="0">
    <w:p w14:paraId="3E6D7D2F" w14:textId="77777777" w:rsidR="00575D70" w:rsidRDefault="00575D70" w:rsidP="008559A5">
      <w:pPr>
        <w:spacing w:after="0" w:line="240" w:lineRule="auto"/>
      </w:pPr>
      <w:r>
        <w:continuationSeparator/>
      </w:r>
    </w:p>
  </w:footnote>
  <w:footnote w:type="continuationNotice" w:id="1">
    <w:p w14:paraId="017EFBD0" w14:textId="77777777" w:rsidR="00575D70" w:rsidRDefault="00575D70">
      <w:pPr>
        <w:spacing w:after="0" w:line="240" w:lineRule="auto"/>
      </w:pPr>
    </w:p>
  </w:footnote>
  <w:footnote w:id="2">
    <w:p w14:paraId="1561D732" w14:textId="1453A6F8" w:rsidR="0037310D" w:rsidRPr="00A2042C" w:rsidRDefault="0037310D"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D57925" w:rsidRPr="00A2042C">
        <w:rPr>
          <w:rFonts w:ascii="Times New Roman" w:hAnsi="Times New Roman" w:cs="Times New Roman"/>
        </w:rPr>
        <w:t xml:space="preserve">Disponível em: </w:t>
      </w:r>
      <w:hyperlink r:id="rId1" w:history="1">
        <w:r w:rsidR="00D57925" w:rsidRPr="00A2042C">
          <w:rPr>
            <w:rStyle w:val="Hyperlink"/>
            <w:rFonts w:ascii="Times New Roman" w:hAnsi="Times New Roman" w:cs="Times New Roman"/>
          </w:rPr>
          <w:t>https://brasil.un.org/pt-br/sdgs</w:t>
        </w:r>
      </w:hyperlink>
      <w:r w:rsidR="00D57925" w:rsidRPr="00A2042C">
        <w:rPr>
          <w:rFonts w:ascii="Times New Roman" w:hAnsi="Times New Roman" w:cs="Times New Roman"/>
        </w:rPr>
        <w:t>. Acesso em: 03 ago. 2023.</w:t>
      </w:r>
    </w:p>
  </w:footnote>
  <w:footnote w:id="3">
    <w:p w14:paraId="309AA66E" w14:textId="217612DC" w:rsidR="00C17900" w:rsidRPr="00A2042C" w:rsidRDefault="00C17900"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bookmarkStart w:id="1" w:name="_Hlk101174498"/>
      <w:r w:rsidRPr="00A2042C">
        <w:rPr>
          <w:rFonts w:ascii="Times New Roman" w:hAnsi="Times New Roman" w:cs="Times New Roman"/>
        </w:rPr>
        <w:t xml:space="preserve">RODRIGUES, Roberto de Aragão Ribeiro. </w:t>
      </w:r>
      <w:r w:rsidRPr="00A2042C">
        <w:rPr>
          <w:rFonts w:ascii="Times New Roman" w:hAnsi="Times New Roman" w:cs="Times New Roman"/>
          <w:b/>
          <w:bCs/>
        </w:rPr>
        <w:t xml:space="preserve">Justiça multiportas e advocacia pública </w:t>
      </w:r>
      <w:r w:rsidRPr="00A2042C">
        <w:rPr>
          <w:rFonts w:ascii="Times New Roman" w:hAnsi="Times New Roman" w:cs="Times New Roman"/>
        </w:rPr>
        <w:t>1.ed. Rio de Janeiro: GZ, 2021. p. 13/14</w:t>
      </w:r>
      <w:bookmarkEnd w:id="1"/>
      <w:r w:rsidRPr="00A2042C">
        <w:rPr>
          <w:rFonts w:ascii="Times New Roman" w:hAnsi="Times New Roman" w:cs="Times New Roman"/>
        </w:rPr>
        <w:t xml:space="preserve">. </w:t>
      </w:r>
    </w:p>
  </w:footnote>
  <w:footnote w:id="4">
    <w:p w14:paraId="2479270E" w14:textId="3D9D9F18" w:rsidR="00C17900" w:rsidRPr="00A2042C" w:rsidRDefault="00C17900"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00D65E5A" w:rsidRPr="00A2042C">
        <w:rPr>
          <w:rFonts w:ascii="Times New Roman" w:hAnsi="Times New Roman" w:cs="Times New Roman"/>
        </w:rPr>
        <w:t xml:space="preserve"> </w:t>
      </w:r>
      <w:r w:rsidRPr="00A2042C">
        <w:rPr>
          <w:rFonts w:ascii="Times New Roman" w:hAnsi="Times New Roman" w:cs="Times New Roman"/>
        </w:rPr>
        <w:t xml:space="preserve">MACHADO, Carlos Henrique. </w:t>
      </w:r>
      <w:r w:rsidRPr="00A2042C">
        <w:rPr>
          <w:rFonts w:ascii="Times New Roman" w:hAnsi="Times New Roman" w:cs="Times New Roman"/>
          <w:b/>
          <w:bCs/>
        </w:rPr>
        <w:t>Modelo Multiportas no direito tributário</w:t>
      </w:r>
      <w:r w:rsidRPr="00A2042C">
        <w:rPr>
          <w:rFonts w:ascii="Times New Roman" w:hAnsi="Times New Roman" w:cs="Times New Roman"/>
        </w:rPr>
        <w:t>. Porto Alegre: Livraria do Advogado, 2021. p. 112.</w:t>
      </w:r>
    </w:p>
  </w:footnote>
  <w:footnote w:id="5">
    <w:p w14:paraId="26E39208" w14:textId="14761121" w:rsidR="00ED7DE1" w:rsidRPr="00A2042C" w:rsidRDefault="00ED7DE1"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2648E4" w:rsidRPr="00A2042C">
        <w:rPr>
          <w:rFonts w:ascii="Times New Roman" w:hAnsi="Times New Roman" w:cs="Times New Roman"/>
        </w:rPr>
        <w:t>DI</w:t>
      </w:r>
      <w:r w:rsidR="002F774C" w:rsidRPr="00A2042C">
        <w:rPr>
          <w:rFonts w:ascii="Times New Roman" w:hAnsi="Times New Roman" w:cs="Times New Roman"/>
        </w:rPr>
        <w:t xml:space="preserve">DIER JUNIOR, Fredie; FERNANDEZ, Leandro. </w:t>
      </w:r>
      <w:r w:rsidR="002F774C" w:rsidRPr="00A2042C">
        <w:rPr>
          <w:rFonts w:ascii="Times New Roman" w:hAnsi="Times New Roman" w:cs="Times New Roman"/>
          <w:b/>
          <w:bCs/>
        </w:rPr>
        <w:t>O sistema brasileiro de justiça multiportas como um sistema auto-organizado: interação, integração e seus institutos catalisadores.</w:t>
      </w:r>
      <w:r w:rsidR="002F774C" w:rsidRPr="00A2042C">
        <w:rPr>
          <w:rFonts w:ascii="Times New Roman" w:hAnsi="Times New Roman" w:cs="Times New Roman"/>
        </w:rPr>
        <w:t xml:space="preserve"> </w:t>
      </w:r>
      <w:r w:rsidR="00253C90" w:rsidRPr="00A2042C">
        <w:rPr>
          <w:rFonts w:ascii="Times New Roman" w:hAnsi="Times New Roman" w:cs="Times New Roman"/>
        </w:rPr>
        <w:t xml:space="preserve">Revista do Poder Judiciário do Estado do Rio Grande do Norte </w:t>
      </w:r>
      <w:r w:rsidR="00BF0F3C" w:rsidRPr="00A2042C">
        <w:rPr>
          <w:rFonts w:ascii="Times New Roman" w:hAnsi="Times New Roman" w:cs="Times New Roman"/>
        </w:rPr>
        <w:t>–</w:t>
      </w:r>
      <w:r w:rsidR="00253C90" w:rsidRPr="00A2042C">
        <w:rPr>
          <w:rFonts w:ascii="Times New Roman" w:hAnsi="Times New Roman" w:cs="Times New Roman"/>
        </w:rPr>
        <w:t xml:space="preserve"> REPOJURN</w:t>
      </w:r>
      <w:r w:rsidR="00BF0F3C" w:rsidRPr="00A2042C">
        <w:rPr>
          <w:rFonts w:ascii="Times New Roman" w:hAnsi="Times New Roman" w:cs="Times New Roman"/>
        </w:rPr>
        <w:t xml:space="preserve">. </w:t>
      </w:r>
      <w:r w:rsidR="001C4FB8" w:rsidRPr="00A2042C">
        <w:rPr>
          <w:rFonts w:ascii="Times New Roman" w:hAnsi="Times New Roman" w:cs="Times New Roman"/>
        </w:rPr>
        <w:t>Ano</w:t>
      </w:r>
      <w:r w:rsidR="009903E8" w:rsidRPr="00A2042C">
        <w:rPr>
          <w:rFonts w:ascii="Times New Roman" w:hAnsi="Times New Roman" w:cs="Times New Roman"/>
        </w:rPr>
        <w:t xml:space="preserve"> 3. N. 01. Jan/jun. 2023. </w:t>
      </w:r>
      <w:r w:rsidR="00F95A98" w:rsidRPr="00A2042C">
        <w:rPr>
          <w:rFonts w:ascii="Times New Roman" w:hAnsi="Times New Roman" w:cs="Times New Roman"/>
        </w:rPr>
        <w:t xml:space="preserve">Disponível em: </w:t>
      </w:r>
      <w:hyperlink r:id="rId2" w:history="1">
        <w:r w:rsidR="00F95A98" w:rsidRPr="00A2042C">
          <w:rPr>
            <w:rStyle w:val="Hyperlink"/>
            <w:rFonts w:ascii="Times New Roman" w:hAnsi="Times New Roman" w:cs="Times New Roman"/>
          </w:rPr>
          <w:t>https://revista.tjrn.jus.br/revistas</w:t>
        </w:r>
      </w:hyperlink>
      <w:r w:rsidR="00F95A98" w:rsidRPr="00A2042C">
        <w:rPr>
          <w:rFonts w:ascii="Times New Roman" w:hAnsi="Times New Roman" w:cs="Times New Roman"/>
        </w:rPr>
        <w:t>. Acesso em 03 ago. 2023.</w:t>
      </w:r>
    </w:p>
  </w:footnote>
  <w:footnote w:id="6">
    <w:p w14:paraId="32C5DBE3" w14:textId="0DBD7A9C" w:rsidR="00C17900" w:rsidRPr="00A2042C" w:rsidRDefault="00C17900"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bookmarkStart w:id="2" w:name="_Hlk141710212"/>
      <w:r w:rsidRPr="00A2042C">
        <w:rPr>
          <w:rFonts w:ascii="Times New Roman" w:hAnsi="Times New Roman" w:cs="Times New Roman"/>
        </w:rPr>
        <w:t xml:space="preserve">DIDIER JÚNIOR, Fredie. Princípio do respeito ao autorregramento da vontade no Processo Civil. </w:t>
      </w:r>
      <w:r w:rsidRPr="00A2042C">
        <w:rPr>
          <w:rFonts w:ascii="Times New Roman" w:hAnsi="Times New Roman" w:cs="Times New Roman"/>
          <w:i/>
          <w:iCs/>
        </w:rPr>
        <w:t>In:</w:t>
      </w:r>
      <w:r w:rsidRPr="00A2042C">
        <w:rPr>
          <w:rFonts w:ascii="Times New Roman" w:hAnsi="Times New Roman" w:cs="Times New Roman"/>
        </w:rPr>
        <w:t xml:space="preserve"> CABRAL, Antonio do Passo; NOGUEIRA, Pedro Henrique (Org.). </w:t>
      </w:r>
      <w:r w:rsidRPr="00A2042C">
        <w:rPr>
          <w:rFonts w:ascii="Times New Roman" w:hAnsi="Times New Roman" w:cs="Times New Roman"/>
          <w:b/>
          <w:bCs/>
        </w:rPr>
        <w:t>Negócios Processuais.</w:t>
      </w:r>
      <w:r w:rsidRPr="00A2042C">
        <w:rPr>
          <w:rFonts w:ascii="Times New Roman" w:hAnsi="Times New Roman" w:cs="Times New Roman"/>
        </w:rPr>
        <w:t xml:space="preserve"> Salvador: JusPodivm, 2015. </w:t>
      </w:r>
      <w:bookmarkEnd w:id="2"/>
      <w:r w:rsidRPr="00A2042C">
        <w:rPr>
          <w:rFonts w:ascii="Times New Roman" w:hAnsi="Times New Roman" w:cs="Times New Roman"/>
        </w:rPr>
        <w:t>p. 19-25.</w:t>
      </w:r>
    </w:p>
  </w:footnote>
  <w:footnote w:id="7">
    <w:p w14:paraId="765405F8" w14:textId="4305B599" w:rsidR="007863EC" w:rsidRPr="00A2042C" w:rsidRDefault="007863EC"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Importante, também, a regulamentação de diversos aspectos relativos à mediação e conciliação no Código, como a criação, pelos tribunais, de centros judiciários de solução consensual de conflitos (CEJUSCs), a indicação dos princípios da independência, da imparcialidade, da autonomia da vontade, da confidencialidade, da oralidade, da informalidade e da decisão informada como regentes da autocomposição, além de regras de escolha e de conduta de mediadores e conciliadores.</w:t>
      </w:r>
    </w:p>
  </w:footnote>
  <w:footnote w:id="8">
    <w:p w14:paraId="29DE1C14" w14:textId="7D196F92" w:rsidR="00B4316C" w:rsidRPr="00A2042C" w:rsidRDefault="00B4316C"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8866D5" w:rsidRPr="00A2042C">
        <w:rPr>
          <w:rFonts w:ascii="Times New Roman" w:hAnsi="Times New Roman" w:cs="Times New Roman"/>
        </w:rPr>
        <w:t>No âmbito da Advocacia Pública, identificamos sua r</w:t>
      </w:r>
      <w:r w:rsidR="00186688" w:rsidRPr="00A2042C">
        <w:rPr>
          <w:rFonts w:ascii="Times New Roman" w:hAnsi="Times New Roman" w:cs="Times New Roman"/>
        </w:rPr>
        <w:t>egulamenta</w:t>
      </w:r>
      <w:r w:rsidR="008866D5" w:rsidRPr="00A2042C">
        <w:rPr>
          <w:rFonts w:ascii="Times New Roman" w:hAnsi="Times New Roman" w:cs="Times New Roman"/>
        </w:rPr>
        <w:t xml:space="preserve">ção </w:t>
      </w:r>
      <w:r w:rsidR="00186688" w:rsidRPr="00A2042C">
        <w:rPr>
          <w:rFonts w:ascii="Times New Roman" w:hAnsi="Times New Roman" w:cs="Times New Roman"/>
        </w:rPr>
        <w:t>pela PGFN, por meio da Portaria nº 742/2018</w:t>
      </w:r>
      <w:r w:rsidR="00E826B9" w:rsidRPr="00A2042C">
        <w:rPr>
          <w:rFonts w:ascii="Times New Roman" w:hAnsi="Times New Roman" w:cs="Times New Roman"/>
        </w:rPr>
        <w:t>,</w:t>
      </w:r>
      <w:r w:rsidR="00186688" w:rsidRPr="00A2042C">
        <w:rPr>
          <w:rFonts w:ascii="Times New Roman" w:hAnsi="Times New Roman" w:cs="Times New Roman"/>
        </w:rPr>
        <w:t xml:space="preserve"> e </w:t>
      </w:r>
      <w:r w:rsidR="00D5621C" w:rsidRPr="00A2042C">
        <w:rPr>
          <w:rFonts w:ascii="Times New Roman" w:hAnsi="Times New Roman" w:cs="Times New Roman"/>
        </w:rPr>
        <w:t xml:space="preserve">pela </w:t>
      </w:r>
      <w:r w:rsidR="00E826B9" w:rsidRPr="00A2042C">
        <w:rPr>
          <w:rFonts w:ascii="Times New Roman" w:hAnsi="Times New Roman" w:cs="Times New Roman"/>
        </w:rPr>
        <w:t xml:space="preserve">PGE/RJ, pela </w:t>
      </w:r>
      <w:r w:rsidR="00F03834" w:rsidRPr="00A2042C">
        <w:rPr>
          <w:rFonts w:ascii="Times New Roman" w:hAnsi="Times New Roman" w:cs="Times New Roman"/>
        </w:rPr>
        <w:t>Resolução PGE nº 4826/2022.</w:t>
      </w:r>
    </w:p>
  </w:footnote>
  <w:footnote w:id="9">
    <w:p w14:paraId="34ABB158" w14:textId="421FB15B" w:rsidR="005206FA" w:rsidRPr="00A2042C" w:rsidRDefault="005206FA"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00BE7188" w:rsidRPr="00A2042C">
        <w:rPr>
          <w:rFonts w:ascii="Times New Roman" w:hAnsi="Times New Roman" w:cs="Times New Roman"/>
        </w:rPr>
        <w:t xml:space="preserve"> </w:t>
      </w:r>
      <w:r w:rsidR="002D7F9C" w:rsidRPr="00A2042C">
        <w:rPr>
          <w:rFonts w:ascii="Times New Roman" w:hAnsi="Times New Roman" w:cs="Times New Roman"/>
        </w:rPr>
        <w:t>Pelo menos o</w:t>
      </w:r>
      <w:r w:rsidR="00BE7188" w:rsidRPr="00A2042C">
        <w:rPr>
          <w:rFonts w:ascii="Times New Roman" w:hAnsi="Times New Roman" w:cs="Times New Roman"/>
        </w:rPr>
        <w:t>s Estados de</w:t>
      </w:r>
      <w:r w:rsidRPr="00A2042C">
        <w:rPr>
          <w:rFonts w:ascii="Times New Roman" w:hAnsi="Times New Roman" w:cs="Times New Roman"/>
        </w:rPr>
        <w:t xml:space="preserve"> </w:t>
      </w:r>
      <w:r w:rsidR="00C55772" w:rsidRPr="00A2042C">
        <w:rPr>
          <w:rFonts w:ascii="Times New Roman" w:hAnsi="Times New Roman" w:cs="Times New Roman"/>
        </w:rPr>
        <w:t>MS, MG, TO, AL, PA, AP, CE, ES, PE, SC, PI, RJ e GO</w:t>
      </w:r>
      <w:r w:rsidR="00BE7188" w:rsidRPr="00A2042C">
        <w:rPr>
          <w:rFonts w:ascii="Times New Roman" w:hAnsi="Times New Roman" w:cs="Times New Roman"/>
        </w:rPr>
        <w:t xml:space="preserve"> já instalaram suas Câmaras de Autocomposição.</w:t>
      </w:r>
    </w:p>
  </w:footnote>
  <w:footnote w:id="10">
    <w:p w14:paraId="7ED9D989" w14:textId="0F2E5959" w:rsidR="00387699" w:rsidRPr="00A2042C" w:rsidRDefault="00387699"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DE FIGUEIREDO MOREIRA NETO, Diogo. </w:t>
      </w:r>
      <w:r w:rsidRPr="00A2042C">
        <w:rPr>
          <w:rFonts w:ascii="Times New Roman" w:hAnsi="Times New Roman" w:cs="Times New Roman"/>
          <w:b/>
          <w:bCs/>
        </w:rPr>
        <w:t>Mutações de Direito Público,</w:t>
      </w:r>
      <w:r w:rsidRPr="00A2042C">
        <w:rPr>
          <w:rFonts w:ascii="Times New Roman" w:hAnsi="Times New Roman" w:cs="Times New Roman"/>
        </w:rPr>
        <w:t xml:space="preserve"> Ed. Renovar: Rio de Janeiro, 2006, pg. 262-263.</w:t>
      </w:r>
    </w:p>
  </w:footnote>
  <w:footnote w:id="11">
    <w:p w14:paraId="5D3DA3C8" w14:textId="08EB2A0A" w:rsidR="00387699" w:rsidRPr="00A2042C" w:rsidRDefault="00387699"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DUBEUX, Bruno. </w:t>
      </w:r>
      <w:r w:rsidR="0052325E" w:rsidRPr="00216BE2">
        <w:rPr>
          <w:rFonts w:ascii="Times New Roman" w:hAnsi="Times New Roman" w:cs="Times New Roman"/>
          <w:b/>
          <w:bCs/>
        </w:rPr>
        <w:t>A Advocacia Pública e os meios adequados de solução de controvérsias, uma mudança de cultura necessária.</w:t>
      </w:r>
      <w:r w:rsidR="0052325E" w:rsidRPr="00A2042C">
        <w:rPr>
          <w:rFonts w:ascii="Times New Roman" w:hAnsi="Times New Roman" w:cs="Times New Roman"/>
        </w:rPr>
        <w:t xml:space="preserve"> </w:t>
      </w:r>
      <w:r w:rsidR="0052325E" w:rsidRPr="00216BE2">
        <w:rPr>
          <w:rFonts w:ascii="Times New Roman" w:hAnsi="Times New Roman" w:cs="Times New Roman"/>
          <w:bCs/>
        </w:rPr>
        <w:t>Revista de Direito da Procuradoria Geral</w:t>
      </w:r>
      <w:r w:rsidR="00D55B4D" w:rsidRPr="00216BE2">
        <w:rPr>
          <w:rFonts w:ascii="Times New Roman" w:hAnsi="Times New Roman" w:cs="Times New Roman"/>
          <w:bCs/>
        </w:rPr>
        <w:t>.</w:t>
      </w:r>
      <w:r w:rsidR="0052325E" w:rsidRPr="00216BE2">
        <w:rPr>
          <w:rFonts w:ascii="Times New Roman" w:hAnsi="Times New Roman" w:cs="Times New Roman"/>
          <w:bCs/>
        </w:rPr>
        <w:t xml:space="preserve"> Edição Especial </w:t>
      </w:r>
      <w:r w:rsidR="00B27195" w:rsidRPr="00216BE2">
        <w:rPr>
          <w:rFonts w:ascii="Times New Roman" w:hAnsi="Times New Roman" w:cs="Times New Roman"/>
          <w:bCs/>
        </w:rPr>
        <w:t xml:space="preserve">nº 79 </w:t>
      </w:r>
      <w:r w:rsidR="0052325E" w:rsidRPr="00216BE2">
        <w:rPr>
          <w:rFonts w:ascii="Times New Roman" w:hAnsi="Times New Roman" w:cs="Times New Roman"/>
          <w:bCs/>
        </w:rPr>
        <w:t>– Autocomposição e a Administração Pública</w:t>
      </w:r>
      <w:r w:rsidR="00B27195" w:rsidRPr="00216BE2">
        <w:rPr>
          <w:rFonts w:ascii="Times New Roman" w:hAnsi="Times New Roman" w:cs="Times New Roman"/>
          <w:bCs/>
        </w:rPr>
        <w:t>.</w:t>
      </w:r>
      <w:r w:rsidR="0052325E" w:rsidRPr="00216BE2">
        <w:rPr>
          <w:rFonts w:ascii="Times New Roman" w:hAnsi="Times New Roman" w:cs="Times New Roman"/>
          <w:bCs/>
        </w:rPr>
        <w:t xml:space="preserve"> </w:t>
      </w:r>
      <w:r w:rsidR="0052325E" w:rsidRPr="00A2042C">
        <w:rPr>
          <w:rFonts w:ascii="Times New Roman" w:hAnsi="Times New Roman" w:cs="Times New Roman"/>
        </w:rPr>
        <w:t>Rio de Janeiro</w:t>
      </w:r>
      <w:r w:rsidR="00B27195" w:rsidRPr="00A2042C">
        <w:rPr>
          <w:rFonts w:ascii="Times New Roman" w:hAnsi="Times New Roman" w:cs="Times New Roman"/>
        </w:rPr>
        <w:t>.</w:t>
      </w:r>
      <w:r w:rsidR="0052325E" w:rsidRPr="00A2042C">
        <w:rPr>
          <w:rFonts w:ascii="Times New Roman" w:hAnsi="Times New Roman" w:cs="Times New Roman"/>
        </w:rPr>
        <w:t xml:space="preserve"> pg. 37-73</w:t>
      </w:r>
      <w:r w:rsidR="00B27195" w:rsidRPr="00A2042C">
        <w:rPr>
          <w:rFonts w:ascii="Times New Roman" w:hAnsi="Times New Roman" w:cs="Times New Roman"/>
        </w:rPr>
        <w:t>.</w:t>
      </w:r>
      <w:r w:rsidR="0052325E" w:rsidRPr="00A2042C">
        <w:rPr>
          <w:rFonts w:ascii="Times New Roman" w:hAnsi="Times New Roman" w:cs="Times New Roman"/>
        </w:rPr>
        <w:t xml:space="preserve"> </w:t>
      </w:r>
      <w:r w:rsidR="00B27195" w:rsidRPr="00A2042C">
        <w:rPr>
          <w:rFonts w:ascii="Times New Roman" w:hAnsi="Times New Roman" w:cs="Times New Roman"/>
        </w:rPr>
        <w:t>D</w:t>
      </w:r>
      <w:r w:rsidR="0052325E" w:rsidRPr="00A2042C">
        <w:rPr>
          <w:rFonts w:ascii="Times New Roman" w:hAnsi="Times New Roman" w:cs="Times New Roman"/>
        </w:rPr>
        <w:t>ezembro 2021.</w:t>
      </w:r>
    </w:p>
  </w:footnote>
  <w:footnote w:id="12">
    <w:p w14:paraId="7A293C06" w14:textId="2A97DF96" w:rsidR="00001BE6" w:rsidRPr="00A2042C" w:rsidRDefault="00001BE6"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664F9D" w:rsidRPr="00A2042C">
        <w:rPr>
          <w:rFonts w:ascii="Times New Roman" w:hAnsi="Times New Roman" w:cs="Times New Roman"/>
        </w:rPr>
        <w:t>Disponível</w:t>
      </w:r>
      <w:r w:rsidRPr="00A2042C">
        <w:rPr>
          <w:rFonts w:ascii="Times New Roman" w:hAnsi="Times New Roman" w:cs="Times New Roman"/>
        </w:rPr>
        <w:t xml:space="preserve"> em</w:t>
      </w:r>
      <w:r w:rsidR="00664F9D" w:rsidRPr="00A2042C">
        <w:rPr>
          <w:rFonts w:ascii="Times New Roman" w:hAnsi="Times New Roman" w:cs="Times New Roman"/>
        </w:rPr>
        <w:t>:</w:t>
      </w:r>
      <w:r w:rsidRPr="00A2042C">
        <w:rPr>
          <w:rFonts w:ascii="Times New Roman" w:hAnsi="Times New Roman" w:cs="Times New Roman"/>
        </w:rPr>
        <w:t xml:space="preserve"> </w:t>
      </w:r>
      <w:hyperlink r:id="rId3" w:history="1">
        <w:r w:rsidRPr="00A2042C">
          <w:rPr>
            <w:rStyle w:val="Hyperlink"/>
            <w:rFonts w:ascii="Times New Roman" w:hAnsi="Times New Roman" w:cs="Times New Roman"/>
          </w:rPr>
          <w:t>ODS 16 - Paz, Justiça e Instituições Eficazes - Ipea - Objetivos do Desenvolvimento Sustentável</w:t>
        </w:r>
      </w:hyperlink>
      <w:r w:rsidRPr="00A2042C">
        <w:rPr>
          <w:rFonts w:ascii="Times New Roman" w:hAnsi="Times New Roman" w:cs="Times New Roman"/>
        </w:rPr>
        <w:t>.</w:t>
      </w:r>
      <w:r w:rsidR="00EF6B6A" w:rsidRPr="00A2042C">
        <w:rPr>
          <w:rFonts w:ascii="Times New Roman" w:hAnsi="Times New Roman" w:cs="Times New Roman"/>
        </w:rPr>
        <w:t xml:space="preserve"> Acesso em: 01 ago. 2023.</w:t>
      </w:r>
    </w:p>
  </w:footnote>
  <w:footnote w:id="13">
    <w:p w14:paraId="4FFC6BB9" w14:textId="13E05CDE" w:rsidR="00536A89" w:rsidRPr="00A2042C" w:rsidRDefault="00536A89"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O Banco Interamericano de Desenvolvimento (BID), por exemplo, possui </w:t>
      </w:r>
      <w:r w:rsidR="00CA24E2" w:rsidRPr="00A2042C">
        <w:rPr>
          <w:rFonts w:ascii="Times New Roman" w:hAnsi="Times New Roman" w:cs="Times New Roman"/>
        </w:rPr>
        <w:t>mais de mil projetos</w:t>
      </w:r>
      <w:r w:rsidR="008B2D7F" w:rsidRPr="00A2042C">
        <w:rPr>
          <w:rFonts w:ascii="Times New Roman" w:hAnsi="Times New Roman" w:cs="Times New Roman"/>
        </w:rPr>
        <w:t xml:space="preserve"> na América Latina e Caribe</w:t>
      </w:r>
      <w:r w:rsidR="00CA24E2" w:rsidRPr="00A2042C">
        <w:rPr>
          <w:rFonts w:ascii="Times New Roman" w:hAnsi="Times New Roman" w:cs="Times New Roman"/>
        </w:rPr>
        <w:t xml:space="preserve"> </w:t>
      </w:r>
      <w:r w:rsidR="008E7496" w:rsidRPr="00A2042C">
        <w:rPr>
          <w:rFonts w:ascii="Times New Roman" w:hAnsi="Times New Roman" w:cs="Times New Roman"/>
        </w:rPr>
        <w:t>vinculados ao ODS nº 16</w:t>
      </w:r>
      <w:r w:rsidR="008B2D7F" w:rsidRPr="00A2042C">
        <w:rPr>
          <w:rFonts w:ascii="Times New Roman" w:hAnsi="Times New Roman" w:cs="Times New Roman"/>
        </w:rPr>
        <w:t xml:space="preserve">. </w:t>
      </w:r>
      <w:r w:rsidR="00CE0DBA" w:rsidRPr="00A2042C">
        <w:rPr>
          <w:rFonts w:ascii="Times New Roman" w:hAnsi="Times New Roman" w:cs="Times New Roman"/>
        </w:rPr>
        <w:t xml:space="preserve">Disponível </w:t>
      </w:r>
      <w:r w:rsidR="008B2D7F" w:rsidRPr="00A2042C">
        <w:rPr>
          <w:rFonts w:ascii="Times New Roman" w:hAnsi="Times New Roman" w:cs="Times New Roman"/>
        </w:rPr>
        <w:t xml:space="preserve">em: </w:t>
      </w:r>
      <w:hyperlink r:id="rId4" w:history="1">
        <w:r w:rsidR="008B2D7F" w:rsidRPr="00A2042C">
          <w:rPr>
            <w:rStyle w:val="Hyperlink"/>
            <w:rFonts w:ascii="Times New Roman" w:hAnsi="Times New Roman" w:cs="Times New Roman"/>
          </w:rPr>
          <w:t>https://crf.iadb.org/pt/sdg-16</w:t>
        </w:r>
      </w:hyperlink>
      <w:r w:rsidR="008B2D7F" w:rsidRPr="00A2042C">
        <w:rPr>
          <w:rFonts w:ascii="Times New Roman" w:hAnsi="Times New Roman" w:cs="Times New Roman"/>
        </w:rPr>
        <w:t xml:space="preserve">. </w:t>
      </w:r>
      <w:r w:rsidR="00F64507" w:rsidRPr="00A2042C">
        <w:rPr>
          <w:rFonts w:ascii="Times New Roman" w:hAnsi="Times New Roman" w:cs="Times New Roman"/>
        </w:rPr>
        <w:t>Acesso em: 03 ago 2023.</w:t>
      </w:r>
    </w:p>
  </w:footnote>
  <w:footnote w:id="14">
    <w:p w14:paraId="7E1C929D" w14:textId="5C04D80E" w:rsidR="003842E8" w:rsidRPr="00A2042C" w:rsidRDefault="003842E8"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8F5BED" w:rsidRPr="00A2042C">
        <w:rPr>
          <w:rFonts w:ascii="Times New Roman" w:hAnsi="Times New Roman" w:cs="Times New Roman"/>
        </w:rPr>
        <w:t>Segundo o site do</w:t>
      </w:r>
      <w:r w:rsidRPr="00A2042C">
        <w:rPr>
          <w:rFonts w:ascii="Times New Roman" w:hAnsi="Times New Roman" w:cs="Times New Roman"/>
        </w:rPr>
        <w:t xml:space="preserve"> BNDES</w:t>
      </w:r>
      <w:r w:rsidR="008F5BED" w:rsidRPr="00A2042C">
        <w:rPr>
          <w:rFonts w:ascii="Times New Roman" w:hAnsi="Times New Roman" w:cs="Times New Roman"/>
        </w:rPr>
        <w:t>, foi desembolsado quase R$ 1,5 bilhão</w:t>
      </w:r>
      <w:r w:rsidR="008C23D1" w:rsidRPr="00A2042C">
        <w:rPr>
          <w:rFonts w:ascii="Times New Roman" w:hAnsi="Times New Roman" w:cs="Times New Roman"/>
        </w:rPr>
        <w:t>, entre 2015 e 2023,</w:t>
      </w:r>
      <w:r w:rsidR="008F5BED" w:rsidRPr="00A2042C">
        <w:rPr>
          <w:rFonts w:ascii="Times New Roman" w:hAnsi="Times New Roman" w:cs="Times New Roman"/>
        </w:rPr>
        <w:t xml:space="preserve"> em projetos ligados ao ODS nº 16</w:t>
      </w:r>
      <w:r w:rsidR="008C23D1" w:rsidRPr="00A2042C">
        <w:rPr>
          <w:rFonts w:ascii="Times New Roman" w:hAnsi="Times New Roman" w:cs="Times New Roman"/>
        </w:rPr>
        <w:t>.</w:t>
      </w:r>
      <w:r w:rsidR="0095764B" w:rsidRPr="00A2042C">
        <w:rPr>
          <w:rFonts w:ascii="Times New Roman" w:hAnsi="Times New Roman" w:cs="Times New Roman"/>
        </w:rPr>
        <w:t xml:space="preserve"> </w:t>
      </w:r>
      <w:r w:rsidR="00C6426E" w:rsidRPr="00A2042C">
        <w:rPr>
          <w:rFonts w:ascii="Times New Roman" w:hAnsi="Times New Roman" w:cs="Times New Roman"/>
        </w:rPr>
        <w:t>Disponível</w:t>
      </w:r>
      <w:r w:rsidR="0095764B" w:rsidRPr="00A2042C">
        <w:rPr>
          <w:rFonts w:ascii="Times New Roman" w:hAnsi="Times New Roman" w:cs="Times New Roman"/>
        </w:rPr>
        <w:t xml:space="preserve"> em:</w:t>
      </w:r>
      <w:r w:rsidR="008531CE" w:rsidRPr="00A2042C">
        <w:rPr>
          <w:rFonts w:ascii="Times New Roman" w:hAnsi="Times New Roman" w:cs="Times New Roman"/>
        </w:rPr>
        <w:t xml:space="preserve"> </w:t>
      </w:r>
      <w:hyperlink r:id="rId5" w:history="1">
        <w:r w:rsidR="008531CE" w:rsidRPr="00A2042C">
          <w:rPr>
            <w:rStyle w:val="Hyperlink"/>
            <w:rFonts w:ascii="Times New Roman" w:hAnsi="Times New Roman" w:cs="Times New Roman"/>
          </w:rPr>
          <w:t>Painel ODS - nossa contribuição para a Agenda 2030 (bndes.gov.br)</w:t>
        </w:r>
      </w:hyperlink>
      <w:r w:rsidR="00C6426E" w:rsidRPr="00A2042C">
        <w:rPr>
          <w:rFonts w:ascii="Times New Roman" w:hAnsi="Times New Roman" w:cs="Times New Roman"/>
        </w:rPr>
        <w:t xml:space="preserve">. </w:t>
      </w:r>
      <w:r w:rsidR="008E7974" w:rsidRPr="00A2042C">
        <w:rPr>
          <w:rFonts w:ascii="Times New Roman" w:hAnsi="Times New Roman" w:cs="Times New Roman"/>
        </w:rPr>
        <w:t>Acesso em: 03 ago. 2023.</w:t>
      </w:r>
    </w:p>
  </w:footnote>
  <w:footnote w:id="15">
    <w:p w14:paraId="53BEA32F" w14:textId="7BC625BC" w:rsidR="00247A47" w:rsidRPr="00A2042C" w:rsidRDefault="00247A47"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C21CDA" w:rsidRPr="00A2042C">
        <w:rPr>
          <w:rFonts w:ascii="Times New Roman" w:hAnsi="Times New Roman" w:cs="Times New Roman"/>
        </w:rPr>
        <w:t xml:space="preserve">Disponível em: </w:t>
      </w:r>
      <w:hyperlink r:id="rId6" w:history="1">
        <w:r w:rsidR="00C21CDA" w:rsidRPr="00A2042C">
          <w:rPr>
            <w:rStyle w:val="Hyperlink"/>
            <w:rFonts w:ascii="Times New Roman" w:hAnsi="Times New Roman" w:cs="Times New Roman"/>
          </w:rPr>
          <w:t>ONU_Brasil_Relator</w:t>
        </w:r>
        <w:r w:rsidR="00C51C29" w:rsidRPr="00A2042C">
          <w:rPr>
            <w:rStyle w:val="Hyperlink"/>
            <w:rFonts w:ascii="Times New Roman" w:hAnsi="Times New Roman" w:cs="Times New Roman"/>
          </w:rPr>
          <w:t>2022</w:t>
        </w:r>
        <w:r w:rsidR="00C21CDA" w:rsidRPr="00A2042C">
          <w:rPr>
            <w:rStyle w:val="Hyperlink"/>
            <w:rFonts w:ascii="Times New Roman" w:hAnsi="Times New Roman" w:cs="Times New Roman"/>
          </w:rPr>
          <w:t>io_Anual_2022.pdf (un.org)</w:t>
        </w:r>
      </w:hyperlink>
      <w:r w:rsidR="00C21CDA" w:rsidRPr="00A2042C">
        <w:rPr>
          <w:rFonts w:ascii="Times New Roman" w:hAnsi="Times New Roman" w:cs="Times New Roman"/>
        </w:rPr>
        <w:t xml:space="preserve">. </w:t>
      </w:r>
      <w:r w:rsidR="0037414C" w:rsidRPr="00A2042C">
        <w:rPr>
          <w:rFonts w:ascii="Times New Roman" w:hAnsi="Times New Roman" w:cs="Times New Roman"/>
        </w:rPr>
        <w:t>Acesso em: 03 ago. 2023.</w:t>
      </w:r>
    </w:p>
  </w:footnote>
  <w:footnote w:id="16">
    <w:p w14:paraId="7CE224ED" w14:textId="77777777" w:rsidR="00F65A42" w:rsidRPr="00A2042C" w:rsidRDefault="00F65A4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DE AMORIM, Fernando Sérgio Tenório; RODRIGUES, Ricardo Schneider. </w:t>
      </w:r>
      <w:r w:rsidRPr="00A2042C">
        <w:rPr>
          <w:rFonts w:ascii="Times New Roman" w:hAnsi="Times New Roman" w:cs="Times New Roman"/>
          <w:b/>
          <w:bCs/>
        </w:rPr>
        <w:t>A resolução online de litígios (ODR) na administração pública: o uso da tecnologia como estímulo à transparência.</w:t>
      </w:r>
      <w:r w:rsidRPr="00A2042C">
        <w:rPr>
          <w:rFonts w:ascii="Times New Roman" w:hAnsi="Times New Roman" w:cs="Times New Roman"/>
        </w:rPr>
        <w:t xml:space="preserve"> Rio de Janeiro. Revista Direito, Estado e Sociedade, n. 54, 2019.</w:t>
      </w:r>
    </w:p>
  </w:footnote>
  <w:footnote w:id="17">
    <w:p w14:paraId="0AAF8BDE" w14:textId="77777777" w:rsidR="00F65A42" w:rsidRPr="00A2042C" w:rsidRDefault="00F65A4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Disponível em: </w:t>
      </w:r>
      <w:hyperlink r:id="rId7" w:history="1">
        <w:r w:rsidRPr="00A2042C">
          <w:rPr>
            <w:rStyle w:val="Hyperlink"/>
            <w:rFonts w:ascii="Times New Roman" w:hAnsi="Times New Roman" w:cs="Times New Roman"/>
          </w:rPr>
          <w:t>https://ab2l.org.br/radar-dinamico/</w:t>
        </w:r>
      </w:hyperlink>
      <w:r w:rsidRPr="00A2042C">
        <w:rPr>
          <w:rFonts w:ascii="Times New Roman" w:hAnsi="Times New Roman" w:cs="Times New Roman"/>
        </w:rPr>
        <w:t>. Acesso em 20 junho 2022.</w:t>
      </w:r>
    </w:p>
  </w:footnote>
  <w:footnote w:id="18">
    <w:p w14:paraId="0B956931" w14:textId="67BEB8B5" w:rsidR="00F65A42" w:rsidRPr="00A2042C" w:rsidRDefault="00F65A4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FERRARI, Isabela. </w:t>
      </w:r>
      <w:r w:rsidRPr="00A2042C">
        <w:rPr>
          <w:rFonts w:ascii="Times New Roman" w:hAnsi="Times New Roman" w:cs="Times New Roman"/>
          <w:b/>
          <w:bCs/>
        </w:rPr>
        <w:t>Conflito e Inovação: introdução aos métodos de ODR.</w:t>
      </w:r>
      <w:r w:rsidRPr="00A2042C">
        <w:rPr>
          <w:rFonts w:ascii="Times New Roman" w:hAnsi="Times New Roman" w:cs="Times New Roman"/>
        </w:rPr>
        <w:t xml:space="preserve"> </w:t>
      </w:r>
      <w:r w:rsidRPr="00A2042C">
        <w:rPr>
          <w:rFonts w:ascii="Times New Roman" w:hAnsi="Times New Roman" w:cs="Times New Roman"/>
          <w:i/>
          <w:iCs/>
        </w:rPr>
        <w:t xml:space="preserve">In: Justiça Digital. </w:t>
      </w:r>
      <w:r w:rsidRPr="00A2042C">
        <w:rPr>
          <w:rFonts w:ascii="Times New Roman" w:hAnsi="Times New Roman" w:cs="Times New Roman"/>
        </w:rPr>
        <w:t>Instituto New Law e Isabela Ferrari, coordenadores. 1ª ed. São Paulo: Thomson Reuters Brasil, 2020</w:t>
      </w:r>
      <w:r w:rsidR="00FC0967" w:rsidRPr="00A2042C">
        <w:rPr>
          <w:rFonts w:ascii="Times New Roman" w:hAnsi="Times New Roman" w:cs="Times New Roman"/>
        </w:rPr>
        <w:t>.</w:t>
      </w:r>
      <w:r w:rsidRPr="00A2042C">
        <w:rPr>
          <w:rFonts w:ascii="Times New Roman" w:hAnsi="Times New Roman" w:cs="Times New Roman"/>
        </w:rPr>
        <w:t xml:space="preserve"> p. 34.</w:t>
      </w:r>
    </w:p>
  </w:footnote>
  <w:footnote w:id="19">
    <w:p w14:paraId="7DF13059" w14:textId="77777777" w:rsidR="00F65A42" w:rsidRPr="00A2042C" w:rsidRDefault="00F65A4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RODRIGUES, Roberto de Aragão Ribeiro. </w:t>
      </w:r>
      <w:r w:rsidRPr="00A2042C">
        <w:rPr>
          <w:rFonts w:ascii="Times New Roman" w:hAnsi="Times New Roman" w:cs="Times New Roman"/>
          <w:b/>
          <w:bCs/>
        </w:rPr>
        <w:t xml:space="preserve">Justiça multiportas e advocacia pública </w:t>
      </w:r>
      <w:r w:rsidRPr="00A2042C">
        <w:rPr>
          <w:rFonts w:ascii="Times New Roman" w:hAnsi="Times New Roman" w:cs="Times New Roman"/>
        </w:rPr>
        <w:t>1.ed. Rio de Janeiro: GZ, 2021. p. 127.</w:t>
      </w:r>
    </w:p>
  </w:footnote>
  <w:footnote w:id="20">
    <w:p w14:paraId="28D8C556" w14:textId="5E9FF4D0" w:rsidR="00F65A42" w:rsidRPr="00A2042C" w:rsidRDefault="00F65A4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7B6515" w:rsidRPr="00A2042C">
        <w:rPr>
          <w:rFonts w:ascii="Times New Roman" w:hAnsi="Times New Roman" w:cs="Times New Roman"/>
        </w:rPr>
        <w:t xml:space="preserve">Disponível em: </w:t>
      </w:r>
      <w:hyperlink r:id="rId8" w:history="1">
        <w:r w:rsidR="007B6515" w:rsidRPr="00A2042C">
          <w:rPr>
            <w:rStyle w:val="Hyperlink"/>
            <w:rFonts w:ascii="Times New Roman" w:hAnsi="Times New Roman" w:cs="Times New Roman"/>
          </w:rPr>
          <w:t>https://brasil.un.org/pt-br/188306-pesquisa-identifica-111-projetos-de-intelig%C3%AAncia-artificial-no-judici%C3%A1rio</w:t>
        </w:r>
      </w:hyperlink>
      <w:r w:rsidR="007B6515" w:rsidRPr="00A2042C">
        <w:rPr>
          <w:rFonts w:ascii="Times New Roman" w:hAnsi="Times New Roman" w:cs="Times New Roman"/>
        </w:rPr>
        <w:t>. Acesso em 01 ago. 2023.</w:t>
      </w:r>
    </w:p>
  </w:footnote>
  <w:footnote w:id="21">
    <w:p w14:paraId="10F6E0E0" w14:textId="486F870E" w:rsidR="009F7039" w:rsidRPr="00A2042C" w:rsidRDefault="009F7039"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Ver, a este respeito</w:t>
      </w:r>
      <w:r w:rsidR="00DC61FC" w:rsidRPr="00A2042C">
        <w:rPr>
          <w:rFonts w:ascii="Times New Roman" w:hAnsi="Times New Roman" w:cs="Times New Roman"/>
        </w:rPr>
        <w:t xml:space="preserve">: </w:t>
      </w:r>
      <w:hyperlink r:id="rId9" w:history="1">
        <w:r w:rsidR="00DC61FC" w:rsidRPr="00A2042C">
          <w:rPr>
            <w:rStyle w:val="Hyperlink"/>
            <w:rFonts w:ascii="Times New Roman" w:hAnsi="Times New Roman" w:cs="Times New Roman"/>
          </w:rPr>
          <w:t>https://www.prerro.com.br/a-cultura-de-experimentacao-e-a-transformacao-digital-da-advocacia-publica/</w:t>
        </w:r>
      </w:hyperlink>
      <w:r w:rsidR="00DC61FC" w:rsidRPr="00A2042C">
        <w:rPr>
          <w:rFonts w:ascii="Times New Roman" w:hAnsi="Times New Roman" w:cs="Times New Roman"/>
        </w:rPr>
        <w:t xml:space="preserve">. </w:t>
      </w:r>
      <w:r w:rsidR="00D5003A" w:rsidRPr="00A2042C">
        <w:rPr>
          <w:rFonts w:ascii="Times New Roman" w:hAnsi="Times New Roman" w:cs="Times New Roman"/>
        </w:rPr>
        <w:t>Acesso em 04 ago. 2023.</w:t>
      </w:r>
    </w:p>
  </w:footnote>
  <w:footnote w:id="22">
    <w:p w14:paraId="102AD7E4" w14:textId="7688B603" w:rsidR="009E25E8" w:rsidRPr="00A2042C" w:rsidRDefault="009E25E8"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Diversos autores vêm aprofundando e ressignificando os paradigmas a respeito da clássica distinção entre interesses públicos primários e secundários em suas obras, dentre as quais destacam</w:t>
      </w:r>
      <w:r w:rsidR="00D85835" w:rsidRPr="00A2042C">
        <w:rPr>
          <w:rFonts w:ascii="Times New Roman" w:hAnsi="Times New Roman" w:cs="Times New Roman"/>
        </w:rPr>
        <w:t>os</w:t>
      </w:r>
      <w:r w:rsidRPr="00A2042C">
        <w:rPr>
          <w:rFonts w:ascii="Times New Roman" w:hAnsi="Times New Roman" w:cs="Times New Roman"/>
        </w:rPr>
        <w:t>:</w:t>
      </w:r>
      <w:r w:rsidR="00D85835" w:rsidRPr="00A2042C">
        <w:rPr>
          <w:rFonts w:ascii="Times New Roman" w:hAnsi="Times New Roman" w:cs="Times New Roman"/>
        </w:rPr>
        <w:t xml:space="preserve"> </w:t>
      </w:r>
      <w:r w:rsidR="00D50BB9" w:rsidRPr="00A2042C">
        <w:rPr>
          <w:rFonts w:ascii="Times New Roman" w:hAnsi="Times New Roman" w:cs="Times New Roman"/>
        </w:rPr>
        <w:t>“</w:t>
      </w:r>
      <w:r w:rsidR="00D85835" w:rsidRPr="00A2042C">
        <w:rPr>
          <w:rFonts w:ascii="Times New Roman" w:hAnsi="Times New Roman" w:cs="Times New Roman"/>
        </w:rPr>
        <w:t xml:space="preserve">SARMENTO, Daniel (org.). </w:t>
      </w:r>
      <w:r w:rsidR="00D85835" w:rsidRPr="00A2042C">
        <w:rPr>
          <w:rFonts w:ascii="Times New Roman" w:hAnsi="Times New Roman" w:cs="Times New Roman"/>
          <w:b/>
          <w:bCs/>
        </w:rPr>
        <w:t>Interesses públicos versus Interesses privados: desconstruindo o princípio da supremacia do interesse público.</w:t>
      </w:r>
      <w:r w:rsidR="00D85835" w:rsidRPr="00A2042C">
        <w:rPr>
          <w:rFonts w:ascii="Times New Roman" w:hAnsi="Times New Roman" w:cs="Times New Roman"/>
        </w:rPr>
        <w:t xml:space="preserve"> Rio de Janeiro: Lumen Juris, 2010</w:t>
      </w:r>
      <w:r w:rsidR="00D50BB9" w:rsidRPr="00A2042C">
        <w:rPr>
          <w:rFonts w:ascii="Times New Roman" w:hAnsi="Times New Roman" w:cs="Times New Roman"/>
        </w:rPr>
        <w:t>”</w:t>
      </w:r>
      <w:r w:rsidR="00D85835" w:rsidRPr="00A2042C">
        <w:rPr>
          <w:rFonts w:ascii="Times New Roman" w:hAnsi="Times New Roman" w:cs="Times New Roman"/>
        </w:rPr>
        <w:t xml:space="preserve">. </w:t>
      </w:r>
      <w:r w:rsidR="00D50BB9" w:rsidRPr="00A2042C">
        <w:rPr>
          <w:rFonts w:ascii="Times New Roman" w:hAnsi="Times New Roman" w:cs="Times New Roman"/>
        </w:rPr>
        <w:t>“</w:t>
      </w:r>
      <w:r w:rsidR="00D85835" w:rsidRPr="00A2042C">
        <w:rPr>
          <w:rFonts w:ascii="Times New Roman" w:hAnsi="Times New Roman" w:cs="Times New Roman"/>
        </w:rPr>
        <w:t xml:space="preserve">MOREIRA NETO, Diogo de Figueiredo. </w:t>
      </w:r>
      <w:r w:rsidR="00D85835" w:rsidRPr="00A2042C">
        <w:rPr>
          <w:rFonts w:ascii="Times New Roman" w:hAnsi="Times New Roman" w:cs="Times New Roman"/>
          <w:b/>
          <w:bCs/>
        </w:rPr>
        <w:t>Mutações do direito administrativo.</w:t>
      </w:r>
      <w:r w:rsidR="00D85835" w:rsidRPr="00A2042C">
        <w:rPr>
          <w:rFonts w:ascii="Times New Roman" w:hAnsi="Times New Roman" w:cs="Times New Roman"/>
        </w:rPr>
        <w:t xml:space="preserve"> 3. ed. Rio de Janeiro: Renovar, 2007</w:t>
      </w:r>
      <w:r w:rsidR="00D50BB9" w:rsidRPr="00A2042C">
        <w:rPr>
          <w:rFonts w:ascii="Times New Roman" w:hAnsi="Times New Roman" w:cs="Times New Roman"/>
        </w:rPr>
        <w:t>”</w:t>
      </w:r>
      <w:r w:rsidR="00D85835" w:rsidRPr="00A2042C">
        <w:rPr>
          <w:rFonts w:ascii="Times New Roman" w:hAnsi="Times New Roman" w:cs="Times New Roman"/>
        </w:rPr>
        <w:t xml:space="preserve">. </w:t>
      </w:r>
      <w:r w:rsidR="00036145" w:rsidRPr="00A2042C">
        <w:rPr>
          <w:rFonts w:ascii="Times New Roman" w:hAnsi="Times New Roman" w:cs="Times New Roman"/>
        </w:rPr>
        <w:t>“</w:t>
      </w:r>
      <w:bookmarkStart w:id="3" w:name="_Hlk141977134"/>
      <w:r w:rsidR="000F043C" w:rsidRPr="00A2042C">
        <w:rPr>
          <w:rFonts w:ascii="Times New Roman" w:hAnsi="Times New Roman" w:cs="Times New Roman"/>
        </w:rPr>
        <w:t xml:space="preserve">GABARDO, Emerson. </w:t>
      </w:r>
      <w:r w:rsidR="000F043C" w:rsidRPr="00A2042C">
        <w:rPr>
          <w:rFonts w:ascii="Times New Roman" w:hAnsi="Times New Roman" w:cs="Times New Roman"/>
          <w:b/>
          <w:bCs/>
        </w:rPr>
        <w:t>Interesse público e subsidiariedade.</w:t>
      </w:r>
      <w:r w:rsidR="000F043C" w:rsidRPr="00A2042C">
        <w:rPr>
          <w:rFonts w:ascii="Times New Roman" w:hAnsi="Times New Roman" w:cs="Times New Roman"/>
        </w:rPr>
        <w:t xml:space="preserve"> Belo Horizonte: Editora Fórum, 2009</w:t>
      </w:r>
      <w:bookmarkEnd w:id="3"/>
      <w:r w:rsidR="00036145" w:rsidRPr="00A2042C">
        <w:rPr>
          <w:rFonts w:ascii="Times New Roman" w:hAnsi="Times New Roman" w:cs="Times New Roman"/>
        </w:rPr>
        <w:t>”</w:t>
      </w:r>
      <w:r w:rsidR="00FC7F23" w:rsidRPr="00A2042C">
        <w:rPr>
          <w:rFonts w:ascii="Times New Roman" w:hAnsi="Times New Roman" w:cs="Times New Roman"/>
        </w:rPr>
        <w:t xml:space="preserve">. </w:t>
      </w:r>
      <w:r w:rsidR="008363BB" w:rsidRPr="00A2042C">
        <w:rPr>
          <w:rFonts w:ascii="Times New Roman" w:hAnsi="Times New Roman" w:cs="Times New Roman"/>
        </w:rPr>
        <w:t>“</w:t>
      </w:r>
      <w:r w:rsidR="00FC7F23" w:rsidRPr="00A2042C">
        <w:rPr>
          <w:rFonts w:ascii="Times New Roman" w:hAnsi="Times New Roman" w:cs="Times New Roman"/>
        </w:rPr>
        <w:t>BINENBOJM, Gustavo</w:t>
      </w:r>
      <w:r w:rsidR="00FC7F23" w:rsidRPr="00A2042C">
        <w:rPr>
          <w:rFonts w:ascii="Times New Roman" w:hAnsi="Times New Roman" w:cs="Times New Roman"/>
          <w:b/>
          <w:bCs/>
        </w:rPr>
        <w:t>. Da supremacia do interesse público ao dever de proporcionalidade: um novo paradigma para o direito administrativo.</w:t>
      </w:r>
      <w:r w:rsidR="00FC7F23" w:rsidRPr="00A2042C">
        <w:rPr>
          <w:rFonts w:ascii="Times New Roman" w:hAnsi="Times New Roman" w:cs="Times New Roman"/>
        </w:rPr>
        <w:t xml:space="preserve"> Revista de Direito Administrativo, v. 239, p. 1, 2015. Disponível em: https://doi. org/10.12660/rda.v239.2005.43855.</w:t>
      </w:r>
      <w:r w:rsidR="008363BB" w:rsidRPr="00A2042C">
        <w:rPr>
          <w:rFonts w:ascii="Times New Roman" w:hAnsi="Times New Roman" w:cs="Times New Roman"/>
        </w:rPr>
        <w:t xml:space="preserve"> </w:t>
      </w:r>
      <w:r w:rsidR="00FC7F23" w:rsidRPr="00A2042C">
        <w:rPr>
          <w:rFonts w:ascii="Times New Roman" w:hAnsi="Times New Roman" w:cs="Times New Roman"/>
        </w:rPr>
        <w:t xml:space="preserve"> Acesso em: 29 abr. 2022</w:t>
      </w:r>
      <w:r w:rsidR="008363BB" w:rsidRPr="00A2042C">
        <w:rPr>
          <w:rFonts w:ascii="Times New Roman" w:hAnsi="Times New Roman" w:cs="Times New Roman"/>
        </w:rPr>
        <w:t>”</w:t>
      </w:r>
      <w:r w:rsidR="00FC7F23" w:rsidRPr="00A2042C">
        <w:rPr>
          <w:rFonts w:ascii="Times New Roman" w:hAnsi="Times New Roman" w:cs="Times New Roman"/>
        </w:rPr>
        <w:t>.</w:t>
      </w:r>
    </w:p>
  </w:footnote>
  <w:footnote w:id="23">
    <w:p w14:paraId="1CB65286" w14:textId="7781F258" w:rsidR="000A32AA" w:rsidRPr="00A2042C" w:rsidRDefault="000A32AA"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BD6ECE" w:rsidRPr="00A2042C">
        <w:rPr>
          <w:rFonts w:ascii="Times New Roman" w:hAnsi="Times New Roman" w:cs="Times New Roman"/>
        </w:rPr>
        <w:t xml:space="preserve">“Os métodos adequados de resolução de conflitos em matéria tributária propõe viabilizar a participação cidadã na pacificação social, notadamente no campo da fiscalidade, com a observância dos marcos legislativos, de modo que somente reforçam o princípio da legalidade, e não o ofendem. Significa dizer que a legalidade, em viés amplo, impõe que a administração atue em conformidade com os critérios autorizados pela legislação tributária, ainda que permitida alguma intervenção mais efetiva por parte dos sujeitos passivos; e, num sentido estrito, implica tipificar os elementos normativos da exação tributária com maior ou menor dose de discricionariedade, indeterminação, ambiguidade ou vagueza, legitimadora da atuação concertada no processo de aplicação da lei de incidência”. MACHADO, Carlos Henrique. </w:t>
      </w:r>
      <w:r w:rsidR="00BD6ECE" w:rsidRPr="00A2042C">
        <w:rPr>
          <w:rFonts w:ascii="Times New Roman" w:hAnsi="Times New Roman" w:cs="Times New Roman"/>
          <w:b/>
          <w:bCs/>
        </w:rPr>
        <w:t>Modelo Multiportas no direito tributário</w:t>
      </w:r>
      <w:r w:rsidR="00BD6ECE" w:rsidRPr="00A2042C">
        <w:rPr>
          <w:rFonts w:ascii="Times New Roman" w:hAnsi="Times New Roman" w:cs="Times New Roman"/>
        </w:rPr>
        <w:t>. Porto Alegre: Livraria do Advogado, 2021. p. 153</w:t>
      </w:r>
    </w:p>
  </w:footnote>
  <w:footnote w:id="24">
    <w:p w14:paraId="54723D98" w14:textId="6DE99EC3" w:rsidR="00C412FB" w:rsidRPr="00A2042C" w:rsidRDefault="00C412F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5E79EB" w:rsidRPr="00A2042C">
        <w:rPr>
          <w:rFonts w:ascii="Times New Roman" w:hAnsi="Times New Roman" w:cs="Times New Roman"/>
        </w:rPr>
        <w:t xml:space="preserve">“Especificamente </w:t>
      </w:r>
      <w:r w:rsidR="00FE0992" w:rsidRPr="00A2042C">
        <w:rPr>
          <w:rFonts w:ascii="Times New Roman" w:hAnsi="Times New Roman" w:cs="Times New Roman"/>
        </w:rPr>
        <w:t>em relação</w:t>
      </w:r>
      <w:r w:rsidR="005E79EB" w:rsidRPr="00A2042C">
        <w:rPr>
          <w:rFonts w:ascii="Times New Roman" w:hAnsi="Times New Roman" w:cs="Times New Roman"/>
        </w:rPr>
        <w:t xml:space="preserve"> ao princípio da igualdade, postulado estruturante do estado democrático de direito, do qual deriva o princípio da impessoalidade e, em matéria fiscal, os princípios da capacidade contributiva, da progressividade, e da seletividade, também entendemos possível a compatibilização</w:t>
      </w:r>
      <w:r w:rsidR="00FE0992" w:rsidRPr="00A2042C">
        <w:rPr>
          <w:rFonts w:ascii="Times New Roman" w:hAnsi="Times New Roman" w:cs="Times New Roman"/>
        </w:rPr>
        <w:t xml:space="preserve"> com o sistema multiportas</w:t>
      </w:r>
      <w:r w:rsidR="005E79EB" w:rsidRPr="00A2042C">
        <w:rPr>
          <w:rFonts w:ascii="Times New Roman" w:hAnsi="Times New Roman" w:cs="Times New Roman"/>
        </w:rPr>
        <w:t>,</w:t>
      </w:r>
      <w:r w:rsidR="007B33F9" w:rsidRPr="00A2042C">
        <w:rPr>
          <w:rFonts w:ascii="Times New Roman" w:hAnsi="Times New Roman" w:cs="Times New Roman"/>
        </w:rPr>
        <w:t xml:space="preserve"> que, aliás, poderá contribuir para o </w:t>
      </w:r>
      <w:r w:rsidR="0029065D" w:rsidRPr="00A2042C">
        <w:rPr>
          <w:rFonts w:ascii="Times New Roman" w:hAnsi="Times New Roman" w:cs="Times New Roman"/>
        </w:rPr>
        <w:t>desenvolvimento de uma estrutura fiscal mais harmoniosa e equitativa. O desafio residirá</w:t>
      </w:r>
      <w:r w:rsidR="003E452C" w:rsidRPr="00A2042C">
        <w:rPr>
          <w:rFonts w:ascii="Times New Roman" w:hAnsi="Times New Roman" w:cs="Times New Roman"/>
        </w:rPr>
        <w:t>, porém, em encontrar as margens legítimas de discriminação legítima”</w:t>
      </w:r>
      <w:r w:rsidR="005E79EB" w:rsidRPr="00A2042C">
        <w:rPr>
          <w:rFonts w:ascii="Times New Roman" w:hAnsi="Times New Roman" w:cs="Times New Roman"/>
        </w:rPr>
        <w:t>.</w:t>
      </w:r>
      <w:r w:rsidR="003E452C" w:rsidRPr="00A2042C">
        <w:rPr>
          <w:rFonts w:ascii="Times New Roman" w:hAnsi="Times New Roman" w:cs="Times New Roman"/>
        </w:rPr>
        <w:t xml:space="preserve"> </w:t>
      </w:r>
      <w:r w:rsidR="00AB32F1" w:rsidRPr="00A2042C">
        <w:rPr>
          <w:rFonts w:ascii="Times New Roman" w:hAnsi="Times New Roman" w:cs="Times New Roman"/>
        </w:rPr>
        <w:t xml:space="preserve">PEREIRA, Thiago de Freitas Alves. </w:t>
      </w:r>
      <w:r w:rsidR="00AB32F1" w:rsidRPr="00A2042C">
        <w:rPr>
          <w:rFonts w:ascii="Times New Roman" w:hAnsi="Times New Roman" w:cs="Times New Roman"/>
          <w:b/>
          <w:bCs/>
        </w:rPr>
        <w:t>O SISTEMA MULTIPORTAS E A TRANSMUTAÇÃO DA CULTURA DE ACESSO À JUSTIÇA TRIBUTÁRIA</w:t>
      </w:r>
      <w:r w:rsidR="00AB32F1" w:rsidRPr="00A2042C">
        <w:rPr>
          <w:rFonts w:ascii="Times New Roman" w:hAnsi="Times New Roman" w:cs="Times New Roman"/>
        </w:rPr>
        <w:t xml:space="preserve">. </w:t>
      </w:r>
      <w:r w:rsidR="00AB32F1" w:rsidRPr="00A2042C">
        <w:rPr>
          <w:rFonts w:ascii="Times New Roman" w:hAnsi="Times New Roman" w:cs="Times New Roman"/>
          <w:i/>
          <w:iCs/>
        </w:rPr>
        <w:t xml:space="preserve">In: </w:t>
      </w:r>
      <w:r w:rsidR="00AB32F1" w:rsidRPr="00A2042C">
        <w:rPr>
          <w:rFonts w:ascii="Times New Roman" w:hAnsi="Times New Roman" w:cs="Times New Roman"/>
        </w:rPr>
        <w:t xml:space="preserve">JUNIOR, Ailton Cardozo; DANTAS, Miguel Calmon Teixeira de Carvalho; CARVALHO, Paulo Moreno (Org). Advocacia Pública para a sociedade: estudos em homenagem aos 56 anos da Procuradoria Geral do Estado da Bahia. 1 ed. São Paulo: Contracorrente, 2022. </w:t>
      </w:r>
      <w:r w:rsidR="00FB057F" w:rsidRPr="00A2042C">
        <w:rPr>
          <w:rFonts w:ascii="Times New Roman" w:hAnsi="Times New Roman" w:cs="Times New Roman"/>
        </w:rPr>
        <w:t>p</w:t>
      </w:r>
      <w:r w:rsidR="00AB32F1" w:rsidRPr="00A2042C">
        <w:rPr>
          <w:rFonts w:ascii="Times New Roman" w:hAnsi="Times New Roman" w:cs="Times New Roman"/>
        </w:rPr>
        <w:t>. 749.</w:t>
      </w:r>
    </w:p>
  </w:footnote>
  <w:footnote w:id="25">
    <w:p w14:paraId="711CCCED" w14:textId="5FE23C6A" w:rsidR="00B65D3B" w:rsidRPr="00A2042C" w:rsidRDefault="00B65D3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535AC8" w:rsidRPr="00A2042C">
        <w:rPr>
          <w:rFonts w:ascii="Times New Roman" w:hAnsi="Times New Roman" w:cs="Times New Roman"/>
        </w:rPr>
        <w:t>Ver</w:t>
      </w:r>
      <w:r w:rsidR="00136EC6" w:rsidRPr="00A2042C">
        <w:rPr>
          <w:rFonts w:ascii="Times New Roman" w:hAnsi="Times New Roman" w:cs="Times New Roman"/>
        </w:rPr>
        <w:t xml:space="preserve">, </w:t>
      </w:r>
      <w:r w:rsidR="00615743" w:rsidRPr="00A2042C">
        <w:rPr>
          <w:rFonts w:ascii="Times New Roman" w:hAnsi="Times New Roman" w:cs="Times New Roman"/>
        </w:rPr>
        <w:t>neste sentido</w:t>
      </w:r>
      <w:r w:rsidR="00535AC8" w:rsidRPr="00A2042C">
        <w:rPr>
          <w:rFonts w:ascii="Times New Roman" w:hAnsi="Times New Roman" w:cs="Times New Roman"/>
        </w:rPr>
        <w:t xml:space="preserve">: </w:t>
      </w:r>
      <w:bookmarkStart w:id="4" w:name="_Hlk141976167"/>
      <w:r w:rsidR="00136EC6" w:rsidRPr="00A2042C">
        <w:rPr>
          <w:rFonts w:ascii="Times New Roman" w:hAnsi="Times New Roman" w:cs="Times New Roman"/>
        </w:rPr>
        <w:t xml:space="preserve">DOMINGOS, F. N. </w:t>
      </w:r>
      <w:r w:rsidR="00136EC6" w:rsidRPr="00A2042C">
        <w:rPr>
          <w:rFonts w:ascii="Times New Roman" w:hAnsi="Times New Roman" w:cs="Times New Roman"/>
          <w:b/>
          <w:bCs/>
        </w:rPr>
        <w:t xml:space="preserve">Os métodos alternativos de resolução de conflitos tributários: novas tendências dogmáticas. </w:t>
      </w:r>
      <w:r w:rsidR="00136EC6" w:rsidRPr="00A2042C">
        <w:rPr>
          <w:rFonts w:ascii="Times New Roman" w:hAnsi="Times New Roman" w:cs="Times New Roman"/>
        </w:rPr>
        <w:t>Porto Alegre: Núria Fabris, 2016.</w:t>
      </w:r>
    </w:p>
    <w:bookmarkEnd w:id="4"/>
  </w:footnote>
  <w:footnote w:id="26">
    <w:p w14:paraId="7CBC0E38" w14:textId="6D3BEBEB" w:rsidR="006D534F" w:rsidRPr="00A2042C" w:rsidRDefault="006D534F"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Aprofundamos este estudo em artigo</w:t>
      </w:r>
      <w:r w:rsidR="003F4EA6" w:rsidRPr="00A2042C">
        <w:rPr>
          <w:rFonts w:ascii="Times New Roman" w:hAnsi="Times New Roman" w:cs="Times New Roman"/>
        </w:rPr>
        <w:t xml:space="preserve"> próprio. Ver em: PEREIRA, Thiago de Freitas Alves. </w:t>
      </w:r>
      <w:r w:rsidR="000340C6" w:rsidRPr="00A2042C">
        <w:rPr>
          <w:rFonts w:ascii="Times New Roman" w:hAnsi="Times New Roman" w:cs="Times New Roman"/>
          <w:b/>
          <w:bCs/>
        </w:rPr>
        <w:t>O SISTEMA MULTIPORTAS E A TRANSMUTAÇÃO DA CULTURA DE ACESSO À JUSTIÇA TRIBUTÁRIA</w:t>
      </w:r>
      <w:r w:rsidR="000340C6" w:rsidRPr="00A2042C">
        <w:rPr>
          <w:rFonts w:ascii="Times New Roman" w:hAnsi="Times New Roman" w:cs="Times New Roman"/>
        </w:rPr>
        <w:t xml:space="preserve">. </w:t>
      </w:r>
      <w:r w:rsidR="00DA4170" w:rsidRPr="00A2042C">
        <w:rPr>
          <w:rFonts w:ascii="Times New Roman" w:hAnsi="Times New Roman" w:cs="Times New Roman"/>
          <w:i/>
          <w:iCs/>
        </w:rPr>
        <w:t xml:space="preserve">In: </w:t>
      </w:r>
      <w:r w:rsidR="00A22658" w:rsidRPr="00A2042C">
        <w:rPr>
          <w:rFonts w:ascii="Times New Roman" w:hAnsi="Times New Roman" w:cs="Times New Roman"/>
        </w:rPr>
        <w:t>JUNIOR, Ailton Car</w:t>
      </w:r>
      <w:r w:rsidR="00174C6B" w:rsidRPr="00A2042C">
        <w:rPr>
          <w:rFonts w:ascii="Times New Roman" w:hAnsi="Times New Roman" w:cs="Times New Roman"/>
        </w:rPr>
        <w:t xml:space="preserve">dozo; </w:t>
      </w:r>
      <w:r w:rsidR="00E9227D" w:rsidRPr="00A2042C">
        <w:rPr>
          <w:rFonts w:ascii="Times New Roman" w:hAnsi="Times New Roman" w:cs="Times New Roman"/>
        </w:rPr>
        <w:t xml:space="preserve">DANTAS, Miguel Calmon Teixeira de Carvalho; </w:t>
      </w:r>
      <w:r w:rsidR="00312084" w:rsidRPr="00A2042C">
        <w:rPr>
          <w:rFonts w:ascii="Times New Roman" w:hAnsi="Times New Roman" w:cs="Times New Roman"/>
        </w:rPr>
        <w:t xml:space="preserve">CARVALHO, Paulo Moreno (Org). Advocacia Pública para a sociedade: </w:t>
      </w:r>
      <w:r w:rsidR="0096409B" w:rsidRPr="00A2042C">
        <w:rPr>
          <w:rFonts w:ascii="Times New Roman" w:hAnsi="Times New Roman" w:cs="Times New Roman"/>
        </w:rPr>
        <w:t>estudos em homenagem aos 56 anos da Procuradoria Geral do Estado da Bahia. 1 ed. São Paulo: Contracorrente</w:t>
      </w:r>
      <w:r w:rsidR="008A26A6" w:rsidRPr="00A2042C">
        <w:rPr>
          <w:rFonts w:ascii="Times New Roman" w:hAnsi="Times New Roman" w:cs="Times New Roman"/>
        </w:rPr>
        <w:t>, 2022.</w:t>
      </w:r>
    </w:p>
  </w:footnote>
  <w:footnote w:id="27">
    <w:p w14:paraId="0A75E002" w14:textId="77777777" w:rsidR="002B29A1" w:rsidRPr="00A2042C" w:rsidRDefault="002B29A1"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MACHADO, Carlos Henrique. </w:t>
      </w:r>
      <w:r w:rsidRPr="00A2042C">
        <w:rPr>
          <w:rFonts w:ascii="Times New Roman" w:hAnsi="Times New Roman" w:cs="Times New Roman"/>
          <w:b/>
          <w:bCs/>
        </w:rPr>
        <w:t>Modelo Multiportas no direito tributário</w:t>
      </w:r>
      <w:r w:rsidRPr="00A2042C">
        <w:rPr>
          <w:rFonts w:ascii="Times New Roman" w:hAnsi="Times New Roman" w:cs="Times New Roman"/>
        </w:rPr>
        <w:t>. Porto Alegre: Livraria do Advogado, 2021. p. 145.</w:t>
      </w:r>
    </w:p>
  </w:footnote>
  <w:footnote w:id="28">
    <w:p w14:paraId="346BE966" w14:textId="5471E58E" w:rsidR="00DF629B" w:rsidRPr="00A2042C" w:rsidRDefault="00DF629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A este respeito</w:t>
      </w:r>
      <w:bookmarkStart w:id="5" w:name="_Hlk142053742"/>
      <w:r w:rsidRPr="00A2042C">
        <w:rPr>
          <w:rFonts w:ascii="Times New Roman" w:hAnsi="Times New Roman" w:cs="Times New Roman"/>
        </w:rPr>
        <w:t xml:space="preserve">: </w:t>
      </w:r>
      <w:r w:rsidR="009A40F9" w:rsidRPr="00A2042C">
        <w:rPr>
          <w:rFonts w:ascii="Times New Roman" w:hAnsi="Times New Roman" w:cs="Times New Roman"/>
        </w:rPr>
        <w:t xml:space="preserve">PASINATO, Ana Paula. </w:t>
      </w:r>
      <w:r w:rsidR="00BC770E" w:rsidRPr="00A2042C">
        <w:rPr>
          <w:rFonts w:ascii="Times New Roman" w:hAnsi="Times New Roman" w:cs="Times New Roman"/>
          <w:b/>
          <w:bCs/>
        </w:rPr>
        <w:t>A arbitrabilidade da matéria tributária no brasil frente ao exemplo vigente da arbitragem tributária em portugal: a superação paradigmática do dogma da indisponibilidade do crédito tributário brasileiro.</w:t>
      </w:r>
      <w:r w:rsidR="00BC770E" w:rsidRPr="00A2042C">
        <w:rPr>
          <w:rFonts w:ascii="Times New Roman" w:hAnsi="Times New Roman" w:cs="Times New Roman"/>
        </w:rPr>
        <w:t xml:space="preserve"> </w:t>
      </w:r>
      <w:r w:rsidR="009A40F9" w:rsidRPr="00A2042C">
        <w:rPr>
          <w:rFonts w:ascii="Times New Roman" w:hAnsi="Times New Roman" w:cs="Times New Roman"/>
        </w:rPr>
        <w:t xml:space="preserve">2021. </w:t>
      </w:r>
      <w:r w:rsidR="00E96E6B" w:rsidRPr="00A2042C">
        <w:rPr>
          <w:rFonts w:ascii="Times New Roman" w:hAnsi="Times New Roman" w:cs="Times New Roman"/>
        </w:rPr>
        <w:t xml:space="preserve">243 p. </w:t>
      </w:r>
      <w:r w:rsidR="00CE34CC" w:rsidRPr="00A2042C">
        <w:rPr>
          <w:rFonts w:ascii="Times New Roman" w:hAnsi="Times New Roman" w:cs="Times New Roman"/>
        </w:rPr>
        <w:t xml:space="preserve">Dissertação (Mestrado em </w:t>
      </w:r>
      <w:r w:rsidR="008A2745" w:rsidRPr="00A2042C">
        <w:rPr>
          <w:rFonts w:ascii="Times New Roman" w:hAnsi="Times New Roman" w:cs="Times New Roman"/>
        </w:rPr>
        <w:t xml:space="preserve">Direito). Universidade de Brasília. </w:t>
      </w:r>
      <w:r w:rsidR="00B4748B" w:rsidRPr="00A2042C">
        <w:rPr>
          <w:rFonts w:ascii="Times New Roman" w:hAnsi="Times New Roman" w:cs="Times New Roman"/>
        </w:rPr>
        <w:t xml:space="preserve">Brasília. Disponível em: </w:t>
      </w:r>
      <w:hyperlink r:id="rId10" w:history="1">
        <w:r w:rsidR="00B4748B" w:rsidRPr="00A2042C">
          <w:rPr>
            <w:rStyle w:val="Hyperlink"/>
            <w:rFonts w:ascii="Times New Roman" w:hAnsi="Times New Roman" w:cs="Times New Roman"/>
          </w:rPr>
          <w:t>https://repositorio.unb.br/handle/10482/43394</w:t>
        </w:r>
      </w:hyperlink>
      <w:r w:rsidR="00B4748B" w:rsidRPr="00A2042C">
        <w:rPr>
          <w:rFonts w:ascii="Times New Roman" w:hAnsi="Times New Roman" w:cs="Times New Roman"/>
        </w:rPr>
        <w:t>. Acesso em 01 ago 2023.</w:t>
      </w:r>
      <w:bookmarkEnd w:id="5"/>
    </w:p>
  </w:footnote>
  <w:footnote w:id="29">
    <w:p w14:paraId="57737212" w14:textId="09FD3FA2" w:rsidR="00445A2F" w:rsidRPr="00A2042C" w:rsidRDefault="00445A2F"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026160" w:rsidRPr="00A2042C">
        <w:rPr>
          <w:rFonts w:ascii="Times New Roman" w:hAnsi="Times New Roman" w:cs="Times New Roman"/>
        </w:rPr>
        <w:t>PEREIRA</w:t>
      </w:r>
      <w:r w:rsidR="00D54CD5" w:rsidRPr="00A2042C">
        <w:rPr>
          <w:rFonts w:ascii="Times New Roman" w:hAnsi="Times New Roman" w:cs="Times New Roman"/>
        </w:rPr>
        <w:t>,</w:t>
      </w:r>
      <w:r w:rsidR="00026160" w:rsidRPr="00A2042C">
        <w:rPr>
          <w:rFonts w:ascii="Times New Roman" w:hAnsi="Times New Roman" w:cs="Times New Roman"/>
        </w:rPr>
        <w:t xml:space="preserve"> Thiago de Freitas Alves</w:t>
      </w:r>
      <w:r w:rsidR="00D54CD5" w:rsidRPr="00A2042C">
        <w:rPr>
          <w:rFonts w:ascii="Times New Roman" w:hAnsi="Times New Roman" w:cs="Times New Roman"/>
        </w:rPr>
        <w:t xml:space="preserve">. </w:t>
      </w:r>
      <w:r w:rsidR="0047341B" w:rsidRPr="00A2042C">
        <w:rPr>
          <w:rFonts w:ascii="Times New Roman" w:hAnsi="Times New Roman" w:cs="Times New Roman"/>
          <w:b/>
          <w:bCs/>
        </w:rPr>
        <w:t>Modelo Multiportas e o Direito Tributário: da viabilidade e das perspectivas da arbitragem tributária no Brasil</w:t>
      </w:r>
      <w:r w:rsidR="00D54CD5" w:rsidRPr="00A2042C">
        <w:rPr>
          <w:rFonts w:ascii="Times New Roman" w:hAnsi="Times New Roman" w:cs="Times New Roman"/>
          <w:b/>
          <w:bCs/>
        </w:rPr>
        <w:t>.</w:t>
      </w:r>
      <w:r w:rsidR="00D54CD5" w:rsidRPr="00A2042C">
        <w:rPr>
          <w:rFonts w:ascii="Times New Roman" w:hAnsi="Times New Roman" w:cs="Times New Roman"/>
        </w:rPr>
        <w:t xml:space="preserve"> </w:t>
      </w:r>
      <w:r w:rsidR="00E41467" w:rsidRPr="00A2042C">
        <w:rPr>
          <w:rFonts w:ascii="Times New Roman" w:hAnsi="Times New Roman" w:cs="Times New Roman"/>
        </w:rPr>
        <w:t xml:space="preserve">Revista da Procuradoria-Geral do Estado de Mato Grosso do Sul. </w:t>
      </w:r>
      <w:r w:rsidR="008E7FBE" w:rsidRPr="00A2042C">
        <w:rPr>
          <w:rFonts w:ascii="Times New Roman" w:hAnsi="Times New Roman" w:cs="Times New Roman"/>
        </w:rPr>
        <w:t>Edição nº 18 (dezembro/2022).</w:t>
      </w:r>
      <w:r w:rsidR="00D54CD5" w:rsidRPr="00A2042C">
        <w:rPr>
          <w:rFonts w:ascii="Times New Roman" w:hAnsi="Times New Roman" w:cs="Times New Roman"/>
        </w:rPr>
        <w:t xml:space="preserve"> 20</w:t>
      </w:r>
      <w:r w:rsidR="008E7FBE" w:rsidRPr="00A2042C">
        <w:rPr>
          <w:rFonts w:ascii="Times New Roman" w:hAnsi="Times New Roman" w:cs="Times New Roman"/>
        </w:rPr>
        <w:t>22</w:t>
      </w:r>
      <w:r w:rsidR="00D54CD5" w:rsidRPr="00A2042C">
        <w:rPr>
          <w:rFonts w:ascii="Times New Roman" w:hAnsi="Times New Roman" w:cs="Times New Roman"/>
        </w:rPr>
        <w:t>.</w:t>
      </w:r>
      <w:r w:rsidR="006A4036" w:rsidRPr="00A2042C">
        <w:rPr>
          <w:rFonts w:ascii="Times New Roman" w:hAnsi="Times New Roman" w:cs="Times New Roman"/>
        </w:rPr>
        <w:t xml:space="preserve"> Disponível em: </w:t>
      </w:r>
      <w:hyperlink r:id="rId11" w:history="1">
        <w:r w:rsidR="00BE5233" w:rsidRPr="00A2042C">
          <w:rPr>
            <w:rStyle w:val="Hyperlink"/>
            <w:rFonts w:ascii="Times New Roman" w:hAnsi="Times New Roman" w:cs="Times New Roman"/>
          </w:rPr>
          <w:t>https://www.pge.ms.gov.br/wp-content/uploads/2022/12/Revista-PGE-18-completo.pdf</w:t>
        </w:r>
      </w:hyperlink>
      <w:r w:rsidR="00BE5233" w:rsidRPr="00A2042C">
        <w:rPr>
          <w:rFonts w:ascii="Times New Roman" w:hAnsi="Times New Roman" w:cs="Times New Roman"/>
        </w:rPr>
        <w:t>. Acesso em: 03 ago 2023.</w:t>
      </w:r>
    </w:p>
  </w:footnote>
  <w:footnote w:id="30">
    <w:p w14:paraId="507CA488" w14:textId="786EC5C2" w:rsidR="00107A9F" w:rsidRPr="00A2042C" w:rsidRDefault="00107A9F"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Disponível em: </w:t>
      </w:r>
      <w:hyperlink r:id="rId12" w:history="1">
        <w:r w:rsidR="007A6981" w:rsidRPr="00A2042C">
          <w:rPr>
            <w:rStyle w:val="Hyperlink"/>
            <w:rFonts w:ascii="Times New Roman" w:hAnsi="Times New Roman" w:cs="Times New Roman"/>
          </w:rPr>
          <w:t>https://www.insper.edu.br/wp-content/uploads/2021/03/Contencioso-administrativo-tribut%C3%A1rio-federal_Uma-an%C3%A1lise-comparativa-entre-Brasil-e-sete-pa%C3%ADses.pdf</w:t>
        </w:r>
      </w:hyperlink>
      <w:r w:rsidR="007A6981" w:rsidRPr="00A2042C">
        <w:rPr>
          <w:rFonts w:ascii="Times New Roman" w:hAnsi="Times New Roman" w:cs="Times New Roman"/>
        </w:rPr>
        <w:t>. Acesso em 03 ago. 2023.</w:t>
      </w:r>
    </w:p>
  </w:footnote>
  <w:footnote w:id="31">
    <w:p w14:paraId="00FA7809" w14:textId="55BEA33F" w:rsidR="008559A5" w:rsidRPr="00A2042C" w:rsidRDefault="008559A5"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2D362B" w:rsidRPr="00A2042C">
        <w:rPr>
          <w:rFonts w:ascii="Times New Roman" w:hAnsi="Times New Roman" w:cs="Times New Roman"/>
        </w:rPr>
        <w:t xml:space="preserve">CONSELHO NACIONAL DE JUSTIÇA. </w:t>
      </w:r>
      <w:r w:rsidR="002D362B" w:rsidRPr="00A2042C">
        <w:rPr>
          <w:rFonts w:ascii="Times New Roman" w:hAnsi="Times New Roman" w:cs="Times New Roman"/>
          <w:b/>
          <w:bCs/>
        </w:rPr>
        <w:t>Justiça em Números 2022</w:t>
      </w:r>
      <w:r w:rsidR="002D362B" w:rsidRPr="00A2042C">
        <w:rPr>
          <w:rFonts w:ascii="Times New Roman" w:hAnsi="Times New Roman" w:cs="Times New Roman"/>
        </w:rPr>
        <w:t xml:space="preserve"> / Conselho Nacional de Justiça. Brasília: CNJ, 2022</w:t>
      </w:r>
      <w:r w:rsidR="00CF615F" w:rsidRPr="00A2042C">
        <w:rPr>
          <w:rFonts w:ascii="Times New Roman" w:hAnsi="Times New Roman" w:cs="Times New Roman"/>
        </w:rPr>
        <w:t>.</w:t>
      </w:r>
    </w:p>
  </w:footnote>
  <w:footnote w:id="32">
    <w:p w14:paraId="5337DB10" w14:textId="520F907C" w:rsidR="0083367C" w:rsidRPr="00A2042C" w:rsidRDefault="0083367C"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Chama a atenção, ainda, que 68,9% dos processos pendentes de execução fiscal estão concentrados em varas exclusivas, que naturalmente possuem taxa de congestionamento semelhante (89,1%) ao índice geral (89,7%), o que revela que tal especialização ainda não foi capaz de contribuir com a melhoria deste preocupante congestionamento e sugerindo que medidas alternativas devem ser tomadas para a reversão do quadro.</w:t>
      </w:r>
    </w:p>
  </w:footnote>
  <w:footnote w:id="33">
    <w:p w14:paraId="41571BE9" w14:textId="41253D09" w:rsidR="00983E63" w:rsidRPr="00A2042C" w:rsidRDefault="00983E63"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602B32" w:rsidRPr="00A2042C">
        <w:rPr>
          <w:rFonts w:ascii="Times New Roman" w:hAnsi="Times New Roman" w:cs="Times New Roman"/>
        </w:rPr>
        <w:t xml:space="preserve">Conselho Nacional de Justiça; Instituto de Ensino e Pesquisa. </w:t>
      </w:r>
      <w:r w:rsidR="00602B32" w:rsidRPr="00A2042C">
        <w:rPr>
          <w:rFonts w:ascii="Times New Roman" w:hAnsi="Times New Roman" w:cs="Times New Roman"/>
          <w:b/>
          <w:bCs/>
        </w:rPr>
        <w:t>Diagnóstico do contencioso judicial tributário brasileiro: relatório final de pesquisa.</w:t>
      </w:r>
      <w:r w:rsidR="00602B32" w:rsidRPr="00A2042C">
        <w:rPr>
          <w:rFonts w:ascii="Times New Roman" w:hAnsi="Times New Roman" w:cs="Times New Roman"/>
        </w:rPr>
        <w:t xml:space="preserve"> Brasília: CNJ, 2022.</w:t>
      </w:r>
    </w:p>
  </w:footnote>
  <w:footnote w:id="34">
    <w:p w14:paraId="3F85992A" w14:textId="45486CE3" w:rsidR="00EA0AB0" w:rsidRPr="00A2042C" w:rsidRDefault="00EA0AB0"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570440" w:rsidRPr="00A2042C">
        <w:rPr>
          <w:rFonts w:ascii="Times New Roman" w:hAnsi="Times New Roman" w:cs="Times New Roman"/>
        </w:rPr>
        <w:t xml:space="preserve">Disponível em: </w:t>
      </w:r>
      <w:hyperlink r:id="rId13" w:history="1">
        <w:r w:rsidR="00570440" w:rsidRPr="00A2042C">
          <w:rPr>
            <w:rStyle w:val="Hyperlink"/>
            <w:rFonts w:ascii="Times New Roman" w:hAnsi="Times New Roman" w:cs="Times New Roman"/>
          </w:rPr>
          <w:t>https://grandes-litigantes.stg.cloud.cnj.jus.br/</w:t>
        </w:r>
      </w:hyperlink>
      <w:r w:rsidR="00570440" w:rsidRPr="00A2042C">
        <w:rPr>
          <w:rFonts w:ascii="Times New Roman" w:hAnsi="Times New Roman" w:cs="Times New Roman"/>
        </w:rPr>
        <w:t>. Acesso em 25 jul. 2023.</w:t>
      </w:r>
    </w:p>
  </w:footnote>
  <w:footnote w:id="35">
    <w:p w14:paraId="37446E14" w14:textId="2DB79414" w:rsidR="007D5AEC" w:rsidRPr="00A2042C" w:rsidRDefault="007D5AEC"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0052756D" w:rsidRPr="00A2042C">
        <w:rPr>
          <w:rFonts w:ascii="Times New Roman" w:hAnsi="Times New Roman" w:cs="Times New Roman"/>
        </w:rPr>
        <w:t xml:space="preserve"> MANCUSO, Rodolfo de Camargo. </w:t>
      </w:r>
      <w:r w:rsidR="0052756D" w:rsidRPr="00A2042C">
        <w:rPr>
          <w:rFonts w:ascii="Times New Roman" w:hAnsi="Times New Roman" w:cs="Times New Roman"/>
          <w:b/>
          <w:bCs/>
        </w:rPr>
        <w:t xml:space="preserve">A Resolução dos Conflitos e a Função Judicial no Contemporâneo Estado de Direito. </w:t>
      </w:r>
      <w:r w:rsidR="0052756D" w:rsidRPr="00A2042C">
        <w:rPr>
          <w:rFonts w:ascii="Times New Roman" w:hAnsi="Times New Roman" w:cs="Times New Roman"/>
        </w:rPr>
        <w:t>3ª ed.</w:t>
      </w:r>
      <w:r w:rsidR="0052756D" w:rsidRPr="00A2042C">
        <w:rPr>
          <w:rFonts w:ascii="Times New Roman" w:hAnsi="Times New Roman" w:cs="Times New Roman"/>
          <w:b/>
          <w:bCs/>
        </w:rPr>
        <w:t xml:space="preserve"> </w:t>
      </w:r>
      <w:r w:rsidR="0052756D" w:rsidRPr="00A2042C">
        <w:rPr>
          <w:rFonts w:ascii="Times New Roman" w:hAnsi="Times New Roman" w:cs="Times New Roman"/>
        </w:rPr>
        <w:t>Salvador: JusPodivm, 2020.</w:t>
      </w:r>
      <w:r w:rsidRPr="00A2042C">
        <w:rPr>
          <w:rFonts w:ascii="Times New Roman" w:hAnsi="Times New Roman" w:cs="Times New Roman"/>
          <w:b/>
          <w:bCs/>
        </w:rPr>
        <w:t xml:space="preserve"> </w:t>
      </w:r>
      <w:r w:rsidR="0052756D" w:rsidRPr="00A2042C">
        <w:rPr>
          <w:rFonts w:ascii="Times New Roman" w:hAnsi="Times New Roman" w:cs="Times New Roman"/>
        </w:rPr>
        <w:t>p</w:t>
      </w:r>
      <w:r w:rsidR="00555B4C" w:rsidRPr="00A2042C">
        <w:rPr>
          <w:rFonts w:ascii="Times New Roman" w:hAnsi="Times New Roman" w:cs="Times New Roman"/>
        </w:rPr>
        <w:t>.</w:t>
      </w:r>
      <w:r w:rsidRPr="00A2042C">
        <w:rPr>
          <w:rFonts w:ascii="Times New Roman" w:hAnsi="Times New Roman" w:cs="Times New Roman"/>
        </w:rPr>
        <w:t xml:space="preserve"> 20.</w:t>
      </w:r>
    </w:p>
  </w:footnote>
  <w:footnote w:id="36">
    <w:p w14:paraId="51213B23" w14:textId="4C4A4B5A" w:rsidR="00B14CEA" w:rsidRPr="00A2042C" w:rsidRDefault="00B14CEA"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bookmarkStart w:id="6" w:name="_Hlk103007065"/>
      <w:bookmarkStart w:id="7" w:name="_Hlk103013361"/>
      <w:r w:rsidR="00E4782F" w:rsidRPr="00A2042C">
        <w:rPr>
          <w:rFonts w:ascii="Times New Roman" w:hAnsi="Times New Roman" w:cs="Times New Roman"/>
        </w:rPr>
        <w:t xml:space="preserve">Justiça coexistencial seria aquela “promovida num processo tendencialmente não adversarial, ambiente no qual a lide passa a ser vista não como um mal a ser eliminado, drasticamente, mas como a oportunidade para o manejo adequado da crise emergente, em ordem a uma possível composição justa”. </w:t>
      </w:r>
      <w:r w:rsidR="001819A0" w:rsidRPr="00A2042C">
        <w:rPr>
          <w:rFonts w:ascii="Times New Roman" w:hAnsi="Times New Roman" w:cs="Times New Roman"/>
        </w:rPr>
        <w:t>Ibid.,</w:t>
      </w:r>
      <w:bookmarkEnd w:id="6"/>
      <w:r w:rsidR="00E4782F" w:rsidRPr="00A2042C">
        <w:rPr>
          <w:rFonts w:ascii="Times New Roman" w:hAnsi="Times New Roman" w:cs="Times New Roman"/>
        </w:rPr>
        <w:t xml:space="preserve"> </w:t>
      </w:r>
      <w:bookmarkEnd w:id="7"/>
      <w:r w:rsidR="00E4782F" w:rsidRPr="00A2042C">
        <w:rPr>
          <w:rFonts w:ascii="Times New Roman" w:hAnsi="Times New Roman" w:cs="Times New Roman"/>
        </w:rPr>
        <w:t>p.22</w:t>
      </w:r>
    </w:p>
  </w:footnote>
  <w:footnote w:id="37">
    <w:p w14:paraId="388F16BE" w14:textId="337E16EA" w:rsidR="00B14CEA" w:rsidRPr="00A2042C" w:rsidRDefault="00B14CEA"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0C6D5F" w:rsidRPr="00A2042C">
        <w:rPr>
          <w:rFonts w:ascii="Times New Roman" w:hAnsi="Times New Roman" w:cs="Times New Roman"/>
        </w:rPr>
        <w:t xml:space="preserve">GRINOVER, Ada Pellegrini. </w:t>
      </w:r>
      <w:r w:rsidR="000C6D5F" w:rsidRPr="00A2042C">
        <w:rPr>
          <w:rFonts w:ascii="Times New Roman" w:hAnsi="Times New Roman" w:cs="Times New Roman"/>
          <w:b/>
          <w:bCs/>
        </w:rPr>
        <w:t>A inafastabilidade do controle jurisdicional e uma nova modalidade de autotutela (parágrafos únicos dos artigos 249 e 251 do Código Civil).</w:t>
      </w:r>
      <w:r w:rsidR="000C6D5F" w:rsidRPr="00A2042C">
        <w:rPr>
          <w:rFonts w:ascii="Times New Roman" w:hAnsi="Times New Roman" w:cs="Times New Roman"/>
        </w:rPr>
        <w:t xml:space="preserve"> Revista Brasileira de Direito Constitucional, n. RBDC n. 10 – jul./dez. 2007, 2007. Disponível em: http://www.esdc.com.br/RBDC/RBDC-10/RBDC-10-013-Ada_Pellegrini_Grinover.pdf. Acesso em: 27 abr. 2022.</w:t>
      </w:r>
    </w:p>
  </w:footnote>
  <w:footnote w:id="38">
    <w:p w14:paraId="62E68796" w14:textId="343056F7" w:rsidR="00DD66F4" w:rsidRPr="00A2042C" w:rsidRDefault="00DD66F4"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1548B8" w:rsidRPr="00A2042C">
        <w:rPr>
          <w:rFonts w:ascii="Times New Roman" w:hAnsi="Times New Roman" w:cs="Times New Roman"/>
        </w:rPr>
        <w:t xml:space="preserve">MANCUSO, Rodolfo de Camargo. </w:t>
      </w:r>
      <w:r w:rsidR="001548B8" w:rsidRPr="00A2042C">
        <w:rPr>
          <w:rFonts w:ascii="Times New Roman" w:hAnsi="Times New Roman" w:cs="Times New Roman"/>
          <w:b/>
          <w:bCs/>
        </w:rPr>
        <w:t xml:space="preserve">A Resolução dos Conflitos e a Função Judicial no Contemporâneo Estado de Direito. </w:t>
      </w:r>
      <w:r w:rsidR="001548B8" w:rsidRPr="00A2042C">
        <w:rPr>
          <w:rFonts w:ascii="Times New Roman" w:hAnsi="Times New Roman" w:cs="Times New Roman"/>
        </w:rPr>
        <w:t>3ª ed.</w:t>
      </w:r>
      <w:r w:rsidR="001548B8" w:rsidRPr="00A2042C">
        <w:rPr>
          <w:rFonts w:ascii="Times New Roman" w:hAnsi="Times New Roman" w:cs="Times New Roman"/>
          <w:b/>
          <w:bCs/>
        </w:rPr>
        <w:t xml:space="preserve"> </w:t>
      </w:r>
      <w:r w:rsidR="001548B8" w:rsidRPr="00A2042C">
        <w:rPr>
          <w:rFonts w:ascii="Times New Roman" w:hAnsi="Times New Roman" w:cs="Times New Roman"/>
        </w:rPr>
        <w:t>Salvador: JusPodivm, 2020.</w:t>
      </w:r>
      <w:r w:rsidR="001548B8" w:rsidRPr="00A2042C">
        <w:rPr>
          <w:rFonts w:ascii="Times New Roman" w:hAnsi="Times New Roman" w:cs="Times New Roman"/>
          <w:b/>
          <w:bCs/>
        </w:rPr>
        <w:t xml:space="preserve"> </w:t>
      </w:r>
      <w:r w:rsidR="001548B8" w:rsidRPr="00A2042C">
        <w:rPr>
          <w:rFonts w:ascii="Times New Roman" w:hAnsi="Times New Roman" w:cs="Times New Roman"/>
        </w:rPr>
        <w:t>p. 20</w:t>
      </w:r>
      <w:r w:rsidR="0054024C" w:rsidRPr="00A2042C">
        <w:rPr>
          <w:rFonts w:ascii="Times New Roman" w:hAnsi="Times New Roman" w:cs="Times New Roman"/>
        </w:rPr>
        <w:t>.</w:t>
      </w:r>
    </w:p>
  </w:footnote>
  <w:footnote w:id="39">
    <w:p w14:paraId="14605E8E" w14:textId="79E5962C" w:rsidR="00531264" w:rsidRPr="00A2042C" w:rsidRDefault="00531264"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No </w:t>
      </w:r>
      <w:r w:rsidR="00A96DB5" w:rsidRPr="00A2042C">
        <w:rPr>
          <w:rFonts w:ascii="Times New Roman" w:hAnsi="Times New Roman" w:cs="Times New Roman"/>
        </w:rPr>
        <w:t xml:space="preserve">documento </w:t>
      </w:r>
      <w:r w:rsidRPr="00A2042C">
        <w:rPr>
          <w:rFonts w:ascii="Times New Roman" w:hAnsi="Times New Roman" w:cs="Times New Roman"/>
        </w:rPr>
        <w:t xml:space="preserve">“Diagnóstico do Contencioso Tributário”, uma das recomendações ao Poder Executivo é </w:t>
      </w:r>
      <w:r w:rsidR="00BC60BC" w:rsidRPr="00A2042C">
        <w:rPr>
          <w:rFonts w:ascii="Times New Roman" w:hAnsi="Times New Roman" w:cs="Times New Roman"/>
        </w:rPr>
        <w:t>a de</w:t>
      </w:r>
      <w:r w:rsidRPr="00A2042C">
        <w:rPr>
          <w:rFonts w:ascii="Times New Roman" w:hAnsi="Times New Roman" w:cs="Times New Roman"/>
        </w:rPr>
        <w:t xml:space="preserve"> que “</w:t>
      </w:r>
      <w:r w:rsidR="00BC60BC" w:rsidRPr="00A2042C">
        <w:rPr>
          <w:rFonts w:ascii="Times New Roman" w:hAnsi="Times New Roman" w:cs="Times New Roman"/>
        </w:rPr>
        <w:t>Diante da constatação de que há milhares de processos de execução fiscal cujo valor cobrado é bastante reduzido, deve ser proposta alteração para fixação, em lei nacional, de obrigatoriedade de observância de regra de ajuizamento seletivo, estabelecendo critérios objetivos relacionados à recuperabilidade do crédito, evitando-se que o processo custe mais do que o crédito exigido”.</w:t>
      </w:r>
    </w:p>
  </w:footnote>
  <w:footnote w:id="40">
    <w:p w14:paraId="2EE1999B" w14:textId="25C52B98" w:rsidR="006472DB" w:rsidRPr="00A2042C" w:rsidRDefault="006472D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8551B3" w:rsidRPr="00A2042C">
        <w:rPr>
          <w:rFonts w:ascii="Times New Roman" w:hAnsi="Times New Roman" w:cs="Times New Roman"/>
        </w:rPr>
        <w:t xml:space="preserve">CONSELHO NACIONAL DE JUSTIÇA. </w:t>
      </w:r>
      <w:r w:rsidR="008551B3" w:rsidRPr="00A2042C">
        <w:rPr>
          <w:rFonts w:ascii="Times New Roman" w:hAnsi="Times New Roman" w:cs="Times New Roman"/>
          <w:b/>
          <w:bCs/>
        </w:rPr>
        <w:t>Justiça em Números 2022</w:t>
      </w:r>
      <w:r w:rsidR="008551B3" w:rsidRPr="00A2042C">
        <w:rPr>
          <w:rFonts w:ascii="Times New Roman" w:hAnsi="Times New Roman" w:cs="Times New Roman"/>
        </w:rPr>
        <w:t xml:space="preserve"> / Conselho Nacional de Justiça. Brasília: CNJ, 2022. </w:t>
      </w:r>
      <w:r w:rsidR="001548B8" w:rsidRPr="00A2042C">
        <w:rPr>
          <w:rFonts w:ascii="Times New Roman" w:hAnsi="Times New Roman" w:cs="Times New Roman"/>
        </w:rPr>
        <w:t>p.</w:t>
      </w:r>
      <w:r w:rsidR="00EA182C" w:rsidRPr="00A2042C">
        <w:rPr>
          <w:rFonts w:ascii="Times New Roman" w:hAnsi="Times New Roman" w:cs="Times New Roman"/>
        </w:rPr>
        <w:t xml:space="preserve"> 170.</w:t>
      </w:r>
    </w:p>
  </w:footnote>
  <w:footnote w:id="41">
    <w:p w14:paraId="1A405683" w14:textId="7D917B22" w:rsidR="0034449B" w:rsidRPr="00A2042C" w:rsidRDefault="0034449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287A9A" w:rsidRPr="00A2042C">
        <w:rPr>
          <w:rFonts w:ascii="Times New Roman" w:hAnsi="Times New Roman" w:cs="Times New Roman"/>
        </w:rPr>
        <w:t xml:space="preserve">Mencionamos os programas </w:t>
      </w:r>
      <w:r w:rsidR="006B55F5" w:rsidRPr="00A2042C">
        <w:rPr>
          <w:rFonts w:ascii="Times New Roman" w:hAnsi="Times New Roman" w:cs="Times New Roman"/>
        </w:rPr>
        <w:t>“</w:t>
      </w:r>
      <w:r w:rsidRPr="00A2042C">
        <w:rPr>
          <w:rFonts w:ascii="Times New Roman" w:hAnsi="Times New Roman" w:cs="Times New Roman"/>
        </w:rPr>
        <w:t>Nos Conformes</w:t>
      </w:r>
      <w:r w:rsidR="006B55F5" w:rsidRPr="00A2042C">
        <w:rPr>
          <w:rFonts w:ascii="Times New Roman" w:hAnsi="Times New Roman" w:cs="Times New Roman"/>
        </w:rPr>
        <w:t>”</w:t>
      </w:r>
      <w:r w:rsidRPr="00A2042C">
        <w:rPr>
          <w:rFonts w:ascii="Times New Roman" w:hAnsi="Times New Roman" w:cs="Times New Roman"/>
        </w:rPr>
        <w:t xml:space="preserve">, </w:t>
      </w:r>
      <w:r w:rsidR="006B55F5" w:rsidRPr="00A2042C">
        <w:rPr>
          <w:rFonts w:ascii="Times New Roman" w:hAnsi="Times New Roman" w:cs="Times New Roman"/>
        </w:rPr>
        <w:t xml:space="preserve">em </w:t>
      </w:r>
      <w:r w:rsidRPr="00A2042C">
        <w:rPr>
          <w:rFonts w:ascii="Times New Roman" w:hAnsi="Times New Roman" w:cs="Times New Roman"/>
        </w:rPr>
        <w:t>S</w:t>
      </w:r>
      <w:r w:rsidR="006B55F5" w:rsidRPr="00A2042C">
        <w:rPr>
          <w:rFonts w:ascii="Times New Roman" w:hAnsi="Times New Roman" w:cs="Times New Roman"/>
        </w:rPr>
        <w:t xml:space="preserve">ão </w:t>
      </w:r>
      <w:r w:rsidRPr="00A2042C">
        <w:rPr>
          <w:rFonts w:ascii="Times New Roman" w:hAnsi="Times New Roman" w:cs="Times New Roman"/>
        </w:rPr>
        <w:t>P</w:t>
      </w:r>
      <w:r w:rsidR="006B55F5" w:rsidRPr="00A2042C">
        <w:rPr>
          <w:rFonts w:ascii="Times New Roman" w:hAnsi="Times New Roman" w:cs="Times New Roman"/>
        </w:rPr>
        <w:t xml:space="preserve">aulo. Disponível em: </w:t>
      </w:r>
      <w:hyperlink r:id="rId14" w:history="1">
        <w:r w:rsidR="0097589C" w:rsidRPr="00A2042C">
          <w:rPr>
            <w:rStyle w:val="Hyperlink"/>
            <w:rFonts w:ascii="Times New Roman" w:hAnsi="Times New Roman" w:cs="Times New Roman"/>
          </w:rPr>
          <w:t>https://portal.fazenda.sp.gov.br/servicos/nosconformes</w:t>
        </w:r>
      </w:hyperlink>
      <w:r w:rsidR="0097589C" w:rsidRPr="00A2042C">
        <w:rPr>
          <w:rFonts w:ascii="Times New Roman" w:hAnsi="Times New Roman" w:cs="Times New Roman"/>
        </w:rPr>
        <w:t>. Acesso em 03 ago. 2023</w:t>
      </w:r>
      <w:r w:rsidRPr="00A2042C">
        <w:rPr>
          <w:rFonts w:ascii="Times New Roman" w:hAnsi="Times New Roman" w:cs="Times New Roman"/>
        </w:rPr>
        <w:t xml:space="preserve">; </w:t>
      </w:r>
      <w:r w:rsidR="009E2F6B" w:rsidRPr="00A2042C">
        <w:rPr>
          <w:rFonts w:ascii="Times New Roman" w:hAnsi="Times New Roman" w:cs="Times New Roman"/>
        </w:rPr>
        <w:t xml:space="preserve">“Contribuinte Arretado”, em </w:t>
      </w:r>
      <w:r w:rsidRPr="00A2042C">
        <w:rPr>
          <w:rFonts w:ascii="Times New Roman" w:hAnsi="Times New Roman" w:cs="Times New Roman"/>
        </w:rPr>
        <w:t>Alagoas</w:t>
      </w:r>
      <w:r w:rsidR="009E2F6B" w:rsidRPr="00A2042C">
        <w:rPr>
          <w:rFonts w:ascii="Times New Roman" w:hAnsi="Times New Roman" w:cs="Times New Roman"/>
        </w:rPr>
        <w:t xml:space="preserve">. Disponível em: </w:t>
      </w:r>
      <w:hyperlink r:id="rId15" w:history="1">
        <w:r w:rsidR="009E2F6B" w:rsidRPr="00A2042C">
          <w:rPr>
            <w:rStyle w:val="Hyperlink"/>
            <w:rFonts w:ascii="Times New Roman" w:hAnsi="Times New Roman" w:cs="Times New Roman"/>
          </w:rPr>
          <w:t>http://www.sefaz.al.gov.br/contribuinte-arretado</w:t>
        </w:r>
      </w:hyperlink>
      <w:r w:rsidR="009E2F6B" w:rsidRPr="00A2042C">
        <w:rPr>
          <w:rFonts w:ascii="Times New Roman" w:hAnsi="Times New Roman" w:cs="Times New Roman"/>
        </w:rPr>
        <w:t>. Acesso em: 03 ago. 2023</w:t>
      </w:r>
      <w:r w:rsidRPr="00A2042C">
        <w:rPr>
          <w:rFonts w:ascii="Times New Roman" w:hAnsi="Times New Roman" w:cs="Times New Roman"/>
        </w:rPr>
        <w:t xml:space="preserve">; </w:t>
      </w:r>
      <w:r w:rsidR="00C65907" w:rsidRPr="00A2042C">
        <w:rPr>
          <w:rFonts w:ascii="Times New Roman" w:hAnsi="Times New Roman" w:cs="Times New Roman"/>
        </w:rPr>
        <w:t xml:space="preserve">e </w:t>
      </w:r>
      <w:r w:rsidR="00FD5777" w:rsidRPr="00A2042C">
        <w:rPr>
          <w:rFonts w:ascii="Times New Roman" w:hAnsi="Times New Roman" w:cs="Times New Roman"/>
        </w:rPr>
        <w:t>“</w:t>
      </w:r>
      <w:r w:rsidR="002462B7" w:rsidRPr="00A2042C">
        <w:rPr>
          <w:rFonts w:ascii="Times New Roman" w:hAnsi="Times New Roman" w:cs="Times New Roman"/>
        </w:rPr>
        <w:t>Contribuinte Pai´Dégua</w:t>
      </w:r>
      <w:r w:rsidR="00FD5777" w:rsidRPr="00A2042C">
        <w:rPr>
          <w:rFonts w:ascii="Times New Roman" w:hAnsi="Times New Roman" w:cs="Times New Roman"/>
        </w:rPr>
        <w:t>”</w:t>
      </w:r>
      <w:r w:rsidR="00BE2647" w:rsidRPr="00A2042C">
        <w:rPr>
          <w:rFonts w:ascii="Times New Roman" w:hAnsi="Times New Roman" w:cs="Times New Roman"/>
        </w:rPr>
        <w:t xml:space="preserve">, no Ceará. Disponível em: </w:t>
      </w:r>
      <w:hyperlink r:id="rId16" w:history="1">
        <w:r w:rsidR="00BE2647" w:rsidRPr="00A2042C">
          <w:rPr>
            <w:rStyle w:val="Hyperlink"/>
            <w:rFonts w:ascii="Times New Roman" w:hAnsi="Times New Roman" w:cs="Times New Roman"/>
          </w:rPr>
          <w:t>https://www.sefaz.ce.gov.br/pai-degua/</w:t>
        </w:r>
      </w:hyperlink>
      <w:r w:rsidR="00BE2647" w:rsidRPr="00A2042C">
        <w:rPr>
          <w:rFonts w:ascii="Times New Roman" w:hAnsi="Times New Roman" w:cs="Times New Roman"/>
        </w:rPr>
        <w:t>. Acesso em: 03 ago. 2023</w:t>
      </w:r>
      <w:r w:rsidR="00F216B0" w:rsidRPr="00A2042C">
        <w:rPr>
          <w:rFonts w:ascii="Times New Roman" w:hAnsi="Times New Roman" w:cs="Times New Roman"/>
        </w:rPr>
        <w:t>.</w:t>
      </w:r>
    </w:p>
  </w:footnote>
  <w:footnote w:id="42">
    <w:p w14:paraId="7760196D" w14:textId="104D1562" w:rsidR="00635831" w:rsidRPr="00A2042C" w:rsidRDefault="00635831"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Conselho Nacional de Justiça; Instituto de Ensino e Pesquisa. </w:t>
      </w:r>
      <w:r w:rsidRPr="00A2042C">
        <w:rPr>
          <w:rFonts w:ascii="Times New Roman" w:hAnsi="Times New Roman" w:cs="Times New Roman"/>
          <w:b/>
          <w:bCs/>
        </w:rPr>
        <w:t>Diagnóstico do contencioso judicial tributário brasileiro: relatório final de pesquisa.</w:t>
      </w:r>
      <w:r w:rsidRPr="00A2042C">
        <w:rPr>
          <w:rFonts w:ascii="Times New Roman" w:hAnsi="Times New Roman" w:cs="Times New Roman"/>
        </w:rPr>
        <w:t xml:space="preserve"> Brasília: CNJ, 2022.</w:t>
      </w:r>
    </w:p>
  </w:footnote>
  <w:footnote w:id="43">
    <w:p w14:paraId="31630D30" w14:textId="4D9DBD2B" w:rsidR="00D6736E" w:rsidRPr="00A2042C" w:rsidRDefault="00D6736E"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C47116" w:rsidRPr="00A2042C">
        <w:rPr>
          <w:rFonts w:ascii="Times New Roman" w:hAnsi="Times New Roman" w:cs="Times New Roman"/>
        </w:rPr>
        <w:t xml:space="preserve">Relatório Disponível em: </w:t>
      </w:r>
      <w:hyperlink r:id="rId17" w:history="1">
        <w:r w:rsidR="00C65907" w:rsidRPr="00A2042C">
          <w:rPr>
            <w:rStyle w:val="Hyperlink"/>
            <w:rFonts w:ascii="Times New Roman" w:hAnsi="Times New Roman" w:cs="Times New Roman"/>
          </w:rPr>
          <w:t>https://legis.senado.leg.br/sdleg-getter/documento?dm=9198204&amp;ts=1662471328151&amp;disposition=inline</w:t>
        </w:r>
      </w:hyperlink>
      <w:r w:rsidR="00C47116" w:rsidRPr="00A2042C">
        <w:rPr>
          <w:rFonts w:ascii="Times New Roman" w:hAnsi="Times New Roman" w:cs="Times New Roman"/>
        </w:rPr>
        <w:t>.</w:t>
      </w:r>
      <w:r w:rsidR="00C65907" w:rsidRPr="00A2042C">
        <w:rPr>
          <w:rFonts w:ascii="Times New Roman" w:hAnsi="Times New Roman" w:cs="Times New Roman"/>
        </w:rPr>
        <w:t xml:space="preserve"> </w:t>
      </w:r>
      <w:r w:rsidR="00C47116" w:rsidRPr="00A2042C">
        <w:rPr>
          <w:rFonts w:ascii="Times New Roman" w:hAnsi="Times New Roman" w:cs="Times New Roman"/>
        </w:rPr>
        <w:t xml:space="preserve">Acesso em: 15 set. 2022. </w:t>
      </w:r>
    </w:p>
  </w:footnote>
  <w:footnote w:id="44">
    <w:p w14:paraId="751E1999" w14:textId="3D97E0BD" w:rsidR="000E72B0" w:rsidRPr="00A2042C" w:rsidRDefault="007A34F7"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1025DA" w:rsidRPr="00A2042C">
        <w:rPr>
          <w:rFonts w:ascii="Times New Roman" w:hAnsi="Times New Roman" w:cs="Times New Roman"/>
        </w:rPr>
        <w:t>Por meio da Lei nº 8.532/17,</w:t>
      </w:r>
      <w:r w:rsidR="00C666F4" w:rsidRPr="00A2042C">
        <w:rPr>
          <w:rFonts w:ascii="Times New Roman" w:hAnsi="Times New Roman" w:cs="Times New Roman"/>
        </w:rPr>
        <w:t xml:space="preserve"> o referido município</w:t>
      </w:r>
      <w:r w:rsidR="001025DA" w:rsidRPr="00A2042C">
        <w:rPr>
          <w:rFonts w:ascii="Times New Roman" w:hAnsi="Times New Roman" w:cs="Times New Roman"/>
        </w:rPr>
        <w:t xml:space="preserve"> regulamentou a transação tributária, antes mesmo da iniciativa federal, destacando-se a previsão de uma “Câmara de transação”, o alto grau de diálogo e participação do contribuinte e o estabelecimento de requisitos que formam uma “pontuação”, que indica o percentual de desconto na respectiva negociação, o que rendeu </w:t>
      </w:r>
      <w:r w:rsidR="00DD2BA5" w:rsidRPr="00A2042C">
        <w:rPr>
          <w:rFonts w:ascii="Times New Roman" w:hAnsi="Times New Roman" w:cs="Times New Roman"/>
        </w:rPr>
        <w:t>o</w:t>
      </w:r>
      <w:r w:rsidR="00A51ECC" w:rsidRPr="00A2042C">
        <w:rPr>
          <w:rFonts w:ascii="Times New Roman" w:hAnsi="Times New Roman" w:cs="Times New Roman"/>
        </w:rPr>
        <w:t xml:space="preserve"> primeiro lugar da 17ª edição do Prêmio Innovare (2020). Conferir em: </w:t>
      </w:r>
      <w:hyperlink r:id="rId18" w:history="1">
        <w:r w:rsidR="00A51ECC" w:rsidRPr="00A2042C">
          <w:rPr>
            <w:rStyle w:val="Hyperlink"/>
            <w:rFonts w:ascii="Times New Roman" w:hAnsi="Times New Roman" w:cs="Times New Roman"/>
          </w:rPr>
          <w:t>https://www.furb.br/web/1704/noticias/projeto-em-parceria-com-npj-conquista-premio-nacional/8494</w:t>
        </w:r>
      </w:hyperlink>
      <w:r w:rsidR="00A51ECC" w:rsidRPr="00A2042C">
        <w:rPr>
          <w:rFonts w:ascii="Times New Roman" w:hAnsi="Times New Roman" w:cs="Times New Roman"/>
        </w:rPr>
        <w:t>.</w:t>
      </w:r>
    </w:p>
  </w:footnote>
  <w:footnote w:id="45">
    <w:p w14:paraId="72A15F29" w14:textId="794A54C2" w:rsidR="0004435A" w:rsidRPr="00A2042C" w:rsidRDefault="0004435A"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Projeto de Pesquisa: Observatório de Transações Tributárias 4º Relatório, data-base 01.07.2022</w:t>
      </w:r>
      <w:r w:rsidR="00383856" w:rsidRPr="00A2042C">
        <w:rPr>
          <w:rFonts w:ascii="Times New Roman" w:hAnsi="Times New Roman" w:cs="Times New Roman"/>
        </w:rPr>
        <w:t xml:space="preserve">. </w:t>
      </w:r>
      <w:r w:rsidR="007C2B5C" w:rsidRPr="00A2042C">
        <w:rPr>
          <w:rFonts w:ascii="Times New Roman" w:hAnsi="Times New Roman" w:cs="Times New Roman"/>
        </w:rPr>
        <w:t xml:space="preserve">Disponível em: </w:t>
      </w:r>
      <w:r w:rsidR="00DC615C" w:rsidRPr="00A2042C">
        <w:rPr>
          <w:rFonts w:ascii="Times New Roman" w:hAnsi="Times New Roman" w:cs="Times New Roman"/>
        </w:rPr>
        <w:t>insper.edu.br/wp-content/uploads/2023/02/Insper_Nucleo-Tributacao_Observatorio-transacao-Tributaria_Relatorio.pdf</w:t>
      </w:r>
      <w:r w:rsidR="007C2B5C" w:rsidRPr="00A2042C">
        <w:rPr>
          <w:rFonts w:ascii="Times New Roman" w:hAnsi="Times New Roman" w:cs="Times New Roman"/>
        </w:rPr>
        <w:t xml:space="preserve">. </w:t>
      </w:r>
      <w:r w:rsidR="00DC615C" w:rsidRPr="00A2042C">
        <w:rPr>
          <w:rFonts w:ascii="Times New Roman" w:hAnsi="Times New Roman" w:cs="Times New Roman"/>
        </w:rPr>
        <w:t xml:space="preserve"> </w:t>
      </w:r>
      <w:r w:rsidR="007C2B5C" w:rsidRPr="00A2042C">
        <w:rPr>
          <w:rFonts w:ascii="Times New Roman" w:hAnsi="Times New Roman" w:cs="Times New Roman"/>
        </w:rPr>
        <w:t>Acesso em</w:t>
      </w:r>
      <w:r w:rsidR="0036332B" w:rsidRPr="00A2042C">
        <w:rPr>
          <w:rFonts w:ascii="Times New Roman" w:hAnsi="Times New Roman" w:cs="Times New Roman"/>
        </w:rPr>
        <w:t>:</w:t>
      </w:r>
      <w:r w:rsidR="007C2B5C" w:rsidRPr="00A2042C">
        <w:rPr>
          <w:rFonts w:ascii="Times New Roman" w:hAnsi="Times New Roman" w:cs="Times New Roman"/>
        </w:rPr>
        <w:t xml:space="preserve"> </w:t>
      </w:r>
      <w:r w:rsidR="006B06BB" w:rsidRPr="00A2042C">
        <w:rPr>
          <w:rFonts w:ascii="Times New Roman" w:hAnsi="Times New Roman" w:cs="Times New Roman"/>
        </w:rPr>
        <w:t>20 jul. 2023.</w:t>
      </w:r>
    </w:p>
  </w:footnote>
  <w:footnote w:id="46">
    <w:p w14:paraId="71238CAD" w14:textId="7C2D3D0B" w:rsidR="001B2A22" w:rsidRPr="00A2042C" w:rsidRDefault="001B2A2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Os números impressionam, já que, somente com a transação por adesão se verifica uma arrecadação de quase R$ 14 bilhões até data-base da última pesquisa divulgada, que também identificou uma crescente na quantidade de transações individuais celebradas.</w:t>
      </w:r>
    </w:p>
  </w:footnote>
  <w:footnote w:id="47">
    <w:p w14:paraId="003F23ED" w14:textId="73DDB9AA" w:rsidR="00103772" w:rsidRPr="00A2042C" w:rsidRDefault="0010377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Ceará, Maranhão, Pará, Paraíba</w:t>
      </w:r>
      <w:r w:rsidR="007D6300" w:rsidRPr="00A2042C">
        <w:rPr>
          <w:rFonts w:ascii="Times New Roman" w:hAnsi="Times New Roman" w:cs="Times New Roman"/>
        </w:rPr>
        <w:t>, Pernambuco, São Paulo e Sergipe.</w:t>
      </w:r>
    </w:p>
  </w:footnote>
  <w:footnote w:id="48">
    <w:p w14:paraId="5AF6FA6E" w14:textId="567492DE" w:rsidR="00B10381" w:rsidRPr="00A2042C" w:rsidRDefault="00B10381"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A46048" w:rsidRPr="00A2042C">
        <w:rPr>
          <w:rFonts w:ascii="Times New Roman" w:hAnsi="Times New Roman" w:cs="Times New Roman"/>
        </w:rPr>
        <w:t xml:space="preserve">Neste sentido: </w:t>
      </w:r>
      <w:r w:rsidR="001D4913" w:rsidRPr="00A2042C">
        <w:rPr>
          <w:rFonts w:ascii="Times New Roman" w:hAnsi="Times New Roman" w:cs="Times New Roman"/>
        </w:rPr>
        <w:t>MASCITTO</w:t>
      </w:r>
      <w:r w:rsidR="00A46048" w:rsidRPr="00A2042C">
        <w:rPr>
          <w:rFonts w:ascii="Times New Roman" w:hAnsi="Times New Roman" w:cs="Times New Roman"/>
        </w:rPr>
        <w:t>,</w:t>
      </w:r>
      <w:r w:rsidR="001D4913" w:rsidRPr="00A2042C">
        <w:rPr>
          <w:rFonts w:ascii="Times New Roman" w:hAnsi="Times New Roman" w:cs="Times New Roman"/>
        </w:rPr>
        <w:t xml:space="preserve"> Andrea</w:t>
      </w:r>
      <w:r w:rsidR="00A46048" w:rsidRPr="00A2042C">
        <w:rPr>
          <w:rFonts w:ascii="Times New Roman" w:hAnsi="Times New Roman" w:cs="Times New Roman"/>
        </w:rPr>
        <w:t>.</w:t>
      </w:r>
      <w:r w:rsidR="001D4913" w:rsidRPr="00A2042C">
        <w:rPr>
          <w:rFonts w:ascii="Times New Roman" w:hAnsi="Times New Roman" w:cs="Times New Roman"/>
        </w:rPr>
        <w:t xml:space="preserve"> </w:t>
      </w:r>
      <w:r w:rsidR="001D4913" w:rsidRPr="00A2042C">
        <w:rPr>
          <w:rFonts w:ascii="Times New Roman" w:hAnsi="Times New Roman" w:cs="Times New Roman"/>
          <w:b/>
          <w:bCs/>
        </w:rPr>
        <w:t>Transação Tributária nos âmbitos estadual e municipal.</w:t>
      </w:r>
      <w:r w:rsidR="00A46048" w:rsidRPr="00A2042C">
        <w:rPr>
          <w:rFonts w:ascii="Times New Roman" w:hAnsi="Times New Roman" w:cs="Times New Roman"/>
        </w:rPr>
        <w:t xml:space="preserve"> </w:t>
      </w:r>
      <w:r w:rsidR="00A46048" w:rsidRPr="00A2042C">
        <w:rPr>
          <w:rFonts w:ascii="Times New Roman" w:hAnsi="Times New Roman" w:cs="Times New Roman"/>
          <w:i/>
          <w:iCs/>
        </w:rPr>
        <w:t>In:</w:t>
      </w:r>
      <w:r w:rsidR="00A46048" w:rsidRPr="00A2042C">
        <w:rPr>
          <w:rFonts w:ascii="Times New Roman" w:hAnsi="Times New Roman" w:cs="Times New Roman"/>
        </w:rPr>
        <w:t xml:space="preserve"> ESCOBAR, Marcelo Ricardo Wydra. Estudos de arbitragem e transação tributária. São Paulo: Almedina, 2021. p. </w:t>
      </w:r>
      <w:r w:rsidR="006B23E9" w:rsidRPr="00A2042C">
        <w:rPr>
          <w:rFonts w:ascii="Times New Roman" w:hAnsi="Times New Roman" w:cs="Times New Roman"/>
        </w:rPr>
        <w:t>193-201</w:t>
      </w:r>
      <w:r w:rsidR="00A46048" w:rsidRPr="00A2042C">
        <w:rPr>
          <w:rFonts w:ascii="Times New Roman" w:hAnsi="Times New Roman" w:cs="Times New Roman"/>
        </w:rPr>
        <w:t>.</w:t>
      </w:r>
    </w:p>
  </w:footnote>
  <w:footnote w:id="49">
    <w:p w14:paraId="18D7E480" w14:textId="0657B609" w:rsidR="00072956" w:rsidRPr="00A2042C" w:rsidRDefault="00072956"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3D5A95" w:rsidRPr="00A2042C">
        <w:rPr>
          <w:rFonts w:ascii="Times New Roman" w:hAnsi="Times New Roman" w:cs="Times New Roman"/>
        </w:rPr>
        <w:t xml:space="preserve">GONÇALVES, Carlos Roberto. </w:t>
      </w:r>
      <w:r w:rsidR="003D5A95" w:rsidRPr="00A2042C">
        <w:rPr>
          <w:rFonts w:ascii="Times New Roman" w:hAnsi="Times New Roman" w:cs="Times New Roman"/>
          <w:b/>
          <w:bCs/>
        </w:rPr>
        <w:t>Direito Civil Brasileir</w:t>
      </w:r>
      <w:r w:rsidR="00AC1989" w:rsidRPr="00A2042C">
        <w:rPr>
          <w:rFonts w:ascii="Times New Roman" w:hAnsi="Times New Roman" w:cs="Times New Roman"/>
          <w:b/>
          <w:bCs/>
        </w:rPr>
        <w:t>o</w:t>
      </w:r>
      <w:r w:rsidR="00AC1989" w:rsidRPr="00A2042C">
        <w:rPr>
          <w:rFonts w:ascii="Times New Roman" w:hAnsi="Times New Roman" w:cs="Times New Roman"/>
        </w:rPr>
        <w:t>.</w:t>
      </w:r>
      <w:r w:rsidR="003D5A95" w:rsidRPr="00A2042C">
        <w:rPr>
          <w:rFonts w:ascii="Times New Roman" w:hAnsi="Times New Roman" w:cs="Times New Roman"/>
          <w:b/>
          <w:bCs/>
        </w:rPr>
        <w:t xml:space="preserve"> </w:t>
      </w:r>
      <w:r w:rsidR="00AC1989" w:rsidRPr="00A2042C">
        <w:rPr>
          <w:rFonts w:ascii="Times New Roman" w:hAnsi="Times New Roman" w:cs="Times New Roman"/>
          <w:b/>
          <w:bCs/>
        </w:rPr>
        <w:t xml:space="preserve">Vol </w:t>
      </w:r>
      <w:r w:rsidR="003D5A95" w:rsidRPr="00A2042C">
        <w:rPr>
          <w:rFonts w:ascii="Times New Roman" w:hAnsi="Times New Roman" w:cs="Times New Roman"/>
          <w:b/>
          <w:bCs/>
        </w:rPr>
        <w:t>1: Parte Geral.</w:t>
      </w:r>
      <w:r w:rsidR="003D5A95" w:rsidRPr="00A2042C">
        <w:rPr>
          <w:rFonts w:ascii="Times New Roman" w:hAnsi="Times New Roman" w:cs="Times New Roman"/>
        </w:rPr>
        <w:t xml:space="preserve"> 14. ed. São Paulo: Saraiva, 2016, p. 105.</w:t>
      </w:r>
    </w:p>
  </w:footnote>
  <w:footnote w:id="50">
    <w:p w14:paraId="4FBF2B38" w14:textId="3B66F021" w:rsidR="00DF3686" w:rsidRPr="00A2042C" w:rsidRDefault="00DF3686"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Em interessante artigo, Max Moller</w:t>
      </w:r>
      <w:r w:rsidR="002021D7">
        <w:rPr>
          <w:rFonts w:ascii="Times New Roman" w:hAnsi="Times New Roman" w:cs="Times New Roman"/>
        </w:rPr>
        <w:t xml:space="preserve"> </w:t>
      </w:r>
      <w:r w:rsidR="003156CD" w:rsidRPr="00A2042C">
        <w:rPr>
          <w:rFonts w:ascii="Times New Roman" w:hAnsi="Times New Roman" w:cs="Times New Roman"/>
        </w:rPr>
        <w:t>desenvolve a</w:t>
      </w:r>
      <w:r w:rsidR="00955223" w:rsidRPr="00A2042C">
        <w:rPr>
          <w:rFonts w:ascii="Times New Roman" w:hAnsi="Times New Roman" w:cs="Times New Roman"/>
        </w:rPr>
        <w:t xml:space="preserve"> existência de espaços para </w:t>
      </w:r>
      <w:r w:rsidR="000F3F22" w:rsidRPr="00A2042C">
        <w:rPr>
          <w:rFonts w:ascii="Times New Roman" w:hAnsi="Times New Roman" w:cs="Times New Roman"/>
        </w:rPr>
        <w:t>composição</w:t>
      </w:r>
      <w:r w:rsidR="003156CD" w:rsidRPr="00A2042C">
        <w:rPr>
          <w:rFonts w:ascii="Times New Roman" w:hAnsi="Times New Roman" w:cs="Times New Roman"/>
        </w:rPr>
        <w:t xml:space="preserve"> com relação </w:t>
      </w:r>
      <w:r w:rsidR="00955223" w:rsidRPr="00A2042C">
        <w:rPr>
          <w:rFonts w:ascii="Times New Roman" w:hAnsi="Times New Roman" w:cs="Times New Roman"/>
        </w:rPr>
        <w:t>a</w:t>
      </w:r>
      <w:r w:rsidR="003156CD" w:rsidRPr="00A2042C">
        <w:rPr>
          <w:rFonts w:ascii="Times New Roman" w:hAnsi="Times New Roman" w:cs="Times New Roman"/>
        </w:rPr>
        <w:t xml:space="preserve"> interpretação </w:t>
      </w:r>
      <w:r w:rsidR="002D1940" w:rsidRPr="00A2042C">
        <w:rPr>
          <w:rFonts w:ascii="Times New Roman" w:hAnsi="Times New Roman" w:cs="Times New Roman"/>
        </w:rPr>
        <w:t xml:space="preserve">a respeito </w:t>
      </w:r>
      <w:r w:rsidR="003156CD" w:rsidRPr="00A2042C">
        <w:rPr>
          <w:rFonts w:ascii="Times New Roman" w:hAnsi="Times New Roman" w:cs="Times New Roman"/>
        </w:rPr>
        <w:t>d</w:t>
      </w:r>
      <w:r w:rsidR="002D1940" w:rsidRPr="00A2042C">
        <w:rPr>
          <w:rFonts w:ascii="Times New Roman" w:hAnsi="Times New Roman" w:cs="Times New Roman"/>
        </w:rPr>
        <w:t>a</w:t>
      </w:r>
      <w:r w:rsidR="003156CD" w:rsidRPr="00A2042C">
        <w:rPr>
          <w:rFonts w:ascii="Times New Roman" w:hAnsi="Times New Roman" w:cs="Times New Roman"/>
        </w:rPr>
        <w:t xml:space="preserve"> incidência</w:t>
      </w:r>
      <w:r w:rsidR="002D1940" w:rsidRPr="00A2042C">
        <w:rPr>
          <w:rFonts w:ascii="Times New Roman" w:hAnsi="Times New Roman" w:cs="Times New Roman"/>
        </w:rPr>
        <w:t xml:space="preserve"> tributária, sobretudo em causas complexas.</w:t>
      </w:r>
      <w:r w:rsidR="00C92192" w:rsidRPr="00A2042C">
        <w:rPr>
          <w:rFonts w:ascii="Times New Roman" w:hAnsi="Times New Roman" w:cs="Times New Roman"/>
        </w:rPr>
        <w:t xml:space="preserve"> MÖLLER, Max. </w:t>
      </w:r>
      <w:r w:rsidR="00C92192" w:rsidRPr="00A2042C">
        <w:rPr>
          <w:rFonts w:ascii="Times New Roman" w:hAnsi="Times New Roman" w:cs="Times New Roman"/>
          <w:b/>
          <w:bCs/>
        </w:rPr>
        <w:t>Meios Alternativos de resolução de conflito no Direito Tributário.</w:t>
      </w:r>
      <w:r w:rsidR="00C92192" w:rsidRPr="00A2042C">
        <w:rPr>
          <w:rFonts w:ascii="Times New Roman" w:hAnsi="Times New Roman" w:cs="Times New Roman"/>
        </w:rPr>
        <w:t> Revista FESDT</w:t>
      </w:r>
      <w:r w:rsidR="00C92192" w:rsidRPr="00A2042C">
        <w:rPr>
          <w:rFonts w:ascii="Times New Roman" w:hAnsi="Times New Roman" w:cs="Times New Roman"/>
          <w:b/>
          <w:bCs/>
        </w:rPr>
        <w:t>,</w:t>
      </w:r>
      <w:r w:rsidR="00C92192" w:rsidRPr="00A2042C">
        <w:rPr>
          <w:rFonts w:ascii="Times New Roman" w:hAnsi="Times New Roman" w:cs="Times New Roman"/>
        </w:rPr>
        <w:t xml:space="preserve"> v. 9, p. 76-92, 2019. Disponível em: </w:t>
      </w:r>
      <w:hyperlink r:id="rId19" w:tgtFrame="_blank" w:history="1">
        <w:r w:rsidR="00C92192" w:rsidRPr="00A2042C">
          <w:rPr>
            <w:rStyle w:val="Hyperlink"/>
            <w:rFonts w:ascii="Times New Roman" w:hAnsi="Times New Roman" w:cs="Times New Roman"/>
          </w:rPr>
          <w:t>https://fesdt.org.br/docs/revistas/9/9-revista.pdf</w:t>
        </w:r>
      </w:hyperlink>
      <w:r w:rsidR="00C92192" w:rsidRPr="00A2042C">
        <w:rPr>
          <w:rFonts w:ascii="Times New Roman" w:hAnsi="Times New Roman" w:cs="Times New Roman"/>
        </w:rPr>
        <w:t>. Acesso em: 04 ago. 2023.</w:t>
      </w:r>
    </w:p>
  </w:footnote>
  <w:footnote w:id="51">
    <w:p w14:paraId="79E53537" w14:textId="4D3AC9F9" w:rsidR="007A25B8" w:rsidRPr="00A2042C" w:rsidRDefault="007A25B8"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Como destacado em tópicos anteriore</w:t>
      </w:r>
      <w:r w:rsidR="00335CCF" w:rsidRPr="00A2042C">
        <w:rPr>
          <w:rFonts w:ascii="Times New Roman" w:hAnsi="Times New Roman" w:cs="Times New Roman"/>
        </w:rPr>
        <w:t>s</w:t>
      </w:r>
      <w:r w:rsidRPr="00A2042C">
        <w:rPr>
          <w:rFonts w:ascii="Times New Roman" w:hAnsi="Times New Roman" w:cs="Times New Roman"/>
        </w:rPr>
        <w:t xml:space="preserve">, diversos Estados tem regulamentado </w:t>
      </w:r>
      <w:r w:rsidR="00335CCF" w:rsidRPr="00A2042C">
        <w:rPr>
          <w:rFonts w:ascii="Times New Roman" w:hAnsi="Times New Roman" w:cs="Times New Roman"/>
        </w:rPr>
        <w:t>os instrumentos de</w:t>
      </w:r>
      <w:r w:rsidRPr="00A2042C">
        <w:rPr>
          <w:rFonts w:ascii="Times New Roman" w:hAnsi="Times New Roman" w:cs="Times New Roman"/>
        </w:rPr>
        <w:t xml:space="preserve"> consensualidade</w:t>
      </w:r>
      <w:r w:rsidR="00335CCF" w:rsidRPr="00A2042C">
        <w:rPr>
          <w:rFonts w:ascii="Times New Roman" w:hAnsi="Times New Roman" w:cs="Times New Roman"/>
        </w:rPr>
        <w:t xml:space="preserve"> e criado suas Câmaras de Autocomposição.</w:t>
      </w:r>
    </w:p>
  </w:footnote>
  <w:footnote w:id="52">
    <w:p w14:paraId="1DBFFB9A" w14:textId="2C48F9CD" w:rsidR="003F0AFE" w:rsidRPr="00A2042C" w:rsidRDefault="003F0AFE" w:rsidP="00A2042C">
      <w:pPr>
        <w:pStyle w:val="Textodenotaderodap"/>
        <w:tabs>
          <w:tab w:val="left" w:pos="3180"/>
        </w:tabs>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Menciona</w:t>
      </w:r>
      <w:r w:rsidR="00DD7591" w:rsidRPr="00A2042C">
        <w:rPr>
          <w:rFonts w:ascii="Times New Roman" w:hAnsi="Times New Roman" w:cs="Times New Roman"/>
        </w:rPr>
        <w:t>mos, nest</w:t>
      </w:r>
      <w:r w:rsidR="003E48B9" w:rsidRPr="00A2042C">
        <w:rPr>
          <w:rFonts w:ascii="Times New Roman" w:hAnsi="Times New Roman" w:cs="Times New Roman"/>
        </w:rPr>
        <w:t>a linha</w:t>
      </w:r>
      <w:r w:rsidR="00DD7591" w:rsidRPr="00A2042C">
        <w:rPr>
          <w:rFonts w:ascii="Times New Roman" w:hAnsi="Times New Roman" w:cs="Times New Roman"/>
        </w:rPr>
        <w:t xml:space="preserve">, a LC nº 121/2019 do </w:t>
      </w:r>
      <w:r w:rsidR="00930675" w:rsidRPr="00A2042C">
        <w:rPr>
          <w:rFonts w:ascii="Times New Roman" w:hAnsi="Times New Roman" w:cs="Times New Roman"/>
        </w:rPr>
        <w:t xml:space="preserve">Estado do </w:t>
      </w:r>
      <w:r w:rsidR="00DD7591" w:rsidRPr="00A2042C">
        <w:rPr>
          <w:rFonts w:ascii="Times New Roman" w:hAnsi="Times New Roman" w:cs="Times New Roman"/>
        </w:rPr>
        <w:t>Pará</w:t>
      </w:r>
      <w:r w:rsidR="00322B24" w:rsidRPr="00A2042C">
        <w:rPr>
          <w:rFonts w:ascii="Times New Roman" w:hAnsi="Times New Roman" w:cs="Times New Roman"/>
        </w:rPr>
        <w:t xml:space="preserve"> e</w:t>
      </w:r>
      <w:r w:rsidR="00DD7591" w:rsidRPr="00A2042C">
        <w:rPr>
          <w:rFonts w:ascii="Times New Roman" w:hAnsi="Times New Roman" w:cs="Times New Roman"/>
        </w:rPr>
        <w:t xml:space="preserve"> </w:t>
      </w:r>
      <w:r w:rsidR="00BE51A9" w:rsidRPr="00A2042C">
        <w:rPr>
          <w:rFonts w:ascii="Times New Roman" w:hAnsi="Times New Roman" w:cs="Times New Roman"/>
        </w:rPr>
        <w:t>a LC nº 114/2018 d</w:t>
      </w:r>
      <w:r w:rsidR="00930675" w:rsidRPr="00A2042C">
        <w:rPr>
          <w:rFonts w:ascii="Times New Roman" w:hAnsi="Times New Roman" w:cs="Times New Roman"/>
        </w:rPr>
        <w:t>o Estado de</w:t>
      </w:r>
      <w:r w:rsidR="00BE51A9" w:rsidRPr="00A2042C">
        <w:rPr>
          <w:rFonts w:ascii="Times New Roman" w:hAnsi="Times New Roman" w:cs="Times New Roman"/>
        </w:rPr>
        <w:t xml:space="preserve"> Goiás</w:t>
      </w:r>
      <w:r w:rsidR="00930675" w:rsidRPr="00A2042C">
        <w:rPr>
          <w:rFonts w:ascii="Times New Roman" w:hAnsi="Times New Roman" w:cs="Times New Roman"/>
        </w:rPr>
        <w:t>.</w:t>
      </w:r>
      <w:r w:rsidR="00BE51A9" w:rsidRPr="00A2042C">
        <w:rPr>
          <w:rFonts w:ascii="Times New Roman" w:hAnsi="Times New Roman" w:cs="Times New Roman"/>
        </w:rPr>
        <w:t xml:space="preserve"> </w:t>
      </w:r>
    </w:p>
  </w:footnote>
  <w:footnote w:id="53">
    <w:p w14:paraId="1904916F" w14:textId="41A0E093" w:rsidR="0080274C" w:rsidRPr="00A2042C" w:rsidRDefault="0080274C"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Vem surgindo</w:t>
      </w:r>
      <w:r w:rsidRPr="00A2042C">
        <w:rPr>
          <w:rStyle w:val="Refdenotaderodap"/>
          <w:rFonts w:ascii="Times New Roman" w:hAnsi="Times New Roman" w:cs="Times New Roman"/>
        </w:rPr>
        <w:t xml:space="preserve"> </w:t>
      </w:r>
      <w:r w:rsidRPr="00A2042C">
        <w:rPr>
          <w:rFonts w:ascii="Times New Roman" w:hAnsi="Times New Roman" w:cs="Times New Roman"/>
        </w:rPr>
        <w:t>alguma polêmica, na prática, a respeito da possibilidade de servidores públicos</w:t>
      </w:r>
      <w:r w:rsidR="00CB5ACC" w:rsidRPr="00A2042C">
        <w:rPr>
          <w:rFonts w:ascii="Times New Roman" w:hAnsi="Times New Roman" w:cs="Times New Roman"/>
        </w:rPr>
        <w:t xml:space="preserve"> atuarem como conciliadores e mediadores quando o ente público a que </w:t>
      </w:r>
      <w:r w:rsidR="0095789E">
        <w:rPr>
          <w:rFonts w:ascii="Times New Roman" w:hAnsi="Times New Roman" w:cs="Times New Roman"/>
        </w:rPr>
        <w:t>são</w:t>
      </w:r>
      <w:r w:rsidR="00CB5ACC" w:rsidRPr="00A2042C">
        <w:rPr>
          <w:rFonts w:ascii="Times New Roman" w:hAnsi="Times New Roman" w:cs="Times New Roman"/>
        </w:rPr>
        <w:t xml:space="preserve"> vinculado</w:t>
      </w:r>
      <w:r w:rsidR="0095789E">
        <w:rPr>
          <w:rFonts w:ascii="Times New Roman" w:hAnsi="Times New Roman" w:cs="Times New Roman"/>
        </w:rPr>
        <w:t>s</w:t>
      </w:r>
      <w:r w:rsidR="00CB5ACC" w:rsidRPr="00A2042C">
        <w:rPr>
          <w:rFonts w:ascii="Times New Roman" w:hAnsi="Times New Roman" w:cs="Times New Roman"/>
        </w:rPr>
        <w:t xml:space="preserve"> é parte na autocomposição, hipótese em que </w:t>
      </w:r>
      <w:r w:rsidR="009F39D5" w:rsidRPr="00A2042C">
        <w:rPr>
          <w:rFonts w:ascii="Times New Roman" w:hAnsi="Times New Roman" w:cs="Times New Roman"/>
        </w:rPr>
        <w:t xml:space="preserve">é mais indicado o uso da </w:t>
      </w:r>
      <w:r w:rsidR="009F39D5" w:rsidRPr="00A2042C">
        <w:rPr>
          <w:rFonts w:ascii="Times New Roman" w:hAnsi="Times New Roman" w:cs="Times New Roman"/>
          <w:i/>
          <w:iCs/>
        </w:rPr>
        <w:t>negociação</w:t>
      </w:r>
      <w:r w:rsidR="009F39D5" w:rsidRPr="00A2042C">
        <w:rPr>
          <w:rFonts w:ascii="Times New Roman" w:hAnsi="Times New Roman" w:cs="Times New Roman"/>
        </w:rPr>
        <w:t>.</w:t>
      </w:r>
    </w:p>
  </w:footnote>
  <w:footnote w:id="54">
    <w:p w14:paraId="743A31D8" w14:textId="56D2EA79" w:rsidR="009D05F6" w:rsidRPr="00A2042C" w:rsidRDefault="009D05F6"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Vide </w:t>
      </w:r>
      <w:r w:rsidR="00C522DF" w:rsidRPr="00A2042C">
        <w:rPr>
          <w:rFonts w:ascii="Times New Roman" w:hAnsi="Times New Roman" w:cs="Times New Roman"/>
        </w:rPr>
        <w:t xml:space="preserve">art. 4º da LC nº </w:t>
      </w:r>
      <w:r w:rsidR="009829EA" w:rsidRPr="00A2042C">
        <w:rPr>
          <w:rFonts w:ascii="Times New Roman" w:hAnsi="Times New Roman" w:cs="Times New Roman"/>
        </w:rPr>
        <w:t xml:space="preserve">417/2019 de Pernambuco, </w:t>
      </w:r>
      <w:r w:rsidR="0019360F" w:rsidRPr="00A2042C">
        <w:rPr>
          <w:rFonts w:ascii="Times New Roman" w:hAnsi="Times New Roman" w:cs="Times New Roman"/>
        </w:rPr>
        <w:t>art. 2º da LC nº 121/2019 do Pará</w:t>
      </w:r>
      <w:r w:rsidR="00E33220" w:rsidRPr="00A2042C">
        <w:rPr>
          <w:rFonts w:ascii="Times New Roman" w:hAnsi="Times New Roman" w:cs="Times New Roman"/>
        </w:rPr>
        <w:t xml:space="preserve">, </w:t>
      </w:r>
      <w:r w:rsidRPr="00A2042C">
        <w:rPr>
          <w:rFonts w:ascii="Times New Roman" w:hAnsi="Times New Roman" w:cs="Times New Roman"/>
        </w:rPr>
        <w:t xml:space="preserve">art. </w:t>
      </w:r>
      <w:r w:rsidR="00FD3677" w:rsidRPr="00A2042C">
        <w:rPr>
          <w:rFonts w:ascii="Times New Roman" w:hAnsi="Times New Roman" w:cs="Times New Roman"/>
        </w:rPr>
        <w:t>19</w:t>
      </w:r>
      <w:r w:rsidR="00802F26" w:rsidRPr="00A2042C">
        <w:rPr>
          <w:rFonts w:ascii="Times New Roman" w:hAnsi="Times New Roman" w:cs="Times New Roman"/>
        </w:rPr>
        <w:t xml:space="preserve"> </w:t>
      </w:r>
      <w:r w:rsidR="00FD3677" w:rsidRPr="00A2042C">
        <w:rPr>
          <w:rFonts w:ascii="Times New Roman" w:hAnsi="Times New Roman" w:cs="Times New Roman"/>
        </w:rPr>
        <w:t xml:space="preserve">da Resolução nº 112/2016 </w:t>
      </w:r>
      <w:r w:rsidR="00802F26" w:rsidRPr="00A2042C">
        <w:rPr>
          <w:rFonts w:ascii="Times New Roman" w:hAnsi="Times New Roman" w:cs="Times New Roman"/>
        </w:rPr>
        <w:t xml:space="preserve">da </w:t>
      </w:r>
      <w:r w:rsidR="00FD3677" w:rsidRPr="00A2042C">
        <w:rPr>
          <w:rFonts w:ascii="Times New Roman" w:hAnsi="Times New Roman" w:cs="Times New Roman"/>
        </w:rPr>
        <w:t xml:space="preserve">PGE/RS e </w:t>
      </w:r>
      <w:r w:rsidR="00EF0304" w:rsidRPr="00A2042C">
        <w:rPr>
          <w:rFonts w:ascii="Times New Roman" w:hAnsi="Times New Roman" w:cs="Times New Roman"/>
        </w:rPr>
        <w:t>art. 19 do Decreto 64.050/2019</w:t>
      </w:r>
      <w:r w:rsidR="0084037A" w:rsidRPr="00A2042C">
        <w:rPr>
          <w:rFonts w:ascii="Times New Roman" w:hAnsi="Times New Roman" w:cs="Times New Roman"/>
        </w:rPr>
        <w:t xml:space="preserve"> do Estado de Alagoas.</w:t>
      </w:r>
    </w:p>
  </w:footnote>
  <w:footnote w:id="55">
    <w:p w14:paraId="30DFAF68" w14:textId="231C02B5" w:rsidR="00A82A3D" w:rsidRPr="00A2042C" w:rsidRDefault="00A82A3D"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756204" w:rsidRPr="00A2042C">
        <w:rPr>
          <w:rFonts w:ascii="Times New Roman" w:hAnsi="Times New Roman" w:cs="Times New Roman"/>
        </w:rPr>
        <w:t>Os temas mais recorrentes</w:t>
      </w:r>
      <w:r w:rsidR="0091276A" w:rsidRPr="00A2042C">
        <w:rPr>
          <w:rFonts w:ascii="Times New Roman" w:hAnsi="Times New Roman" w:cs="Times New Roman"/>
        </w:rPr>
        <w:t>, neste sentido,</w:t>
      </w:r>
      <w:r w:rsidR="00432D01" w:rsidRPr="00A2042C">
        <w:rPr>
          <w:rFonts w:ascii="Times New Roman" w:hAnsi="Times New Roman" w:cs="Times New Roman"/>
        </w:rPr>
        <w:t xml:space="preserve"> levantados pelo CNJ</w:t>
      </w:r>
      <w:r w:rsidR="0091276A" w:rsidRPr="00A2042C">
        <w:rPr>
          <w:rFonts w:ascii="Times New Roman" w:hAnsi="Times New Roman" w:cs="Times New Roman"/>
        </w:rPr>
        <w:t>,</w:t>
      </w:r>
      <w:r w:rsidR="00756204" w:rsidRPr="00A2042C">
        <w:rPr>
          <w:rFonts w:ascii="Times New Roman" w:hAnsi="Times New Roman" w:cs="Times New Roman"/>
        </w:rPr>
        <w:t xml:space="preserve"> são: “Procedimentos fiscais”, “CADIN”,  “CND”</w:t>
      </w:r>
      <w:r w:rsidR="00432D01" w:rsidRPr="00A2042C">
        <w:rPr>
          <w:rFonts w:ascii="Times New Roman" w:hAnsi="Times New Roman" w:cs="Times New Roman"/>
        </w:rPr>
        <w:t>, “Depósitos judiciais”</w:t>
      </w:r>
      <w:r w:rsidR="00F40268" w:rsidRPr="00A2042C">
        <w:rPr>
          <w:rFonts w:ascii="Times New Roman" w:hAnsi="Times New Roman" w:cs="Times New Roman"/>
        </w:rPr>
        <w:t>,</w:t>
      </w:r>
      <w:r w:rsidR="00432D01" w:rsidRPr="00A2042C">
        <w:rPr>
          <w:rFonts w:ascii="Times New Roman" w:hAnsi="Times New Roman" w:cs="Times New Roman"/>
        </w:rPr>
        <w:t xml:space="preserve"> “</w:t>
      </w:r>
      <w:r w:rsidR="00F40268" w:rsidRPr="00A2042C">
        <w:rPr>
          <w:rFonts w:ascii="Times New Roman" w:hAnsi="Times New Roman" w:cs="Times New Roman"/>
        </w:rPr>
        <w:t>Liberação de mercadorias”</w:t>
      </w:r>
      <w:r w:rsidR="00B462DD" w:rsidRPr="00A2042C">
        <w:rPr>
          <w:rFonts w:ascii="Times New Roman" w:hAnsi="Times New Roman" w:cs="Times New Roman"/>
        </w:rPr>
        <w:t>, “Sigilo Fiscal”</w:t>
      </w:r>
      <w:r w:rsidR="005B0CE9" w:rsidRPr="00A2042C">
        <w:rPr>
          <w:rFonts w:ascii="Times New Roman" w:hAnsi="Times New Roman" w:cs="Times New Roman"/>
        </w:rPr>
        <w:t xml:space="preserve"> e</w:t>
      </w:r>
      <w:r w:rsidR="00B462DD" w:rsidRPr="00A2042C">
        <w:rPr>
          <w:rFonts w:ascii="Times New Roman" w:hAnsi="Times New Roman" w:cs="Times New Roman"/>
        </w:rPr>
        <w:t xml:space="preserve"> “Arrolamento de Bens”</w:t>
      </w:r>
      <w:r w:rsidR="005B0CE9" w:rsidRPr="00A2042C">
        <w:rPr>
          <w:rFonts w:ascii="Times New Roman" w:hAnsi="Times New Roman" w:cs="Times New Roman"/>
        </w:rPr>
        <w:t>.</w:t>
      </w:r>
    </w:p>
  </w:footnote>
  <w:footnote w:id="56">
    <w:p w14:paraId="43C569D3" w14:textId="0D3B9A2A" w:rsidR="00232FA6" w:rsidRPr="00A2042C" w:rsidRDefault="00232FA6"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O </w:t>
      </w:r>
      <w:r w:rsidR="003752D7" w:rsidRPr="00A2042C">
        <w:rPr>
          <w:rFonts w:ascii="Times New Roman" w:hAnsi="Times New Roman" w:cs="Times New Roman"/>
        </w:rPr>
        <w:t xml:space="preserve">art. 24 </w:t>
      </w:r>
      <w:r w:rsidRPr="00A2042C">
        <w:rPr>
          <w:rFonts w:ascii="Times New Roman" w:hAnsi="Times New Roman" w:cs="Times New Roman"/>
        </w:rPr>
        <w:t xml:space="preserve">menciona expressamente as fases de consulta fiscal, pré-lançamento, contencioso administrativo-tributário e inscrição em dívida ativa ou contencioso judicial tributário. Disponível em: </w:t>
      </w:r>
      <w:hyperlink r:id="rId20" w:history="1">
        <w:r w:rsidRPr="00A2042C">
          <w:rPr>
            <w:rStyle w:val="Hyperlink"/>
            <w:rFonts w:ascii="Times New Roman" w:hAnsi="Times New Roman" w:cs="Times New Roman"/>
          </w:rPr>
          <w:t>https://www.camarapoa.rs.gov.br/draco/processos/137049/Lei_13028.pdf</w:t>
        </w:r>
      </w:hyperlink>
      <w:r w:rsidRPr="00A2042C">
        <w:rPr>
          <w:rFonts w:ascii="Times New Roman" w:hAnsi="Times New Roman" w:cs="Times New Roman"/>
        </w:rPr>
        <w:t xml:space="preserve">. </w:t>
      </w:r>
      <w:r w:rsidR="003752D7" w:rsidRPr="00A2042C">
        <w:rPr>
          <w:rFonts w:ascii="Times New Roman" w:hAnsi="Times New Roman" w:cs="Times New Roman"/>
        </w:rPr>
        <w:t>Acesso em: 04 ago. 2023.</w:t>
      </w:r>
    </w:p>
  </w:footnote>
  <w:footnote w:id="57">
    <w:p w14:paraId="367E9BFE" w14:textId="77C09073" w:rsidR="00E5704E" w:rsidRPr="00A2042C" w:rsidRDefault="00E5704E"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Disponível em: </w:t>
      </w:r>
      <w:hyperlink r:id="rId21" w:history="1">
        <w:r w:rsidR="000C670B" w:rsidRPr="00A2042C">
          <w:rPr>
            <w:rStyle w:val="Hyperlink"/>
            <w:rFonts w:ascii="Times New Roman" w:hAnsi="Times New Roman" w:cs="Times New Roman"/>
          </w:rPr>
          <w:t>file:///C:/Users/thiag/Downloads/DOC-Relat%C3%B3rio%20Legislativo%20-%20SF229061497894-20220906%20(4).pdf</w:t>
        </w:r>
      </w:hyperlink>
      <w:r w:rsidR="000C670B" w:rsidRPr="00A2042C">
        <w:rPr>
          <w:rFonts w:ascii="Times New Roman" w:hAnsi="Times New Roman" w:cs="Times New Roman"/>
        </w:rPr>
        <w:t>. Acesso em 04 ago. 2023.</w:t>
      </w:r>
    </w:p>
  </w:footnote>
  <w:footnote w:id="58">
    <w:p w14:paraId="2E6C334D" w14:textId="15182B0B" w:rsidR="00644D27" w:rsidRPr="00A2042C" w:rsidRDefault="00644D27"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“A arbitragem – meio alternativo de solução de controvérsias através de uma intervenção de uma ou mais pessoas que recebem seus poderes de uma convenção privada, decidindo com base nela, sem intervenção estatal, sendo a decisão destinada a assumir a mesma eficácia da sentença judicial – é colocada à disposição de quem quer seja, para solução de conflitos relativos a direitos patrimoniais acerca dos quais os litigantes possam dispor”. CARMONA, Carlos Alberto. </w:t>
      </w:r>
      <w:r w:rsidRPr="00A2042C">
        <w:rPr>
          <w:rFonts w:ascii="Times New Roman" w:hAnsi="Times New Roman" w:cs="Times New Roman"/>
          <w:b/>
          <w:bCs/>
        </w:rPr>
        <w:t>Arbitragem e processo: Um comentário à lei no. 9.307/96.</w:t>
      </w:r>
      <w:r w:rsidRPr="00A2042C">
        <w:rPr>
          <w:rFonts w:ascii="Times New Roman" w:hAnsi="Times New Roman" w:cs="Times New Roman"/>
        </w:rPr>
        <w:t xml:space="preserve"> 2. ed. São Paulo: Editora Atlas, 2004. p. 31.</w:t>
      </w:r>
    </w:p>
  </w:footnote>
  <w:footnote w:id="59">
    <w:p w14:paraId="2CE0567D" w14:textId="69009EA1" w:rsidR="003F4A52" w:rsidRPr="00A2042C" w:rsidRDefault="003F4A5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245873" w:rsidRPr="00A2042C">
        <w:rPr>
          <w:rFonts w:ascii="Times New Roman" w:hAnsi="Times New Roman" w:cs="Times New Roman"/>
        </w:rPr>
        <w:t xml:space="preserve">Decreto nº 46.245/2018, do RJ; </w:t>
      </w:r>
      <w:r w:rsidR="00B33CFC" w:rsidRPr="00A2042C">
        <w:rPr>
          <w:rFonts w:ascii="Times New Roman" w:hAnsi="Times New Roman" w:cs="Times New Roman"/>
        </w:rPr>
        <w:t>Decreto nº 64.356/2019, de SP;</w:t>
      </w:r>
      <w:r w:rsidR="00AE4C6B" w:rsidRPr="00A2042C">
        <w:rPr>
          <w:rFonts w:ascii="Times New Roman" w:hAnsi="Times New Roman" w:cs="Times New Roman"/>
        </w:rPr>
        <w:t xml:space="preserve"> </w:t>
      </w:r>
      <w:r w:rsidR="00C17018" w:rsidRPr="00A2042C">
        <w:rPr>
          <w:rFonts w:ascii="Times New Roman" w:hAnsi="Times New Roman" w:cs="Times New Roman"/>
        </w:rPr>
        <w:t xml:space="preserve">e </w:t>
      </w:r>
      <w:r w:rsidR="00A425B9" w:rsidRPr="00A2042C">
        <w:rPr>
          <w:rFonts w:ascii="Times New Roman" w:hAnsi="Times New Roman" w:cs="Times New Roman"/>
        </w:rPr>
        <w:t>Decreto nº 55.996/2021, do RS</w:t>
      </w:r>
      <w:r w:rsidR="00C17018" w:rsidRPr="00A2042C">
        <w:rPr>
          <w:rFonts w:ascii="Times New Roman" w:hAnsi="Times New Roman" w:cs="Times New Roman"/>
        </w:rPr>
        <w:t>.</w:t>
      </w:r>
      <w:r w:rsidR="00A425B9" w:rsidRPr="00A2042C">
        <w:rPr>
          <w:rFonts w:ascii="Times New Roman" w:hAnsi="Times New Roman" w:cs="Times New Roman"/>
        </w:rPr>
        <w:t xml:space="preserve"> </w:t>
      </w:r>
    </w:p>
  </w:footnote>
  <w:footnote w:id="60">
    <w:p w14:paraId="4CD41028" w14:textId="731D667D" w:rsidR="00CB5D8B" w:rsidRPr="00A2042C" w:rsidRDefault="00CB5D8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Portugal</w:t>
      </w:r>
      <w:r w:rsidR="00861A34" w:rsidRPr="00A2042C">
        <w:rPr>
          <w:rFonts w:ascii="Times New Roman" w:hAnsi="Times New Roman" w:cs="Times New Roman"/>
        </w:rPr>
        <w:t>, por meio do Decreto-Lei nº 10</w:t>
      </w:r>
      <w:r w:rsidR="00A073FF" w:rsidRPr="00A2042C">
        <w:rPr>
          <w:rFonts w:ascii="Times New Roman" w:hAnsi="Times New Roman" w:cs="Times New Roman"/>
        </w:rPr>
        <w:t>/2011,</w:t>
      </w:r>
      <w:r w:rsidRPr="00A2042C">
        <w:rPr>
          <w:rFonts w:ascii="Times New Roman" w:hAnsi="Times New Roman" w:cs="Times New Roman"/>
        </w:rPr>
        <w:t xml:space="preserve"> já utiliza </w:t>
      </w:r>
      <w:r w:rsidR="002B4EBA" w:rsidRPr="00A2042C">
        <w:rPr>
          <w:rFonts w:ascii="Times New Roman" w:hAnsi="Times New Roman" w:cs="Times New Roman"/>
        </w:rPr>
        <w:t>arbitragem tributária</w:t>
      </w:r>
      <w:r w:rsidRPr="00A2042C">
        <w:rPr>
          <w:rFonts w:ascii="Times New Roman" w:hAnsi="Times New Roman" w:cs="Times New Roman"/>
        </w:rPr>
        <w:t xml:space="preserve"> instituto, com algumas peculiaridades, em experiência aparentemente exitosa</w:t>
      </w:r>
      <w:r w:rsidR="00791B93" w:rsidRPr="00A2042C">
        <w:rPr>
          <w:rFonts w:ascii="Times New Roman" w:hAnsi="Times New Roman" w:cs="Times New Roman"/>
        </w:rPr>
        <w:t xml:space="preserve"> e a já mencionada Recomendação nº 120/2021 do CNJ também faz remissão direto à arbitragem envolvendo o contencioso tributário, em seu art. 1º, §2º, II.</w:t>
      </w:r>
    </w:p>
  </w:footnote>
  <w:footnote w:id="61">
    <w:p w14:paraId="59A9749D" w14:textId="0436C06F" w:rsidR="00382F58" w:rsidRPr="00A2042C" w:rsidRDefault="00382F58"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Aprofundamos a questão em artigo publicado na Revista da PGE/MS.</w:t>
      </w:r>
      <w:r w:rsidR="00E31583" w:rsidRPr="00A2042C">
        <w:rPr>
          <w:rFonts w:ascii="Times New Roman" w:hAnsi="Times New Roman" w:cs="Times New Roman"/>
        </w:rPr>
        <w:t xml:space="preserve"> PEREIRA, Thiago de Freitas Alves. </w:t>
      </w:r>
      <w:r w:rsidR="00E31583" w:rsidRPr="00A2042C">
        <w:rPr>
          <w:rFonts w:ascii="Times New Roman" w:hAnsi="Times New Roman" w:cs="Times New Roman"/>
          <w:b/>
          <w:bCs/>
        </w:rPr>
        <w:t>Modelo Multiportas e o Direito Tributário: da viabilidade e das perspectivas da arbitragem tributária no Brasil.</w:t>
      </w:r>
      <w:r w:rsidR="00E31583" w:rsidRPr="00A2042C">
        <w:rPr>
          <w:rFonts w:ascii="Times New Roman" w:hAnsi="Times New Roman" w:cs="Times New Roman"/>
        </w:rPr>
        <w:t xml:space="preserve"> Revista da Procuradoria-Geral do Estado de Mato Grosso do Sul. Edição nº 18 (dezembro/2022). 2022. Disponível em: </w:t>
      </w:r>
      <w:hyperlink r:id="rId22" w:history="1">
        <w:r w:rsidR="00E31583" w:rsidRPr="00A2042C">
          <w:rPr>
            <w:rStyle w:val="Hyperlink"/>
            <w:rFonts w:ascii="Times New Roman" w:hAnsi="Times New Roman" w:cs="Times New Roman"/>
          </w:rPr>
          <w:t>https://www.pge.ms.gov.br/wp-content/uploads/2022/12/Revista-PGE-18-completo.pdf</w:t>
        </w:r>
      </w:hyperlink>
      <w:r w:rsidR="00E31583" w:rsidRPr="00A2042C">
        <w:rPr>
          <w:rFonts w:ascii="Times New Roman" w:hAnsi="Times New Roman" w:cs="Times New Roman"/>
        </w:rPr>
        <w:t>. Acesso em: 03 ago 2023</w:t>
      </w:r>
      <w:r w:rsidRPr="00A2042C">
        <w:rPr>
          <w:rFonts w:ascii="Times New Roman" w:hAnsi="Times New Roman" w:cs="Times New Roman"/>
        </w:rPr>
        <w:t>.</w:t>
      </w:r>
    </w:p>
  </w:footnote>
  <w:footnote w:id="62">
    <w:p w14:paraId="1E84F6A5" w14:textId="362668A0" w:rsidR="005B5742" w:rsidRPr="00A2042C" w:rsidRDefault="005B5742"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Também neste sentido: TORRES, Heleno. </w:t>
      </w:r>
      <w:r w:rsidRPr="00A2042C">
        <w:rPr>
          <w:rFonts w:ascii="Times New Roman" w:hAnsi="Times New Roman" w:cs="Times New Roman"/>
          <w:b/>
          <w:bCs/>
        </w:rPr>
        <w:t>Princípios da segurança jurídica e transação em matérias tributária. Os limites da revisão administrativas dos acordos tributários.</w:t>
      </w:r>
      <w:r w:rsidRPr="00A2042C">
        <w:rPr>
          <w:rFonts w:ascii="Times New Roman" w:hAnsi="Times New Roman" w:cs="Times New Roman"/>
        </w:rPr>
        <w:t xml:space="preserve"> </w:t>
      </w:r>
      <w:r w:rsidRPr="00A2042C">
        <w:rPr>
          <w:rFonts w:ascii="Times New Roman" w:hAnsi="Times New Roman" w:cs="Times New Roman"/>
          <w:i/>
          <w:iCs/>
        </w:rPr>
        <w:t>In:</w:t>
      </w:r>
      <w:r w:rsidRPr="00A2042C">
        <w:rPr>
          <w:rFonts w:ascii="Times New Roman" w:hAnsi="Times New Roman" w:cs="Times New Roman"/>
        </w:rPr>
        <w:t xml:space="preserve"> TORRES, Heleno. Transação e arbitragem no âmbito tributário: home- nagem ao jurista Carlos Mário da Silva Velloso. Belo Horizonte: Fórum, 2008. p. 300-301. RODRIGUES, Roberto de Aragão Ribeiro. </w:t>
      </w:r>
      <w:r w:rsidRPr="00A2042C">
        <w:rPr>
          <w:rFonts w:ascii="Times New Roman" w:hAnsi="Times New Roman" w:cs="Times New Roman"/>
          <w:b/>
          <w:bCs/>
        </w:rPr>
        <w:t>Justiça multiportas e advocacia pública</w:t>
      </w:r>
      <w:r w:rsidR="003B5E10" w:rsidRPr="00A2042C">
        <w:rPr>
          <w:rFonts w:ascii="Times New Roman" w:hAnsi="Times New Roman" w:cs="Times New Roman"/>
          <w:b/>
          <w:bCs/>
        </w:rPr>
        <w:t>.</w:t>
      </w:r>
      <w:r w:rsidRPr="00A2042C">
        <w:rPr>
          <w:rFonts w:ascii="Times New Roman" w:hAnsi="Times New Roman" w:cs="Times New Roman"/>
        </w:rPr>
        <w:t xml:space="preserve"> 1.ed. Rio de Janeiro: GZ, 2021. p. 36. FARICELLI DE</w:t>
      </w:r>
      <w:r w:rsidR="000879C7" w:rsidRPr="00A2042C">
        <w:rPr>
          <w:rFonts w:ascii="Times New Roman" w:hAnsi="Times New Roman" w:cs="Times New Roman"/>
        </w:rPr>
        <w:t xml:space="preserve"> MENDONÇA, Priscila. </w:t>
      </w:r>
      <w:r w:rsidR="000879C7" w:rsidRPr="00A2042C">
        <w:rPr>
          <w:rFonts w:ascii="Times New Roman" w:hAnsi="Times New Roman" w:cs="Times New Roman"/>
          <w:b/>
          <w:bCs/>
        </w:rPr>
        <w:t>Questões Tributárias Arbitráveis.</w:t>
      </w:r>
      <w:r w:rsidR="000879C7" w:rsidRPr="00A2042C">
        <w:rPr>
          <w:rFonts w:ascii="Times New Roman" w:hAnsi="Times New Roman" w:cs="Times New Roman"/>
        </w:rPr>
        <w:t xml:space="preserve"> </w:t>
      </w:r>
      <w:r w:rsidR="000879C7" w:rsidRPr="00A2042C">
        <w:rPr>
          <w:rFonts w:ascii="Times New Roman" w:hAnsi="Times New Roman" w:cs="Times New Roman"/>
          <w:i/>
          <w:iCs/>
        </w:rPr>
        <w:t xml:space="preserve">In: </w:t>
      </w:r>
      <w:r w:rsidR="007D3777" w:rsidRPr="00A2042C">
        <w:rPr>
          <w:rFonts w:ascii="Times New Roman" w:hAnsi="Times New Roman" w:cs="Times New Roman"/>
        </w:rPr>
        <w:t>PISCITELLI, Tathiane</w:t>
      </w:r>
      <w:r w:rsidR="00AB5AE6" w:rsidRPr="00A2042C">
        <w:rPr>
          <w:rFonts w:ascii="Times New Roman" w:hAnsi="Times New Roman" w:cs="Times New Roman"/>
        </w:rPr>
        <w:t xml:space="preserve">. MASCITTO, Andrea. </w:t>
      </w:r>
      <w:r w:rsidR="005828C0" w:rsidRPr="00A2042C">
        <w:rPr>
          <w:rFonts w:ascii="Times New Roman" w:hAnsi="Times New Roman" w:cs="Times New Roman"/>
        </w:rPr>
        <w:t>FARICELLI DE MENDONÇA, Priscila.</w:t>
      </w:r>
      <w:r w:rsidR="00AB5AE6" w:rsidRPr="00A2042C">
        <w:rPr>
          <w:rFonts w:ascii="Times New Roman" w:hAnsi="Times New Roman" w:cs="Times New Roman"/>
        </w:rPr>
        <w:t xml:space="preserve"> (coord.)</w:t>
      </w:r>
      <w:r w:rsidR="007D3777" w:rsidRPr="00A2042C">
        <w:rPr>
          <w:rFonts w:ascii="Times New Roman" w:hAnsi="Times New Roman" w:cs="Times New Roman"/>
        </w:rPr>
        <w:t xml:space="preserve">. </w:t>
      </w:r>
      <w:r w:rsidR="00001BF8" w:rsidRPr="00A2042C">
        <w:rPr>
          <w:rFonts w:ascii="Times New Roman" w:hAnsi="Times New Roman" w:cs="Times New Roman"/>
        </w:rPr>
        <w:t>Arbitragem Tributária: Desafios Institucionais brasileiros e a experiência Portuguesa.</w:t>
      </w:r>
      <w:r w:rsidR="007D3777" w:rsidRPr="00A2042C">
        <w:rPr>
          <w:rFonts w:ascii="Times New Roman" w:hAnsi="Times New Roman" w:cs="Times New Roman"/>
        </w:rPr>
        <w:t xml:space="preserve"> </w:t>
      </w:r>
      <w:r w:rsidR="005828C0" w:rsidRPr="00A2042C">
        <w:rPr>
          <w:rFonts w:ascii="Times New Roman" w:hAnsi="Times New Roman" w:cs="Times New Roman"/>
        </w:rPr>
        <w:t xml:space="preserve">2ª ed. </w:t>
      </w:r>
      <w:r w:rsidR="00CE1CDA" w:rsidRPr="00A2042C">
        <w:rPr>
          <w:rFonts w:ascii="Times New Roman" w:hAnsi="Times New Roman" w:cs="Times New Roman"/>
        </w:rPr>
        <w:t xml:space="preserve">São Paulo: </w:t>
      </w:r>
      <w:r w:rsidR="006E2983" w:rsidRPr="00A2042C">
        <w:rPr>
          <w:rFonts w:ascii="Times New Roman" w:hAnsi="Times New Roman" w:cs="Times New Roman"/>
        </w:rPr>
        <w:t>Thomson Reuters Brasil</w:t>
      </w:r>
      <w:r w:rsidR="00852A46" w:rsidRPr="00A2042C">
        <w:rPr>
          <w:rFonts w:ascii="Times New Roman" w:hAnsi="Times New Roman" w:cs="Times New Roman"/>
        </w:rPr>
        <w:t>,</w:t>
      </w:r>
      <w:r w:rsidR="00CE1CDA" w:rsidRPr="00A2042C">
        <w:rPr>
          <w:rFonts w:ascii="Times New Roman" w:hAnsi="Times New Roman" w:cs="Times New Roman"/>
        </w:rPr>
        <w:t xml:space="preserve"> 20</w:t>
      </w:r>
      <w:r w:rsidR="008E3A7D" w:rsidRPr="00A2042C">
        <w:rPr>
          <w:rFonts w:ascii="Times New Roman" w:hAnsi="Times New Roman" w:cs="Times New Roman"/>
        </w:rPr>
        <w:t>19</w:t>
      </w:r>
      <w:r w:rsidR="00CE1CDA" w:rsidRPr="00A2042C">
        <w:rPr>
          <w:rFonts w:ascii="Times New Roman" w:hAnsi="Times New Roman" w:cs="Times New Roman"/>
        </w:rPr>
        <w:t xml:space="preserve">. </w:t>
      </w:r>
      <w:r w:rsidR="00324756" w:rsidRPr="00A2042C">
        <w:rPr>
          <w:rFonts w:ascii="Times New Roman" w:hAnsi="Times New Roman" w:cs="Times New Roman"/>
        </w:rPr>
        <w:t>p. 246</w:t>
      </w:r>
    </w:p>
  </w:footnote>
  <w:footnote w:id="63">
    <w:p w14:paraId="3895A084" w14:textId="222557C4" w:rsidR="00930A94" w:rsidRPr="00A2042C" w:rsidRDefault="00930A94"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7D71BF" w:rsidRPr="00A2042C">
        <w:rPr>
          <w:rFonts w:ascii="Times New Roman" w:hAnsi="Times New Roman" w:cs="Times New Roman"/>
        </w:rPr>
        <w:t xml:space="preserve">PEREIRA, </w:t>
      </w:r>
      <w:r w:rsidR="000A5DEB" w:rsidRPr="00A2042C">
        <w:rPr>
          <w:rFonts w:ascii="Times New Roman" w:hAnsi="Times New Roman" w:cs="Times New Roman"/>
          <w:i/>
          <w:iCs/>
        </w:rPr>
        <w:t>op. cit.</w:t>
      </w:r>
      <w:r w:rsidR="00C53E06" w:rsidRPr="00A2042C">
        <w:rPr>
          <w:rFonts w:ascii="Times New Roman" w:hAnsi="Times New Roman" w:cs="Times New Roman"/>
          <w:i/>
          <w:iCs/>
        </w:rPr>
        <w:t>,</w:t>
      </w:r>
      <w:r w:rsidR="000A5DEB" w:rsidRPr="00A2042C">
        <w:rPr>
          <w:rFonts w:ascii="Times New Roman" w:hAnsi="Times New Roman" w:cs="Times New Roman"/>
        </w:rPr>
        <w:t xml:space="preserve"> </w:t>
      </w:r>
      <w:r w:rsidR="007D71BF" w:rsidRPr="00A2042C">
        <w:rPr>
          <w:rFonts w:ascii="Times New Roman" w:hAnsi="Times New Roman" w:cs="Times New Roman"/>
        </w:rPr>
        <w:t xml:space="preserve">p. </w:t>
      </w:r>
      <w:r w:rsidR="009E5098" w:rsidRPr="00A2042C">
        <w:rPr>
          <w:rFonts w:ascii="Times New Roman" w:hAnsi="Times New Roman" w:cs="Times New Roman"/>
        </w:rPr>
        <w:t>79.</w:t>
      </w:r>
    </w:p>
  </w:footnote>
  <w:footnote w:id="64">
    <w:p w14:paraId="67561877" w14:textId="71161D2B" w:rsidR="00AA4C4B" w:rsidRPr="00A2042C" w:rsidRDefault="00AA4C4B"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9E4C05" w:rsidRPr="00A2042C">
        <w:rPr>
          <w:rFonts w:ascii="Times New Roman" w:hAnsi="Times New Roman" w:cs="Times New Roman"/>
        </w:rPr>
        <w:t xml:space="preserve">Nesta linha de pensamento: MASCITTO, Andrea. </w:t>
      </w:r>
      <w:r w:rsidR="009E4C05" w:rsidRPr="00A2042C">
        <w:rPr>
          <w:rFonts w:ascii="Times New Roman" w:hAnsi="Times New Roman" w:cs="Times New Roman"/>
          <w:b/>
          <w:bCs/>
        </w:rPr>
        <w:t>Requisitos institucionais para a arbitragem entre Fisco e Contribuintes no Brasil: Necessidade de norma geral.</w:t>
      </w:r>
      <w:r w:rsidR="009E4C05" w:rsidRPr="00A2042C">
        <w:rPr>
          <w:rFonts w:ascii="Times New Roman" w:hAnsi="Times New Roman" w:cs="Times New Roman"/>
        </w:rPr>
        <w:t xml:space="preserve"> </w:t>
      </w:r>
      <w:r w:rsidR="009E4C05" w:rsidRPr="00A2042C">
        <w:rPr>
          <w:rFonts w:ascii="Times New Roman" w:hAnsi="Times New Roman" w:cs="Times New Roman"/>
          <w:i/>
          <w:iCs/>
        </w:rPr>
        <w:t>In:</w:t>
      </w:r>
      <w:r w:rsidR="009E4C05" w:rsidRPr="00A2042C">
        <w:rPr>
          <w:rFonts w:ascii="Times New Roman" w:hAnsi="Times New Roman" w:cs="Times New Roman"/>
        </w:rPr>
        <w:t xml:space="preserve"> </w:t>
      </w:r>
      <w:r w:rsidR="00EA5EFB" w:rsidRPr="00A2042C">
        <w:rPr>
          <w:rFonts w:ascii="Times New Roman" w:hAnsi="Times New Roman" w:cs="Times New Roman"/>
        </w:rPr>
        <w:t>PISCITELLI, Tathiane. MASCITTO, Andrea. FARICELLI DE MENDONÇA, Priscila. (coord.). Arbitragem Tributária: Desafios Institucionais brasileiros e a experiência Portuguesa. 2ª ed. São Paulo: Thomson Reuters Brasil, 20</w:t>
      </w:r>
      <w:r w:rsidR="004E5F71" w:rsidRPr="00A2042C">
        <w:rPr>
          <w:rFonts w:ascii="Times New Roman" w:hAnsi="Times New Roman" w:cs="Times New Roman"/>
        </w:rPr>
        <w:t>19</w:t>
      </w:r>
      <w:r w:rsidR="00EA5EFB" w:rsidRPr="00A2042C">
        <w:rPr>
          <w:rFonts w:ascii="Times New Roman" w:hAnsi="Times New Roman" w:cs="Times New Roman"/>
        </w:rPr>
        <w:t>.</w:t>
      </w:r>
    </w:p>
  </w:footnote>
  <w:footnote w:id="65">
    <w:p w14:paraId="071B1A0F" w14:textId="692C6C25" w:rsidR="005B5670" w:rsidRPr="00A2042C" w:rsidRDefault="005B5670"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0013609F" w:rsidRPr="00A2042C">
        <w:rPr>
          <w:rFonts w:ascii="Times New Roman" w:hAnsi="Times New Roman" w:cs="Times New Roman"/>
        </w:rPr>
        <w:t xml:space="preserve"> </w:t>
      </w:r>
      <w:r w:rsidR="006A43F3" w:rsidRPr="00A2042C">
        <w:rPr>
          <w:rFonts w:ascii="Times New Roman" w:hAnsi="Times New Roman" w:cs="Times New Roman"/>
        </w:rPr>
        <w:t xml:space="preserve">Neste sentido: ESCOBAR, Marcelo Ricardo Wydra. </w:t>
      </w:r>
      <w:r w:rsidR="006A43F3" w:rsidRPr="00A2042C">
        <w:rPr>
          <w:rFonts w:ascii="Times New Roman" w:hAnsi="Times New Roman" w:cs="Times New Roman"/>
          <w:b/>
          <w:bCs/>
        </w:rPr>
        <w:t>Viabilização da arbitragem tributária por ato administrativo.</w:t>
      </w:r>
      <w:r w:rsidR="006A43F3" w:rsidRPr="00A2042C">
        <w:rPr>
          <w:rFonts w:ascii="Times New Roman" w:hAnsi="Times New Roman" w:cs="Times New Roman"/>
        </w:rPr>
        <w:t> </w:t>
      </w:r>
      <w:r w:rsidR="006A43F3" w:rsidRPr="00A2042C">
        <w:rPr>
          <w:rFonts w:ascii="Times New Roman" w:hAnsi="Times New Roman" w:cs="Times New Roman"/>
          <w:i/>
          <w:iCs/>
        </w:rPr>
        <w:t>In</w:t>
      </w:r>
      <w:r w:rsidR="006A43F3" w:rsidRPr="00A2042C">
        <w:rPr>
          <w:rFonts w:ascii="Times New Roman" w:hAnsi="Times New Roman" w:cs="Times New Roman"/>
        </w:rPr>
        <w:t>: ESCOBAR, Marcelo Ricardo Wydra. Estudos de arbitragem e transação tributária. São Paulo: Almedina, 2021. p. 169-192.</w:t>
      </w:r>
      <w:r w:rsidR="00E24619" w:rsidRPr="00A2042C">
        <w:rPr>
          <w:rFonts w:ascii="Times New Roman" w:hAnsi="Times New Roman" w:cs="Times New Roman"/>
        </w:rPr>
        <w:t xml:space="preserve"> </w:t>
      </w:r>
      <w:r w:rsidR="00306E69" w:rsidRPr="00A2042C">
        <w:rPr>
          <w:rFonts w:ascii="Times New Roman" w:hAnsi="Times New Roman" w:cs="Times New Roman"/>
        </w:rPr>
        <w:t xml:space="preserve">TOLEDO, José Eduardo Tellini. </w:t>
      </w:r>
      <w:r w:rsidR="00306E69" w:rsidRPr="00A2042C">
        <w:rPr>
          <w:rFonts w:ascii="Times New Roman" w:hAnsi="Times New Roman" w:cs="Times New Roman"/>
          <w:b/>
          <w:bCs/>
        </w:rPr>
        <w:t>Quebrando paradigmas para a arbitragem tributária.</w:t>
      </w:r>
      <w:r w:rsidR="00D10185" w:rsidRPr="00A2042C">
        <w:rPr>
          <w:rFonts w:ascii="Times New Roman" w:hAnsi="Times New Roman" w:cs="Times New Roman"/>
          <w:b/>
          <w:bCs/>
        </w:rPr>
        <w:t xml:space="preserve"> </w:t>
      </w:r>
      <w:r w:rsidR="00D10185" w:rsidRPr="00A2042C">
        <w:rPr>
          <w:rFonts w:ascii="Times New Roman" w:hAnsi="Times New Roman" w:cs="Times New Roman"/>
          <w:i/>
          <w:iCs/>
        </w:rPr>
        <w:t>In:</w:t>
      </w:r>
      <w:r w:rsidR="00D10185" w:rsidRPr="00A2042C">
        <w:rPr>
          <w:rFonts w:ascii="Times New Roman" w:hAnsi="Times New Roman" w:cs="Times New Roman"/>
          <w:b/>
          <w:bCs/>
        </w:rPr>
        <w:t xml:space="preserve"> </w:t>
      </w:r>
      <w:r w:rsidR="00D10185" w:rsidRPr="00A2042C">
        <w:rPr>
          <w:rFonts w:ascii="Times New Roman" w:hAnsi="Times New Roman" w:cs="Times New Roman"/>
        </w:rPr>
        <w:t>ESCOBAR, Marcelo Ricardo Wydra. Estudos de arbitragem e transação tributária. São Paulo: Almedina, 2021.</w:t>
      </w:r>
    </w:p>
  </w:footnote>
  <w:footnote w:id="66">
    <w:p w14:paraId="4E7C9E91" w14:textId="77777777" w:rsidR="00B72298" w:rsidRPr="00A2042C" w:rsidRDefault="00B72298"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ESCOBAR, Marcel Ricardo. </w:t>
      </w:r>
      <w:r w:rsidRPr="00A2042C">
        <w:rPr>
          <w:rFonts w:ascii="Times New Roman" w:hAnsi="Times New Roman" w:cs="Times New Roman"/>
          <w:b/>
          <w:bCs/>
        </w:rPr>
        <w:t>Arbitragem tributária no Brasil</w:t>
      </w:r>
      <w:r w:rsidRPr="00A2042C">
        <w:rPr>
          <w:rFonts w:ascii="Times New Roman" w:hAnsi="Times New Roman" w:cs="Times New Roman"/>
        </w:rPr>
        <w:t>. São Paulo: Almedina, 2017.</w:t>
      </w:r>
    </w:p>
  </w:footnote>
  <w:footnote w:id="67">
    <w:p w14:paraId="413F1F72" w14:textId="22D2F920" w:rsidR="003A1209" w:rsidRPr="00A2042C" w:rsidRDefault="003A1209"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Pr="00A2042C">
        <w:rPr>
          <w:rFonts w:ascii="Times New Roman" w:hAnsi="Times New Roman" w:cs="Times New Roman"/>
        </w:rPr>
        <w:t xml:space="preserve"> </w:t>
      </w:r>
      <w:r w:rsidR="00963A5D" w:rsidRPr="00A2042C">
        <w:rPr>
          <w:rFonts w:ascii="Times New Roman" w:hAnsi="Times New Roman" w:cs="Times New Roman"/>
        </w:rPr>
        <w:t>Tais</w:t>
      </w:r>
      <w:r w:rsidR="00C62376" w:rsidRPr="00A2042C">
        <w:rPr>
          <w:rFonts w:ascii="Times New Roman" w:hAnsi="Times New Roman" w:cs="Times New Roman"/>
        </w:rPr>
        <w:t xml:space="preserve"> projetos de lei foram </w:t>
      </w:r>
      <w:r w:rsidR="00963A5D" w:rsidRPr="00A2042C">
        <w:rPr>
          <w:rFonts w:ascii="Times New Roman" w:hAnsi="Times New Roman" w:cs="Times New Roman"/>
        </w:rPr>
        <w:t>analisados por diversos autores na obra:</w:t>
      </w:r>
      <w:r w:rsidR="00E8259A" w:rsidRPr="00A2042C">
        <w:rPr>
          <w:rFonts w:ascii="Times New Roman" w:hAnsi="Times New Roman" w:cs="Times New Roman"/>
        </w:rPr>
        <w:t xml:space="preserve"> ESCOBAR, Marcelo Ricardo Wydra. </w:t>
      </w:r>
      <w:r w:rsidR="00E8259A" w:rsidRPr="00A2042C">
        <w:rPr>
          <w:rFonts w:ascii="Times New Roman" w:hAnsi="Times New Roman" w:cs="Times New Roman"/>
          <w:b/>
          <w:bCs/>
        </w:rPr>
        <w:t>Estudos de arbitragem e transação tributária.</w:t>
      </w:r>
      <w:r w:rsidR="00E8259A" w:rsidRPr="00A2042C">
        <w:rPr>
          <w:rFonts w:ascii="Times New Roman" w:hAnsi="Times New Roman" w:cs="Times New Roman"/>
        </w:rPr>
        <w:t xml:space="preserve"> São Paulo: Almedina, 2021.</w:t>
      </w:r>
    </w:p>
  </w:footnote>
  <w:footnote w:id="68">
    <w:p w14:paraId="536631A3" w14:textId="30879136" w:rsidR="00354BDC" w:rsidRPr="00A2042C" w:rsidRDefault="00354BDC" w:rsidP="00A2042C">
      <w:pPr>
        <w:pStyle w:val="Textodenotaderodap"/>
        <w:contextualSpacing/>
        <w:jc w:val="both"/>
        <w:rPr>
          <w:rFonts w:ascii="Times New Roman" w:hAnsi="Times New Roman" w:cs="Times New Roman"/>
        </w:rPr>
      </w:pPr>
      <w:r w:rsidRPr="00A2042C">
        <w:rPr>
          <w:rStyle w:val="Refdenotaderodap"/>
          <w:rFonts w:ascii="Times New Roman" w:hAnsi="Times New Roman" w:cs="Times New Roman"/>
        </w:rPr>
        <w:footnoteRef/>
      </w:r>
      <w:r w:rsidR="0013609F" w:rsidRPr="00A2042C">
        <w:rPr>
          <w:rFonts w:ascii="Times New Roman" w:hAnsi="Times New Roman" w:cs="Times New Roman"/>
        </w:rPr>
        <w:t xml:space="preserve"> </w:t>
      </w:r>
      <w:r w:rsidR="00DF3FA6" w:rsidRPr="00A2042C">
        <w:rPr>
          <w:rFonts w:ascii="Times New Roman" w:hAnsi="Times New Roman" w:cs="Times New Roman"/>
        </w:rPr>
        <w:t xml:space="preserve">Relatório Disponível em: </w:t>
      </w:r>
      <w:hyperlink r:id="rId23" w:history="1">
        <w:r w:rsidR="00DF3FA6" w:rsidRPr="00A2042C">
          <w:rPr>
            <w:rStyle w:val="Hyperlink"/>
            <w:rFonts w:ascii="Times New Roman" w:hAnsi="Times New Roman" w:cs="Times New Roman"/>
          </w:rPr>
          <w:t>https://legis.senado.leg.br/sdleg-getter/documento?dm=9198204&amp;ts=1662471328151&amp;disposition=inline</w:t>
        </w:r>
      </w:hyperlink>
      <w:r w:rsidR="001152D5" w:rsidRPr="00A2042C">
        <w:rPr>
          <w:rFonts w:ascii="Times New Roman" w:hAnsi="Times New Roman" w:cs="Times New Roman"/>
        </w:rPr>
        <w:t>.</w:t>
      </w:r>
      <w:r w:rsidR="00DF3FA6" w:rsidRPr="00A2042C">
        <w:rPr>
          <w:rFonts w:ascii="Times New Roman" w:hAnsi="Times New Roman" w:cs="Times New Roman"/>
        </w:rPr>
        <w:t xml:space="preserve"> Acesso em: 15 set.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3989012" w14:paraId="72CB5527" w14:textId="77777777" w:rsidTr="33989012">
      <w:trPr>
        <w:trHeight w:val="300"/>
      </w:trPr>
      <w:tc>
        <w:tcPr>
          <w:tcW w:w="3020" w:type="dxa"/>
        </w:tcPr>
        <w:p w14:paraId="5BA755F3" w14:textId="7378E3B4" w:rsidR="33989012" w:rsidRDefault="33989012" w:rsidP="33989012">
          <w:pPr>
            <w:pStyle w:val="Cabealho"/>
            <w:ind w:left="-115"/>
          </w:pPr>
        </w:p>
      </w:tc>
      <w:tc>
        <w:tcPr>
          <w:tcW w:w="3020" w:type="dxa"/>
        </w:tcPr>
        <w:p w14:paraId="39036FD4" w14:textId="370D3B5C" w:rsidR="33989012" w:rsidRDefault="33989012" w:rsidP="33989012">
          <w:pPr>
            <w:pStyle w:val="Cabealho"/>
            <w:jc w:val="center"/>
          </w:pPr>
        </w:p>
      </w:tc>
      <w:tc>
        <w:tcPr>
          <w:tcW w:w="3020" w:type="dxa"/>
        </w:tcPr>
        <w:p w14:paraId="47661C42" w14:textId="78753DDF" w:rsidR="33989012" w:rsidRDefault="33989012" w:rsidP="33989012">
          <w:pPr>
            <w:pStyle w:val="Cabealho"/>
            <w:ind w:right="-115"/>
            <w:jc w:val="right"/>
          </w:pPr>
        </w:p>
      </w:tc>
    </w:tr>
  </w:tbl>
  <w:p w14:paraId="57F9227B" w14:textId="5B98663D" w:rsidR="33989012" w:rsidRDefault="33989012" w:rsidP="339890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E30"/>
    <w:multiLevelType w:val="multilevel"/>
    <w:tmpl w:val="ADDC7398"/>
    <w:lvl w:ilvl="0">
      <w:start w:val="4"/>
      <w:numFmt w:val="decimal"/>
      <w:lvlText w:val="%1."/>
      <w:lvlJc w:val="left"/>
      <w:pPr>
        <w:ind w:left="360" w:hanging="360"/>
      </w:pPr>
      <w:rPr>
        <w:rFonts w:hint="default"/>
      </w:rPr>
    </w:lvl>
    <w:lvl w:ilvl="1">
      <w:start w:val="1"/>
      <w:numFmt w:val="decimal"/>
      <w:lvlText w:val="%1.%2."/>
      <w:lvlJc w:val="left"/>
      <w:pPr>
        <w:ind w:left="2858" w:hanging="360"/>
      </w:pPr>
      <w:rPr>
        <w:rFonts w:hint="default"/>
      </w:rPr>
    </w:lvl>
    <w:lvl w:ilvl="2">
      <w:start w:val="1"/>
      <w:numFmt w:val="decimal"/>
      <w:lvlText w:val="%1.%2.%3."/>
      <w:lvlJc w:val="left"/>
      <w:pPr>
        <w:ind w:left="5716" w:hanging="720"/>
      </w:pPr>
      <w:rPr>
        <w:rFonts w:hint="default"/>
      </w:rPr>
    </w:lvl>
    <w:lvl w:ilvl="3">
      <w:start w:val="1"/>
      <w:numFmt w:val="decimal"/>
      <w:lvlText w:val="%1.%2.%3.%4."/>
      <w:lvlJc w:val="left"/>
      <w:pPr>
        <w:ind w:left="8214" w:hanging="720"/>
      </w:pPr>
      <w:rPr>
        <w:rFonts w:hint="default"/>
      </w:rPr>
    </w:lvl>
    <w:lvl w:ilvl="4">
      <w:start w:val="1"/>
      <w:numFmt w:val="decimal"/>
      <w:lvlText w:val="%1.%2.%3.%4.%5."/>
      <w:lvlJc w:val="left"/>
      <w:pPr>
        <w:ind w:left="11072" w:hanging="1080"/>
      </w:pPr>
      <w:rPr>
        <w:rFonts w:hint="default"/>
      </w:rPr>
    </w:lvl>
    <w:lvl w:ilvl="5">
      <w:start w:val="1"/>
      <w:numFmt w:val="decimal"/>
      <w:lvlText w:val="%1.%2.%3.%4.%5.%6."/>
      <w:lvlJc w:val="left"/>
      <w:pPr>
        <w:ind w:left="13570" w:hanging="1080"/>
      </w:pPr>
      <w:rPr>
        <w:rFonts w:hint="default"/>
      </w:rPr>
    </w:lvl>
    <w:lvl w:ilvl="6">
      <w:start w:val="1"/>
      <w:numFmt w:val="decimal"/>
      <w:lvlText w:val="%1.%2.%3.%4.%5.%6.%7."/>
      <w:lvlJc w:val="left"/>
      <w:pPr>
        <w:ind w:left="16428" w:hanging="1440"/>
      </w:pPr>
      <w:rPr>
        <w:rFonts w:hint="default"/>
      </w:rPr>
    </w:lvl>
    <w:lvl w:ilvl="7">
      <w:start w:val="1"/>
      <w:numFmt w:val="decimal"/>
      <w:lvlText w:val="%1.%2.%3.%4.%5.%6.%7.%8."/>
      <w:lvlJc w:val="left"/>
      <w:pPr>
        <w:ind w:left="18926" w:hanging="1440"/>
      </w:pPr>
      <w:rPr>
        <w:rFonts w:hint="default"/>
      </w:rPr>
    </w:lvl>
    <w:lvl w:ilvl="8">
      <w:start w:val="1"/>
      <w:numFmt w:val="decimal"/>
      <w:lvlText w:val="%1.%2.%3.%4.%5.%6.%7.%8.%9."/>
      <w:lvlJc w:val="left"/>
      <w:pPr>
        <w:ind w:left="21784" w:hanging="1800"/>
      </w:pPr>
      <w:rPr>
        <w:rFonts w:hint="default"/>
      </w:rPr>
    </w:lvl>
  </w:abstractNum>
  <w:abstractNum w:abstractNumId="1" w15:restartNumberingAfterBreak="0">
    <w:nsid w:val="2361782C"/>
    <w:multiLevelType w:val="multilevel"/>
    <w:tmpl w:val="C566611E"/>
    <w:lvl w:ilvl="0">
      <w:start w:val="1"/>
      <w:numFmt w:val="decimal"/>
      <w:lvlText w:val="%1."/>
      <w:lvlJc w:val="left"/>
      <w:pPr>
        <w:ind w:left="1776"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504" w:hanging="1080"/>
      </w:pPr>
      <w:rPr>
        <w:rFonts w:hint="default"/>
      </w:rPr>
    </w:lvl>
    <w:lvl w:ilvl="5">
      <w:start w:val="1"/>
      <w:numFmt w:val="decimal"/>
      <w:isLgl/>
      <w:lvlText w:val="%1.%2.%3.%4.%5.%6."/>
      <w:lvlJc w:val="left"/>
      <w:pPr>
        <w:ind w:left="2506"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3232" w:hanging="1800"/>
      </w:pPr>
      <w:rPr>
        <w:rFonts w:hint="default"/>
      </w:rPr>
    </w:lvl>
  </w:abstractNum>
  <w:abstractNum w:abstractNumId="2" w15:restartNumberingAfterBreak="0">
    <w:nsid w:val="3DF762B8"/>
    <w:multiLevelType w:val="hybridMultilevel"/>
    <w:tmpl w:val="0180CBFC"/>
    <w:lvl w:ilvl="0" w:tplc="FFFFFFFF">
      <w:start w:val="1"/>
      <w:numFmt w:val="decimal"/>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67BA1B6D"/>
    <w:multiLevelType w:val="hybridMultilevel"/>
    <w:tmpl w:val="9724A416"/>
    <w:lvl w:ilvl="0" w:tplc="1C1A72D4">
      <w:start w:val="1"/>
      <w:numFmt w:val="decimal"/>
      <w:lvlText w:val="%1."/>
      <w:lvlJc w:val="left"/>
      <w:pPr>
        <w:ind w:left="1778" w:hanging="360"/>
      </w:pPr>
      <w:rPr>
        <w:rFonts w:ascii="Times New Roman" w:eastAsia="Times New Roman" w:hAnsi="Times New Roman" w:cs="Times New Roman" w:hint="default"/>
        <w:b/>
        <w:sz w:val="24"/>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7F633D3F"/>
    <w:multiLevelType w:val="hybridMultilevel"/>
    <w:tmpl w:val="14E854E8"/>
    <w:lvl w:ilvl="0" w:tplc="09789F7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1682270249">
    <w:abstractNumId w:val="1"/>
  </w:num>
  <w:num w:numId="2" w16cid:durableId="85150355">
    <w:abstractNumId w:val="2"/>
  </w:num>
  <w:num w:numId="3" w16cid:durableId="314647894">
    <w:abstractNumId w:val="3"/>
  </w:num>
  <w:num w:numId="4" w16cid:durableId="294257312">
    <w:abstractNumId w:val="0"/>
  </w:num>
  <w:num w:numId="5" w16cid:durableId="147866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5F"/>
    <w:rsid w:val="000009FB"/>
    <w:rsid w:val="00001BE6"/>
    <w:rsid w:val="00001BF8"/>
    <w:rsid w:val="00002597"/>
    <w:rsid w:val="00003E74"/>
    <w:rsid w:val="00004CA8"/>
    <w:rsid w:val="000052F5"/>
    <w:rsid w:val="00006520"/>
    <w:rsid w:val="00006DBC"/>
    <w:rsid w:val="000074B4"/>
    <w:rsid w:val="00007D69"/>
    <w:rsid w:val="00007F36"/>
    <w:rsid w:val="000100FA"/>
    <w:rsid w:val="00011EBF"/>
    <w:rsid w:val="000123EC"/>
    <w:rsid w:val="00014D99"/>
    <w:rsid w:val="00015697"/>
    <w:rsid w:val="00015F1A"/>
    <w:rsid w:val="00016852"/>
    <w:rsid w:val="00017286"/>
    <w:rsid w:val="000174DF"/>
    <w:rsid w:val="00017BED"/>
    <w:rsid w:val="00020AB3"/>
    <w:rsid w:val="00021EC1"/>
    <w:rsid w:val="000244A1"/>
    <w:rsid w:val="00024C7A"/>
    <w:rsid w:val="00026160"/>
    <w:rsid w:val="0002730D"/>
    <w:rsid w:val="000273E7"/>
    <w:rsid w:val="00027CB1"/>
    <w:rsid w:val="0003017F"/>
    <w:rsid w:val="000305B6"/>
    <w:rsid w:val="0003178B"/>
    <w:rsid w:val="00032D49"/>
    <w:rsid w:val="00033C15"/>
    <w:rsid w:val="000340C6"/>
    <w:rsid w:val="0003481A"/>
    <w:rsid w:val="000353E1"/>
    <w:rsid w:val="00035BCA"/>
    <w:rsid w:val="00036082"/>
    <w:rsid w:val="00036145"/>
    <w:rsid w:val="00036B01"/>
    <w:rsid w:val="000375A1"/>
    <w:rsid w:val="0004026C"/>
    <w:rsid w:val="0004204A"/>
    <w:rsid w:val="00043F9D"/>
    <w:rsid w:val="0004435A"/>
    <w:rsid w:val="000462F0"/>
    <w:rsid w:val="0004671A"/>
    <w:rsid w:val="00046B83"/>
    <w:rsid w:val="0004751F"/>
    <w:rsid w:val="00047AD2"/>
    <w:rsid w:val="00050D02"/>
    <w:rsid w:val="00051563"/>
    <w:rsid w:val="00051FB2"/>
    <w:rsid w:val="00053378"/>
    <w:rsid w:val="0005395B"/>
    <w:rsid w:val="000559C3"/>
    <w:rsid w:val="00055FB7"/>
    <w:rsid w:val="00056061"/>
    <w:rsid w:val="00056E83"/>
    <w:rsid w:val="00056FC3"/>
    <w:rsid w:val="000570AC"/>
    <w:rsid w:val="000577C1"/>
    <w:rsid w:val="00057D6C"/>
    <w:rsid w:val="00057E8B"/>
    <w:rsid w:val="0006013F"/>
    <w:rsid w:val="00060A17"/>
    <w:rsid w:val="00060E7D"/>
    <w:rsid w:val="00060EAE"/>
    <w:rsid w:val="00060F53"/>
    <w:rsid w:val="00061276"/>
    <w:rsid w:val="00062379"/>
    <w:rsid w:val="000626BD"/>
    <w:rsid w:val="0006432E"/>
    <w:rsid w:val="000646AC"/>
    <w:rsid w:val="00065970"/>
    <w:rsid w:val="00065DD7"/>
    <w:rsid w:val="00066FF6"/>
    <w:rsid w:val="00071382"/>
    <w:rsid w:val="00071456"/>
    <w:rsid w:val="00072956"/>
    <w:rsid w:val="00073546"/>
    <w:rsid w:val="000735EA"/>
    <w:rsid w:val="00073DAE"/>
    <w:rsid w:val="00074E8E"/>
    <w:rsid w:val="00076AEE"/>
    <w:rsid w:val="0008349E"/>
    <w:rsid w:val="00083ED8"/>
    <w:rsid w:val="000842C7"/>
    <w:rsid w:val="00086D4B"/>
    <w:rsid w:val="000873A5"/>
    <w:rsid w:val="0008789D"/>
    <w:rsid w:val="000879C7"/>
    <w:rsid w:val="00090071"/>
    <w:rsid w:val="00090D08"/>
    <w:rsid w:val="000910AC"/>
    <w:rsid w:val="0009229F"/>
    <w:rsid w:val="000924B0"/>
    <w:rsid w:val="00092BCE"/>
    <w:rsid w:val="00093FE5"/>
    <w:rsid w:val="0009467A"/>
    <w:rsid w:val="00094E03"/>
    <w:rsid w:val="00094E86"/>
    <w:rsid w:val="00095D9E"/>
    <w:rsid w:val="00096CC5"/>
    <w:rsid w:val="000971EA"/>
    <w:rsid w:val="00097990"/>
    <w:rsid w:val="000A1749"/>
    <w:rsid w:val="000A1E77"/>
    <w:rsid w:val="000A32AA"/>
    <w:rsid w:val="000A4317"/>
    <w:rsid w:val="000A5DEB"/>
    <w:rsid w:val="000A63BF"/>
    <w:rsid w:val="000A6936"/>
    <w:rsid w:val="000A787E"/>
    <w:rsid w:val="000A7A82"/>
    <w:rsid w:val="000B00E5"/>
    <w:rsid w:val="000B1D32"/>
    <w:rsid w:val="000B27E9"/>
    <w:rsid w:val="000B3504"/>
    <w:rsid w:val="000B3D1F"/>
    <w:rsid w:val="000B670F"/>
    <w:rsid w:val="000C3385"/>
    <w:rsid w:val="000C5078"/>
    <w:rsid w:val="000C6317"/>
    <w:rsid w:val="000C670B"/>
    <w:rsid w:val="000C6D5F"/>
    <w:rsid w:val="000D038A"/>
    <w:rsid w:val="000D231E"/>
    <w:rsid w:val="000D285E"/>
    <w:rsid w:val="000D5191"/>
    <w:rsid w:val="000D6023"/>
    <w:rsid w:val="000D6337"/>
    <w:rsid w:val="000D67B9"/>
    <w:rsid w:val="000D6A23"/>
    <w:rsid w:val="000D7B74"/>
    <w:rsid w:val="000E006C"/>
    <w:rsid w:val="000E0C47"/>
    <w:rsid w:val="000E2C51"/>
    <w:rsid w:val="000E563C"/>
    <w:rsid w:val="000E56B1"/>
    <w:rsid w:val="000E72B0"/>
    <w:rsid w:val="000E741F"/>
    <w:rsid w:val="000F043C"/>
    <w:rsid w:val="000F1CA7"/>
    <w:rsid w:val="000F2D78"/>
    <w:rsid w:val="000F3F22"/>
    <w:rsid w:val="000F4498"/>
    <w:rsid w:val="000F4757"/>
    <w:rsid w:val="000F49AE"/>
    <w:rsid w:val="000F6B5D"/>
    <w:rsid w:val="000F6DB7"/>
    <w:rsid w:val="000F7F61"/>
    <w:rsid w:val="00100E97"/>
    <w:rsid w:val="001025DA"/>
    <w:rsid w:val="00103772"/>
    <w:rsid w:val="00103CA4"/>
    <w:rsid w:val="0010514D"/>
    <w:rsid w:val="001055F5"/>
    <w:rsid w:val="001071D3"/>
    <w:rsid w:val="001075D3"/>
    <w:rsid w:val="00107A92"/>
    <w:rsid w:val="00107A9F"/>
    <w:rsid w:val="00107F02"/>
    <w:rsid w:val="001117A5"/>
    <w:rsid w:val="00111B00"/>
    <w:rsid w:val="00111CD6"/>
    <w:rsid w:val="0011211D"/>
    <w:rsid w:val="001122D3"/>
    <w:rsid w:val="00113C3C"/>
    <w:rsid w:val="0011489A"/>
    <w:rsid w:val="001152D5"/>
    <w:rsid w:val="001156B8"/>
    <w:rsid w:val="001157C4"/>
    <w:rsid w:val="00117D9A"/>
    <w:rsid w:val="00120A11"/>
    <w:rsid w:val="0012183B"/>
    <w:rsid w:val="0012241B"/>
    <w:rsid w:val="001229AC"/>
    <w:rsid w:val="00123665"/>
    <w:rsid w:val="001237A4"/>
    <w:rsid w:val="00126862"/>
    <w:rsid w:val="00131026"/>
    <w:rsid w:val="001326D7"/>
    <w:rsid w:val="00133338"/>
    <w:rsid w:val="00133AEE"/>
    <w:rsid w:val="0013536E"/>
    <w:rsid w:val="0013542B"/>
    <w:rsid w:val="00135ABF"/>
    <w:rsid w:val="0013609F"/>
    <w:rsid w:val="00136277"/>
    <w:rsid w:val="00136EC6"/>
    <w:rsid w:val="00137130"/>
    <w:rsid w:val="00137276"/>
    <w:rsid w:val="00137437"/>
    <w:rsid w:val="00137EEF"/>
    <w:rsid w:val="001410CE"/>
    <w:rsid w:val="0014167F"/>
    <w:rsid w:val="00142367"/>
    <w:rsid w:val="00143314"/>
    <w:rsid w:val="00145346"/>
    <w:rsid w:val="00145AE4"/>
    <w:rsid w:val="001514C4"/>
    <w:rsid w:val="001521AF"/>
    <w:rsid w:val="001527C5"/>
    <w:rsid w:val="00153D8F"/>
    <w:rsid w:val="00154143"/>
    <w:rsid w:val="001548B8"/>
    <w:rsid w:val="00155508"/>
    <w:rsid w:val="00155773"/>
    <w:rsid w:val="00155ACD"/>
    <w:rsid w:val="0015695B"/>
    <w:rsid w:val="00156EC1"/>
    <w:rsid w:val="0016015C"/>
    <w:rsid w:val="00160DF3"/>
    <w:rsid w:val="001618A2"/>
    <w:rsid w:val="00161A20"/>
    <w:rsid w:val="0016506B"/>
    <w:rsid w:val="0016582F"/>
    <w:rsid w:val="00165C35"/>
    <w:rsid w:val="00165C5B"/>
    <w:rsid w:val="00170FBA"/>
    <w:rsid w:val="00171243"/>
    <w:rsid w:val="0017162C"/>
    <w:rsid w:val="00171BAA"/>
    <w:rsid w:val="00171D49"/>
    <w:rsid w:val="001721DD"/>
    <w:rsid w:val="00174C6B"/>
    <w:rsid w:val="00174CF3"/>
    <w:rsid w:val="00175586"/>
    <w:rsid w:val="001768CA"/>
    <w:rsid w:val="00176DC7"/>
    <w:rsid w:val="00180568"/>
    <w:rsid w:val="00180E1B"/>
    <w:rsid w:val="00180F32"/>
    <w:rsid w:val="001819A0"/>
    <w:rsid w:val="00182744"/>
    <w:rsid w:val="00183DB8"/>
    <w:rsid w:val="00183F81"/>
    <w:rsid w:val="001855F3"/>
    <w:rsid w:val="0018603B"/>
    <w:rsid w:val="00186688"/>
    <w:rsid w:val="0018702C"/>
    <w:rsid w:val="00187707"/>
    <w:rsid w:val="001879E9"/>
    <w:rsid w:val="001907DF"/>
    <w:rsid w:val="001909E0"/>
    <w:rsid w:val="0019360F"/>
    <w:rsid w:val="001937C4"/>
    <w:rsid w:val="00194D32"/>
    <w:rsid w:val="001951F5"/>
    <w:rsid w:val="00196629"/>
    <w:rsid w:val="00196C5C"/>
    <w:rsid w:val="001A0893"/>
    <w:rsid w:val="001A0F7E"/>
    <w:rsid w:val="001A30CF"/>
    <w:rsid w:val="001A3DE7"/>
    <w:rsid w:val="001A6339"/>
    <w:rsid w:val="001A6FEC"/>
    <w:rsid w:val="001A7270"/>
    <w:rsid w:val="001A77F2"/>
    <w:rsid w:val="001A78F0"/>
    <w:rsid w:val="001A7A75"/>
    <w:rsid w:val="001A7D59"/>
    <w:rsid w:val="001B001C"/>
    <w:rsid w:val="001B0222"/>
    <w:rsid w:val="001B0A92"/>
    <w:rsid w:val="001B0C5D"/>
    <w:rsid w:val="001B0CFE"/>
    <w:rsid w:val="001B1919"/>
    <w:rsid w:val="001B2A22"/>
    <w:rsid w:val="001B2B75"/>
    <w:rsid w:val="001B3A04"/>
    <w:rsid w:val="001B4098"/>
    <w:rsid w:val="001B4675"/>
    <w:rsid w:val="001B497F"/>
    <w:rsid w:val="001B5B10"/>
    <w:rsid w:val="001B6220"/>
    <w:rsid w:val="001B6C49"/>
    <w:rsid w:val="001B6F64"/>
    <w:rsid w:val="001B7F87"/>
    <w:rsid w:val="001C0BBE"/>
    <w:rsid w:val="001C0E0D"/>
    <w:rsid w:val="001C140F"/>
    <w:rsid w:val="001C20B2"/>
    <w:rsid w:val="001C4FB8"/>
    <w:rsid w:val="001C6E44"/>
    <w:rsid w:val="001D0BC6"/>
    <w:rsid w:val="001D4913"/>
    <w:rsid w:val="001D53ED"/>
    <w:rsid w:val="001D60C7"/>
    <w:rsid w:val="001D6FF2"/>
    <w:rsid w:val="001D71FF"/>
    <w:rsid w:val="001D7595"/>
    <w:rsid w:val="001E0A15"/>
    <w:rsid w:val="001E317C"/>
    <w:rsid w:val="001E3E8C"/>
    <w:rsid w:val="001E5608"/>
    <w:rsid w:val="001E5C29"/>
    <w:rsid w:val="001E60F9"/>
    <w:rsid w:val="001E6D95"/>
    <w:rsid w:val="001E7099"/>
    <w:rsid w:val="001E7FEF"/>
    <w:rsid w:val="001F1682"/>
    <w:rsid w:val="001F3962"/>
    <w:rsid w:val="001F4E77"/>
    <w:rsid w:val="001F51F8"/>
    <w:rsid w:val="001F5AD0"/>
    <w:rsid w:val="001F7052"/>
    <w:rsid w:val="001F7527"/>
    <w:rsid w:val="0020045E"/>
    <w:rsid w:val="0020080D"/>
    <w:rsid w:val="002021D7"/>
    <w:rsid w:val="00204708"/>
    <w:rsid w:val="002048FC"/>
    <w:rsid w:val="00205085"/>
    <w:rsid w:val="0020516B"/>
    <w:rsid w:val="00206D37"/>
    <w:rsid w:val="0020719D"/>
    <w:rsid w:val="00207AD8"/>
    <w:rsid w:val="002101CA"/>
    <w:rsid w:val="00210368"/>
    <w:rsid w:val="00210554"/>
    <w:rsid w:val="002114D2"/>
    <w:rsid w:val="00212EDD"/>
    <w:rsid w:val="002134B3"/>
    <w:rsid w:val="00213AA9"/>
    <w:rsid w:val="00215E9C"/>
    <w:rsid w:val="00216BE2"/>
    <w:rsid w:val="0021735B"/>
    <w:rsid w:val="002204C6"/>
    <w:rsid w:val="0022352D"/>
    <w:rsid w:val="00223C54"/>
    <w:rsid w:val="00224346"/>
    <w:rsid w:val="002244CD"/>
    <w:rsid w:val="0022514F"/>
    <w:rsid w:val="00227925"/>
    <w:rsid w:val="00227F27"/>
    <w:rsid w:val="00230447"/>
    <w:rsid w:val="00231216"/>
    <w:rsid w:val="00231635"/>
    <w:rsid w:val="00232FA6"/>
    <w:rsid w:val="002330E9"/>
    <w:rsid w:val="00235CAE"/>
    <w:rsid w:val="0023632A"/>
    <w:rsid w:val="002365C5"/>
    <w:rsid w:val="00236C59"/>
    <w:rsid w:val="0024004C"/>
    <w:rsid w:val="002401CE"/>
    <w:rsid w:val="00241331"/>
    <w:rsid w:val="00241375"/>
    <w:rsid w:val="00242A57"/>
    <w:rsid w:val="00242E40"/>
    <w:rsid w:val="002435C3"/>
    <w:rsid w:val="0024398B"/>
    <w:rsid w:val="0024468B"/>
    <w:rsid w:val="00245873"/>
    <w:rsid w:val="002462B7"/>
    <w:rsid w:val="00246C18"/>
    <w:rsid w:val="002473B3"/>
    <w:rsid w:val="002476B2"/>
    <w:rsid w:val="00247A47"/>
    <w:rsid w:val="00247C0C"/>
    <w:rsid w:val="00250430"/>
    <w:rsid w:val="00250562"/>
    <w:rsid w:val="00251E1F"/>
    <w:rsid w:val="00251E91"/>
    <w:rsid w:val="00252E85"/>
    <w:rsid w:val="00253C8B"/>
    <w:rsid w:val="00253C90"/>
    <w:rsid w:val="00253CCA"/>
    <w:rsid w:val="002546AA"/>
    <w:rsid w:val="002546E5"/>
    <w:rsid w:val="00256BF6"/>
    <w:rsid w:val="00257776"/>
    <w:rsid w:val="00257E24"/>
    <w:rsid w:val="00262618"/>
    <w:rsid w:val="0026404E"/>
    <w:rsid w:val="002641AD"/>
    <w:rsid w:val="002643B7"/>
    <w:rsid w:val="002648E4"/>
    <w:rsid w:val="00265248"/>
    <w:rsid w:val="0026524F"/>
    <w:rsid w:val="00270A63"/>
    <w:rsid w:val="0027251F"/>
    <w:rsid w:val="00273396"/>
    <w:rsid w:val="00273CAF"/>
    <w:rsid w:val="0027466D"/>
    <w:rsid w:val="00274AC5"/>
    <w:rsid w:val="0027532F"/>
    <w:rsid w:val="00275D06"/>
    <w:rsid w:val="002769D9"/>
    <w:rsid w:val="002777F2"/>
    <w:rsid w:val="002803A3"/>
    <w:rsid w:val="00281799"/>
    <w:rsid w:val="00281824"/>
    <w:rsid w:val="00283505"/>
    <w:rsid w:val="00284558"/>
    <w:rsid w:val="00284BBB"/>
    <w:rsid w:val="00284E7E"/>
    <w:rsid w:val="0028619E"/>
    <w:rsid w:val="0028645A"/>
    <w:rsid w:val="00287A9A"/>
    <w:rsid w:val="0029065D"/>
    <w:rsid w:val="0029091D"/>
    <w:rsid w:val="00292274"/>
    <w:rsid w:val="0029279D"/>
    <w:rsid w:val="00293C11"/>
    <w:rsid w:val="002944D8"/>
    <w:rsid w:val="002954AF"/>
    <w:rsid w:val="0029553E"/>
    <w:rsid w:val="0029574C"/>
    <w:rsid w:val="002959AF"/>
    <w:rsid w:val="002973D0"/>
    <w:rsid w:val="002979CB"/>
    <w:rsid w:val="002A0E12"/>
    <w:rsid w:val="002A1CB5"/>
    <w:rsid w:val="002A2A93"/>
    <w:rsid w:val="002A2E5F"/>
    <w:rsid w:val="002A387B"/>
    <w:rsid w:val="002A3A37"/>
    <w:rsid w:val="002A4C1A"/>
    <w:rsid w:val="002A4DEA"/>
    <w:rsid w:val="002A52A5"/>
    <w:rsid w:val="002A6571"/>
    <w:rsid w:val="002A6B22"/>
    <w:rsid w:val="002A6B84"/>
    <w:rsid w:val="002A6BC9"/>
    <w:rsid w:val="002A7765"/>
    <w:rsid w:val="002A7BC4"/>
    <w:rsid w:val="002A7CEB"/>
    <w:rsid w:val="002B02F1"/>
    <w:rsid w:val="002B053B"/>
    <w:rsid w:val="002B06AB"/>
    <w:rsid w:val="002B142A"/>
    <w:rsid w:val="002B22C6"/>
    <w:rsid w:val="002B2394"/>
    <w:rsid w:val="002B29A1"/>
    <w:rsid w:val="002B3CF3"/>
    <w:rsid w:val="002B42F6"/>
    <w:rsid w:val="002B461D"/>
    <w:rsid w:val="002B4EBA"/>
    <w:rsid w:val="002B54D0"/>
    <w:rsid w:val="002B5A58"/>
    <w:rsid w:val="002B62BF"/>
    <w:rsid w:val="002B739D"/>
    <w:rsid w:val="002C1459"/>
    <w:rsid w:val="002C25DA"/>
    <w:rsid w:val="002C41D4"/>
    <w:rsid w:val="002C4488"/>
    <w:rsid w:val="002C4887"/>
    <w:rsid w:val="002C63D4"/>
    <w:rsid w:val="002C6FA2"/>
    <w:rsid w:val="002C7A3A"/>
    <w:rsid w:val="002D0B10"/>
    <w:rsid w:val="002D1940"/>
    <w:rsid w:val="002D1EAC"/>
    <w:rsid w:val="002D2B8C"/>
    <w:rsid w:val="002D317D"/>
    <w:rsid w:val="002D339B"/>
    <w:rsid w:val="002D362B"/>
    <w:rsid w:val="002D4A99"/>
    <w:rsid w:val="002D5785"/>
    <w:rsid w:val="002D7F9C"/>
    <w:rsid w:val="002E133E"/>
    <w:rsid w:val="002E3766"/>
    <w:rsid w:val="002E4F63"/>
    <w:rsid w:val="002E6D72"/>
    <w:rsid w:val="002F1760"/>
    <w:rsid w:val="002F1ED1"/>
    <w:rsid w:val="002F1F18"/>
    <w:rsid w:val="002F2893"/>
    <w:rsid w:val="002F31BB"/>
    <w:rsid w:val="002F434F"/>
    <w:rsid w:val="002F452C"/>
    <w:rsid w:val="002F50B7"/>
    <w:rsid w:val="002F5322"/>
    <w:rsid w:val="002F537D"/>
    <w:rsid w:val="002F6A29"/>
    <w:rsid w:val="002F6AB3"/>
    <w:rsid w:val="002F774C"/>
    <w:rsid w:val="00300244"/>
    <w:rsid w:val="00304772"/>
    <w:rsid w:val="00304BCD"/>
    <w:rsid w:val="00305817"/>
    <w:rsid w:val="00305F0D"/>
    <w:rsid w:val="00306429"/>
    <w:rsid w:val="00306651"/>
    <w:rsid w:val="00306E69"/>
    <w:rsid w:val="00307808"/>
    <w:rsid w:val="0031138F"/>
    <w:rsid w:val="00312084"/>
    <w:rsid w:val="00314AB7"/>
    <w:rsid w:val="003156CD"/>
    <w:rsid w:val="0031584A"/>
    <w:rsid w:val="00317B5E"/>
    <w:rsid w:val="00317D65"/>
    <w:rsid w:val="00317D94"/>
    <w:rsid w:val="003204BA"/>
    <w:rsid w:val="00321A9E"/>
    <w:rsid w:val="00321E0B"/>
    <w:rsid w:val="00322B24"/>
    <w:rsid w:val="00323518"/>
    <w:rsid w:val="00323DD1"/>
    <w:rsid w:val="00324756"/>
    <w:rsid w:val="00325533"/>
    <w:rsid w:val="003260CC"/>
    <w:rsid w:val="00326763"/>
    <w:rsid w:val="00326D81"/>
    <w:rsid w:val="0032788D"/>
    <w:rsid w:val="003278D6"/>
    <w:rsid w:val="00331EA7"/>
    <w:rsid w:val="003323BF"/>
    <w:rsid w:val="003334B5"/>
    <w:rsid w:val="003341A3"/>
    <w:rsid w:val="003346E4"/>
    <w:rsid w:val="00335CCF"/>
    <w:rsid w:val="00336CAC"/>
    <w:rsid w:val="00340233"/>
    <w:rsid w:val="00340544"/>
    <w:rsid w:val="00341656"/>
    <w:rsid w:val="00341AFC"/>
    <w:rsid w:val="00342AD2"/>
    <w:rsid w:val="00342CA2"/>
    <w:rsid w:val="003441C7"/>
    <w:rsid w:val="0034449B"/>
    <w:rsid w:val="00344BF5"/>
    <w:rsid w:val="003454F9"/>
    <w:rsid w:val="0034557C"/>
    <w:rsid w:val="00345FAF"/>
    <w:rsid w:val="00346ADD"/>
    <w:rsid w:val="00346CAF"/>
    <w:rsid w:val="00346E33"/>
    <w:rsid w:val="003527CA"/>
    <w:rsid w:val="00352E82"/>
    <w:rsid w:val="003532A2"/>
    <w:rsid w:val="003540A8"/>
    <w:rsid w:val="003544FA"/>
    <w:rsid w:val="00354BDC"/>
    <w:rsid w:val="00355394"/>
    <w:rsid w:val="00355DA0"/>
    <w:rsid w:val="0035671F"/>
    <w:rsid w:val="00357355"/>
    <w:rsid w:val="00360635"/>
    <w:rsid w:val="00360BB8"/>
    <w:rsid w:val="00360DC0"/>
    <w:rsid w:val="00361306"/>
    <w:rsid w:val="00361B1F"/>
    <w:rsid w:val="00361C88"/>
    <w:rsid w:val="003620D8"/>
    <w:rsid w:val="0036332B"/>
    <w:rsid w:val="00363DF7"/>
    <w:rsid w:val="00364C20"/>
    <w:rsid w:val="00364DA4"/>
    <w:rsid w:val="003667CE"/>
    <w:rsid w:val="00366B0A"/>
    <w:rsid w:val="0036722B"/>
    <w:rsid w:val="003706EF"/>
    <w:rsid w:val="0037084E"/>
    <w:rsid w:val="0037134A"/>
    <w:rsid w:val="0037240E"/>
    <w:rsid w:val="0037310D"/>
    <w:rsid w:val="00373AC9"/>
    <w:rsid w:val="0037414C"/>
    <w:rsid w:val="003752D7"/>
    <w:rsid w:val="0037649D"/>
    <w:rsid w:val="00377D28"/>
    <w:rsid w:val="00380656"/>
    <w:rsid w:val="00380BE0"/>
    <w:rsid w:val="003820B6"/>
    <w:rsid w:val="00382417"/>
    <w:rsid w:val="0038274D"/>
    <w:rsid w:val="00382C7D"/>
    <w:rsid w:val="00382F58"/>
    <w:rsid w:val="0038352D"/>
    <w:rsid w:val="00383856"/>
    <w:rsid w:val="003842E8"/>
    <w:rsid w:val="00384FE5"/>
    <w:rsid w:val="00385E98"/>
    <w:rsid w:val="003867DF"/>
    <w:rsid w:val="00386D97"/>
    <w:rsid w:val="0038753B"/>
    <w:rsid w:val="00387699"/>
    <w:rsid w:val="0039413B"/>
    <w:rsid w:val="00394CA6"/>
    <w:rsid w:val="00397226"/>
    <w:rsid w:val="00397BC9"/>
    <w:rsid w:val="00397D43"/>
    <w:rsid w:val="00397F0A"/>
    <w:rsid w:val="003A11DB"/>
    <w:rsid w:val="003A1209"/>
    <w:rsid w:val="003A249F"/>
    <w:rsid w:val="003A3512"/>
    <w:rsid w:val="003A3E3E"/>
    <w:rsid w:val="003A5226"/>
    <w:rsid w:val="003A7946"/>
    <w:rsid w:val="003A7C54"/>
    <w:rsid w:val="003B1773"/>
    <w:rsid w:val="003B478E"/>
    <w:rsid w:val="003B57FD"/>
    <w:rsid w:val="003B5E10"/>
    <w:rsid w:val="003B6249"/>
    <w:rsid w:val="003B6C9D"/>
    <w:rsid w:val="003B7D8E"/>
    <w:rsid w:val="003C0D9A"/>
    <w:rsid w:val="003C40C6"/>
    <w:rsid w:val="003C421E"/>
    <w:rsid w:val="003C48AE"/>
    <w:rsid w:val="003C53CF"/>
    <w:rsid w:val="003C5BE3"/>
    <w:rsid w:val="003D06E5"/>
    <w:rsid w:val="003D0FE1"/>
    <w:rsid w:val="003D17AE"/>
    <w:rsid w:val="003D218E"/>
    <w:rsid w:val="003D27CB"/>
    <w:rsid w:val="003D5A95"/>
    <w:rsid w:val="003D5FA9"/>
    <w:rsid w:val="003E0DCF"/>
    <w:rsid w:val="003E2F10"/>
    <w:rsid w:val="003E42F7"/>
    <w:rsid w:val="003E452C"/>
    <w:rsid w:val="003E48B9"/>
    <w:rsid w:val="003E52B4"/>
    <w:rsid w:val="003E549B"/>
    <w:rsid w:val="003E570F"/>
    <w:rsid w:val="003E6F58"/>
    <w:rsid w:val="003E757E"/>
    <w:rsid w:val="003E7DBC"/>
    <w:rsid w:val="003F02F1"/>
    <w:rsid w:val="003F0AFE"/>
    <w:rsid w:val="003F0E4C"/>
    <w:rsid w:val="003F1C0A"/>
    <w:rsid w:val="003F3465"/>
    <w:rsid w:val="003F4A52"/>
    <w:rsid w:val="003F4EA6"/>
    <w:rsid w:val="003F67B9"/>
    <w:rsid w:val="003F6F98"/>
    <w:rsid w:val="003F74E0"/>
    <w:rsid w:val="00400BDE"/>
    <w:rsid w:val="00404A9D"/>
    <w:rsid w:val="0040619C"/>
    <w:rsid w:val="00406899"/>
    <w:rsid w:val="00406BE9"/>
    <w:rsid w:val="004072EA"/>
    <w:rsid w:val="004075AE"/>
    <w:rsid w:val="00410C17"/>
    <w:rsid w:val="004117C9"/>
    <w:rsid w:val="004122FD"/>
    <w:rsid w:val="004123AB"/>
    <w:rsid w:val="00413889"/>
    <w:rsid w:val="00414B9F"/>
    <w:rsid w:val="0041505C"/>
    <w:rsid w:val="0041680F"/>
    <w:rsid w:val="00421288"/>
    <w:rsid w:val="00421475"/>
    <w:rsid w:val="004220EE"/>
    <w:rsid w:val="004239B7"/>
    <w:rsid w:val="00423F2D"/>
    <w:rsid w:val="0042441E"/>
    <w:rsid w:val="00425344"/>
    <w:rsid w:val="00426085"/>
    <w:rsid w:val="004262DC"/>
    <w:rsid w:val="004263D6"/>
    <w:rsid w:val="004275CB"/>
    <w:rsid w:val="00427B08"/>
    <w:rsid w:val="00427F6B"/>
    <w:rsid w:val="00430125"/>
    <w:rsid w:val="00431F18"/>
    <w:rsid w:val="004327D4"/>
    <w:rsid w:val="00432D01"/>
    <w:rsid w:val="00433250"/>
    <w:rsid w:val="00433C7F"/>
    <w:rsid w:val="00434797"/>
    <w:rsid w:val="0043567F"/>
    <w:rsid w:val="00435852"/>
    <w:rsid w:val="004360AB"/>
    <w:rsid w:val="00436C86"/>
    <w:rsid w:val="004371B3"/>
    <w:rsid w:val="004371D3"/>
    <w:rsid w:val="0044022B"/>
    <w:rsid w:val="004404EF"/>
    <w:rsid w:val="00441854"/>
    <w:rsid w:val="00441A4E"/>
    <w:rsid w:val="00441DD6"/>
    <w:rsid w:val="00441F9A"/>
    <w:rsid w:val="004423F2"/>
    <w:rsid w:val="004425A3"/>
    <w:rsid w:val="00442BD5"/>
    <w:rsid w:val="00442DCF"/>
    <w:rsid w:val="004439D5"/>
    <w:rsid w:val="00443CAD"/>
    <w:rsid w:val="004448F3"/>
    <w:rsid w:val="00444AFF"/>
    <w:rsid w:val="0044550E"/>
    <w:rsid w:val="00445A2F"/>
    <w:rsid w:val="004461ED"/>
    <w:rsid w:val="00451A77"/>
    <w:rsid w:val="00452865"/>
    <w:rsid w:val="00452996"/>
    <w:rsid w:val="00456D15"/>
    <w:rsid w:val="0046019E"/>
    <w:rsid w:val="00461418"/>
    <w:rsid w:val="004635FB"/>
    <w:rsid w:val="004654D8"/>
    <w:rsid w:val="00467BC5"/>
    <w:rsid w:val="00470193"/>
    <w:rsid w:val="00471608"/>
    <w:rsid w:val="00471CA4"/>
    <w:rsid w:val="0047341B"/>
    <w:rsid w:val="004736D7"/>
    <w:rsid w:val="0047394D"/>
    <w:rsid w:val="0047396D"/>
    <w:rsid w:val="00474A6B"/>
    <w:rsid w:val="004751BC"/>
    <w:rsid w:val="00475E81"/>
    <w:rsid w:val="00477787"/>
    <w:rsid w:val="004801FA"/>
    <w:rsid w:val="00481941"/>
    <w:rsid w:val="00481E9F"/>
    <w:rsid w:val="004834F0"/>
    <w:rsid w:val="004840EF"/>
    <w:rsid w:val="00485997"/>
    <w:rsid w:val="00485D03"/>
    <w:rsid w:val="00490A24"/>
    <w:rsid w:val="004910C1"/>
    <w:rsid w:val="004921DC"/>
    <w:rsid w:val="0049232C"/>
    <w:rsid w:val="00493483"/>
    <w:rsid w:val="00493A15"/>
    <w:rsid w:val="00494348"/>
    <w:rsid w:val="00494A10"/>
    <w:rsid w:val="00495862"/>
    <w:rsid w:val="0049660C"/>
    <w:rsid w:val="00496834"/>
    <w:rsid w:val="00496894"/>
    <w:rsid w:val="004A0DC2"/>
    <w:rsid w:val="004A1776"/>
    <w:rsid w:val="004A18D8"/>
    <w:rsid w:val="004A1951"/>
    <w:rsid w:val="004A20BE"/>
    <w:rsid w:val="004A343A"/>
    <w:rsid w:val="004A3786"/>
    <w:rsid w:val="004A3AE4"/>
    <w:rsid w:val="004A453E"/>
    <w:rsid w:val="004A4C4E"/>
    <w:rsid w:val="004A5EC0"/>
    <w:rsid w:val="004A667E"/>
    <w:rsid w:val="004A697B"/>
    <w:rsid w:val="004A6DB1"/>
    <w:rsid w:val="004B151C"/>
    <w:rsid w:val="004B1A6B"/>
    <w:rsid w:val="004B1DE0"/>
    <w:rsid w:val="004B2F06"/>
    <w:rsid w:val="004B46B2"/>
    <w:rsid w:val="004B48B4"/>
    <w:rsid w:val="004B4EEC"/>
    <w:rsid w:val="004B62C6"/>
    <w:rsid w:val="004B732D"/>
    <w:rsid w:val="004B7CC2"/>
    <w:rsid w:val="004C00BD"/>
    <w:rsid w:val="004C1260"/>
    <w:rsid w:val="004C2932"/>
    <w:rsid w:val="004C306A"/>
    <w:rsid w:val="004C3560"/>
    <w:rsid w:val="004C36AE"/>
    <w:rsid w:val="004C50D1"/>
    <w:rsid w:val="004C59ED"/>
    <w:rsid w:val="004C71C4"/>
    <w:rsid w:val="004C7214"/>
    <w:rsid w:val="004C7E6A"/>
    <w:rsid w:val="004D05BD"/>
    <w:rsid w:val="004D4339"/>
    <w:rsid w:val="004D442B"/>
    <w:rsid w:val="004D6417"/>
    <w:rsid w:val="004D72AB"/>
    <w:rsid w:val="004D7527"/>
    <w:rsid w:val="004E0ABF"/>
    <w:rsid w:val="004E2710"/>
    <w:rsid w:val="004E28B8"/>
    <w:rsid w:val="004E2C66"/>
    <w:rsid w:val="004E3F5A"/>
    <w:rsid w:val="004E5866"/>
    <w:rsid w:val="004E5F71"/>
    <w:rsid w:val="004E64E7"/>
    <w:rsid w:val="004E6A19"/>
    <w:rsid w:val="004F10BA"/>
    <w:rsid w:val="004F1BE3"/>
    <w:rsid w:val="004F2BC6"/>
    <w:rsid w:val="004F2DFE"/>
    <w:rsid w:val="004F2EFF"/>
    <w:rsid w:val="004F402F"/>
    <w:rsid w:val="004F4612"/>
    <w:rsid w:val="004F4837"/>
    <w:rsid w:val="004F4D76"/>
    <w:rsid w:val="00500CCB"/>
    <w:rsid w:val="0050470E"/>
    <w:rsid w:val="00505300"/>
    <w:rsid w:val="005058AF"/>
    <w:rsid w:val="00506D2A"/>
    <w:rsid w:val="00507112"/>
    <w:rsid w:val="005077A2"/>
    <w:rsid w:val="005105FD"/>
    <w:rsid w:val="005148B3"/>
    <w:rsid w:val="00514B6D"/>
    <w:rsid w:val="0051515F"/>
    <w:rsid w:val="00516ADA"/>
    <w:rsid w:val="00517FB1"/>
    <w:rsid w:val="00520000"/>
    <w:rsid w:val="0052019E"/>
    <w:rsid w:val="0052047E"/>
    <w:rsid w:val="00520632"/>
    <w:rsid w:val="005206FA"/>
    <w:rsid w:val="00521442"/>
    <w:rsid w:val="00522ADA"/>
    <w:rsid w:val="0052325E"/>
    <w:rsid w:val="00525641"/>
    <w:rsid w:val="0052741C"/>
    <w:rsid w:val="0052756D"/>
    <w:rsid w:val="005278C5"/>
    <w:rsid w:val="00530014"/>
    <w:rsid w:val="0053029C"/>
    <w:rsid w:val="00531264"/>
    <w:rsid w:val="0053217A"/>
    <w:rsid w:val="00532776"/>
    <w:rsid w:val="00532B22"/>
    <w:rsid w:val="00532E76"/>
    <w:rsid w:val="005351FA"/>
    <w:rsid w:val="00535AC8"/>
    <w:rsid w:val="00535EC3"/>
    <w:rsid w:val="00536638"/>
    <w:rsid w:val="00536A89"/>
    <w:rsid w:val="00536AE5"/>
    <w:rsid w:val="00536B60"/>
    <w:rsid w:val="0054024C"/>
    <w:rsid w:val="00540867"/>
    <w:rsid w:val="00541DDF"/>
    <w:rsid w:val="005428A3"/>
    <w:rsid w:val="00542AF3"/>
    <w:rsid w:val="00542B4F"/>
    <w:rsid w:val="005437D0"/>
    <w:rsid w:val="00543B4B"/>
    <w:rsid w:val="005447E3"/>
    <w:rsid w:val="00545389"/>
    <w:rsid w:val="00545E6C"/>
    <w:rsid w:val="00545FDC"/>
    <w:rsid w:val="0055048E"/>
    <w:rsid w:val="00550B56"/>
    <w:rsid w:val="00551A1E"/>
    <w:rsid w:val="005521F1"/>
    <w:rsid w:val="005526B8"/>
    <w:rsid w:val="0055338B"/>
    <w:rsid w:val="0055479B"/>
    <w:rsid w:val="00555583"/>
    <w:rsid w:val="0055583A"/>
    <w:rsid w:val="00555B2C"/>
    <w:rsid w:val="00555B4C"/>
    <w:rsid w:val="00555F01"/>
    <w:rsid w:val="00556D66"/>
    <w:rsid w:val="00556E04"/>
    <w:rsid w:val="005572C4"/>
    <w:rsid w:val="005573E9"/>
    <w:rsid w:val="005613AB"/>
    <w:rsid w:val="00562051"/>
    <w:rsid w:val="00562301"/>
    <w:rsid w:val="00562B46"/>
    <w:rsid w:val="0056306A"/>
    <w:rsid w:val="00564223"/>
    <w:rsid w:val="00564D8B"/>
    <w:rsid w:val="00564F1F"/>
    <w:rsid w:val="00566941"/>
    <w:rsid w:val="005676B1"/>
    <w:rsid w:val="00570043"/>
    <w:rsid w:val="00570440"/>
    <w:rsid w:val="00570AF2"/>
    <w:rsid w:val="0057166F"/>
    <w:rsid w:val="00571CB8"/>
    <w:rsid w:val="00572001"/>
    <w:rsid w:val="005738A0"/>
    <w:rsid w:val="00575D70"/>
    <w:rsid w:val="005769D7"/>
    <w:rsid w:val="00576E4D"/>
    <w:rsid w:val="005773FD"/>
    <w:rsid w:val="00577A40"/>
    <w:rsid w:val="00577FF6"/>
    <w:rsid w:val="005822A4"/>
    <w:rsid w:val="005825BD"/>
    <w:rsid w:val="005828C0"/>
    <w:rsid w:val="00583427"/>
    <w:rsid w:val="005842A5"/>
    <w:rsid w:val="0058476C"/>
    <w:rsid w:val="00585C40"/>
    <w:rsid w:val="00585EE1"/>
    <w:rsid w:val="00586B78"/>
    <w:rsid w:val="00586F74"/>
    <w:rsid w:val="00587786"/>
    <w:rsid w:val="00590F25"/>
    <w:rsid w:val="00592D95"/>
    <w:rsid w:val="00593EEA"/>
    <w:rsid w:val="005940CD"/>
    <w:rsid w:val="0059473A"/>
    <w:rsid w:val="00594D11"/>
    <w:rsid w:val="00597085"/>
    <w:rsid w:val="0059798B"/>
    <w:rsid w:val="005A1E31"/>
    <w:rsid w:val="005A2B45"/>
    <w:rsid w:val="005A46EA"/>
    <w:rsid w:val="005A5F5C"/>
    <w:rsid w:val="005A6CE9"/>
    <w:rsid w:val="005A6E49"/>
    <w:rsid w:val="005A7484"/>
    <w:rsid w:val="005B0CE9"/>
    <w:rsid w:val="005B17D5"/>
    <w:rsid w:val="005B370C"/>
    <w:rsid w:val="005B3EDA"/>
    <w:rsid w:val="005B5670"/>
    <w:rsid w:val="005B5742"/>
    <w:rsid w:val="005B65A0"/>
    <w:rsid w:val="005B723D"/>
    <w:rsid w:val="005B7B1A"/>
    <w:rsid w:val="005C023A"/>
    <w:rsid w:val="005C0240"/>
    <w:rsid w:val="005C07D5"/>
    <w:rsid w:val="005C0B5A"/>
    <w:rsid w:val="005C11FE"/>
    <w:rsid w:val="005C1367"/>
    <w:rsid w:val="005C20D4"/>
    <w:rsid w:val="005C4804"/>
    <w:rsid w:val="005C4B77"/>
    <w:rsid w:val="005C4C83"/>
    <w:rsid w:val="005C4D79"/>
    <w:rsid w:val="005C5A62"/>
    <w:rsid w:val="005C6281"/>
    <w:rsid w:val="005C666B"/>
    <w:rsid w:val="005C7E93"/>
    <w:rsid w:val="005D013F"/>
    <w:rsid w:val="005D0B29"/>
    <w:rsid w:val="005D1495"/>
    <w:rsid w:val="005D2868"/>
    <w:rsid w:val="005D360D"/>
    <w:rsid w:val="005D4910"/>
    <w:rsid w:val="005D51E4"/>
    <w:rsid w:val="005D584B"/>
    <w:rsid w:val="005D5891"/>
    <w:rsid w:val="005D7006"/>
    <w:rsid w:val="005D7B65"/>
    <w:rsid w:val="005E0766"/>
    <w:rsid w:val="005E11E5"/>
    <w:rsid w:val="005E15C0"/>
    <w:rsid w:val="005E407C"/>
    <w:rsid w:val="005E4FB6"/>
    <w:rsid w:val="005E640A"/>
    <w:rsid w:val="005E6BE9"/>
    <w:rsid w:val="005E6F44"/>
    <w:rsid w:val="005E7063"/>
    <w:rsid w:val="005E79EB"/>
    <w:rsid w:val="005E7D99"/>
    <w:rsid w:val="005E7DBD"/>
    <w:rsid w:val="005F0595"/>
    <w:rsid w:val="005F0F68"/>
    <w:rsid w:val="005F2094"/>
    <w:rsid w:val="005F30B9"/>
    <w:rsid w:val="005F3776"/>
    <w:rsid w:val="005F4180"/>
    <w:rsid w:val="005F426A"/>
    <w:rsid w:val="005F4446"/>
    <w:rsid w:val="005F4A65"/>
    <w:rsid w:val="005F4B57"/>
    <w:rsid w:val="005F6C66"/>
    <w:rsid w:val="00600E22"/>
    <w:rsid w:val="00600E91"/>
    <w:rsid w:val="00600F6D"/>
    <w:rsid w:val="00602B32"/>
    <w:rsid w:val="006034F0"/>
    <w:rsid w:val="00603CDD"/>
    <w:rsid w:val="00604E14"/>
    <w:rsid w:val="006054EF"/>
    <w:rsid w:val="00606C83"/>
    <w:rsid w:val="00607011"/>
    <w:rsid w:val="00607572"/>
    <w:rsid w:val="006110F4"/>
    <w:rsid w:val="0061230A"/>
    <w:rsid w:val="00615743"/>
    <w:rsid w:val="00616415"/>
    <w:rsid w:val="00617125"/>
    <w:rsid w:val="00621593"/>
    <w:rsid w:val="0062269D"/>
    <w:rsid w:val="0062269E"/>
    <w:rsid w:val="006234D0"/>
    <w:rsid w:val="00624C3C"/>
    <w:rsid w:val="00625CF4"/>
    <w:rsid w:val="00625FAE"/>
    <w:rsid w:val="0062686A"/>
    <w:rsid w:val="0062734C"/>
    <w:rsid w:val="00627D0C"/>
    <w:rsid w:val="006300D3"/>
    <w:rsid w:val="006310D7"/>
    <w:rsid w:val="00632CD4"/>
    <w:rsid w:val="006332CF"/>
    <w:rsid w:val="00633FE7"/>
    <w:rsid w:val="00634188"/>
    <w:rsid w:val="00634DDA"/>
    <w:rsid w:val="00635831"/>
    <w:rsid w:val="00635BCB"/>
    <w:rsid w:val="006364AB"/>
    <w:rsid w:val="00641474"/>
    <w:rsid w:val="00641AC9"/>
    <w:rsid w:val="00644D27"/>
    <w:rsid w:val="00644D89"/>
    <w:rsid w:val="00645D79"/>
    <w:rsid w:val="00646792"/>
    <w:rsid w:val="006472DB"/>
    <w:rsid w:val="006476D8"/>
    <w:rsid w:val="00647EA4"/>
    <w:rsid w:val="006506CC"/>
    <w:rsid w:val="006508AB"/>
    <w:rsid w:val="00650EAB"/>
    <w:rsid w:val="0065251D"/>
    <w:rsid w:val="00652F70"/>
    <w:rsid w:val="00655A85"/>
    <w:rsid w:val="00656D59"/>
    <w:rsid w:val="0066018D"/>
    <w:rsid w:val="006623FF"/>
    <w:rsid w:val="006641B6"/>
    <w:rsid w:val="00664F9D"/>
    <w:rsid w:val="00666C1D"/>
    <w:rsid w:val="00667048"/>
    <w:rsid w:val="006672FF"/>
    <w:rsid w:val="00670096"/>
    <w:rsid w:val="0067055E"/>
    <w:rsid w:val="00671B5F"/>
    <w:rsid w:val="00672641"/>
    <w:rsid w:val="00674773"/>
    <w:rsid w:val="00675BC8"/>
    <w:rsid w:val="00675CF0"/>
    <w:rsid w:val="006767A4"/>
    <w:rsid w:val="00676DBA"/>
    <w:rsid w:val="006777BA"/>
    <w:rsid w:val="006800D2"/>
    <w:rsid w:val="006817B7"/>
    <w:rsid w:val="00681B55"/>
    <w:rsid w:val="00682CFD"/>
    <w:rsid w:val="00682FCE"/>
    <w:rsid w:val="0068431C"/>
    <w:rsid w:val="006846A0"/>
    <w:rsid w:val="00684F9A"/>
    <w:rsid w:val="00686D16"/>
    <w:rsid w:val="00691BC2"/>
    <w:rsid w:val="00693F20"/>
    <w:rsid w:val="0069450E"/>
    <w:rsid w:val="00695822"/>
    <w:rsid w:val="00696684"/>
    <w:rsid w:val="006A03D5"/>
    <w:rsid w:val="006A1287"/>
    <w:rsid w:val="006A1674"/>
    <w:rsid w:val="006A187B"/>
    <w:rsid w:val="006A1FE4"/>
    <w:rsid w:val="006A2B8C"/>
    <w:rsid w:val="006A395E"/>
    <w:rsid w:val="006A3B59"/>
    <w:rsid w:val="006A4036"/>
    <w:rsid w:val="006A43F3"/>
    <w:rsid w:val="006A659F"/>
    <w:rsid w:val="006A70D8"/>
    <w:rsid w:val="006A75C6"/>
    <w:rsid w:val="006A7FF3"/>
    <w:rsid w:val="006B06BB"/>
    <w:rsid w:val="006B19BC"/>
    <w:rsid w:val="006B23E9"/>
    <w:rsid w:val="006B33C5"/>
    <w:rsid w:val="006B3DC8"/>
    <w:rsid w:val="006B55F5"/>
    <w:rsid w:val="006B578D"/>
    <w:rsid w:val="006B719C"/>
    <w:rsid w:val="006B7FCC"/>
    <w:rsid w:val="006C1706"/>
    <w:rsid w:val="006C3736"/>
    <w:rsid w:val="006C3740"/>
    <w:rsid w:val="006C78DA"/>
    <w:rsid w:val="006D08A9"/>
    <w:rsid w:val="006D2470"/>
    <w:rsid w:val="006D2990"/>
    <w:rsid w:val="006D2D1D"/>
    <w:rsid w:val="006D3103"/>
    <w:rsid w:val="006D46FF"/>
    <w:rsid w:val="006D534F"/>
    <w:rsid w:val="006D62E6"/>
    <w:rsid w:val="006E07C6"/>
    <w:rsid w:val="006E1BAD"/>
    <w:rsid w:val="006E1C62"/>
    <w:rsid w:val="006E209A"/>
    <w:rsid w:val="006E246C"/>
    <w:rsid w:val="006E2983"/>
    <w:rsid w:val="006E390E"/>
    <w:rsid w:val="006E4138"/>
    <w:rsid w:val="006E5D09"/>
    <w:rsid w:val="006E6D2A"/>
    <w:rsid w:val="006E6FBA"/>
    <w:rsid w:val="006E7C60"/>
    <w:rsid w:val="006F0390"/>
    <w:rsid w:val="006F1544"/>
    <w:rsid w:val="006F28C5"/>
    <w:rsid w:val="006F506B"/>
    <w:rsid w:val="007004A9"/>
    <w:rsid w:val="007006E1"/>
    <w:rsid w:val="007008E8"/>
    <w:rsid w:val="00701489"/>
    <w:rsid w:val="0070156D"/>
    <w:rsid w:val="007042DB"/>
    <w:rsid w:val="007044F5"/>
    <w:rsid w:val="007052F5"/>
    <w:rsid w:val="00705FC6"/>
    <w:rsid w:val="007063B2"/>
    <w:rsid w:val="0070676C"/>
    <w:rsid w:val="0070687E"/>
    <w:rsid w:val="00707704"/>
    <w:rsid w:val="007109A8"/>
    <w:rsid w:val="00710C49"/>
    <w:rsid w:val="0071440A"/>
    <w:rsid w:val="007144F6"/>
    <w:rsid w:val="0071654F"/>
    <w:rsid w:val="007204C2"/>
    <w:rsid w:val="007206E7"/>
    <w:rsid w:val="00720C41"/>
    <w:rsid w:val="00721B6A"/>
    <w:rsid w:val="007220DA"/>
    <w:rsid w:val="00724D20"/>
    <w:rsid w:val="0072697B"/>
    <w:rsid w:val="00727299"/>
    <w:rsid w:val="007303D8"/>
    <w:rsid w:val="0073208A"/>
    <w:rsid w:val="00732D0B"/>
    <w:rsid w:val="00732D3A"/>
    <w:rsid w:val="00733CB5"/>
    <w:rsid w:val="007343F7"/>
    <w:rsid w:val="00740057"/>
    <w:rsid w:val="00740FC0"/>
    <w:rsid w:val="0074318A"/>
    <w:rsid w:val="007434CC"/>
    <w:rsid w:val="00743EDD"/>
    <w:rsid w:val="00744226"/>
    <w:rsid w:val="00745603"/>
    <w:rsid w:val="00745740"/>
    <w:rsid w:val="007459A1"/>
    <w:rsid w:val="00745CE8"/>
    <w:rsid w:val="007462F6"/>
    <w:rsid w:val="0074644B"/>
    <w:rsid w:val="00747020"/>
    <w:rsid w:val="0074716A"/>
    <w:rsid w:val="0074772D"/>
    <w:rsid w:val="00747BBD"/>
    <w:rsid w:val="007516B3"/>
    <w:rsid w:val="00752873"/>
    <w:rsid w:val="00752CD1"/>
    <w:rsid w:val="00752E0B"/>
    <w:rsid w:val="007548AC"/>
    <w:rsid w:val="00754A6D"/>
    <w:rsid w:val="00754F3F"/>
    <w:rsid w:val="00756162"/>
    <w:rsid w:val="00756204"/>
    <w:rsid w:val="00757EE1"/>
    <w:rsid w:val="00760C59"/>
    <w:rsid w:val="007616A7"/>
    <w:rsid w:val="00761B9C"/>
    <w:rsid w:val="00761CB5"/>
    <w:rsid w:val="00763911"/>
    <w:rsid w:val="00763DDA"/>
    <w:rsid w:val="0076403E"/>
    <w:rsid w:val="00766F22"/>
    <w:rsid w:val="007700C0"/>
    <w:rsid w:val="007706B6"/>
    <w:rsid w:val="00771B7F"/>
    <w:rsid w:val="007725B6"/>
    <w:rsid w:val="00772D76"/>
    <w:rsid w:val="0077392E"/>
    <w:rsid w:val="00774CCF"/>
    <w:rsid w:val="007776A3"/>
    <w:rsid w:val="00777811"/>
    <w:rsid w:val="00777F95"/>
    <w:rsid w:val="00780170"/>
    <w:rsid w:val="00780CE0"/>
    <w:rsid w:val="00781826"/>
    <w:rsid w:val="00781FE6"/>
    <w:rsid w:val="007838E2"/>
    <w:rsid w:val="007846AF"/>
    <w:rsid w:val="00784DB5"/>
    <w:rsid w:val="00784E6D"/>
    <w:rsid w:val="00785136"/>
    <w:rsid w:val="007863EC"/>
    <w:rsid w:val="00786497"/>
    <w:rsid w:val="007864FA"/>
    <w:rsid w:val="00787624"/>
    <w:rsid w:val="00787F17"/>
    <w:rsid w:val="00787F88"/>
    <w:rsid w:val="00790009"/>
    <w:rsid w:val="00790C70"/>
    <w:rsid w:val="007911D9"/>
    <w:rsid w:val="00791559"/>
    <w:rsid w:val="00791A1B"/>
    <w:rsid w:val="00791B93"/>
    <w:rsid w:val="00791E75"/>
    <w:rsid w:val="00793265"/>
    <w:rsid w:val="0079342A"/>
    <w:rsid w:val="007937CC"/>
    <w:rsid w:val="007944EC"/>
    <w:rsid w:val="00794C8F"/>
    <w:rsid w:val="00796FF6"/>
    <w:rsid w:val="00797B2D"/>
    <w:rsid w:val="007A05DD"/>
    <w:rsid w:val="007A0EED"/>
    <w:rsid w:val="007A1E78"/>
    <w:rsid w:val="007A1F55"/>
    <w:rsid w:val="007A24D0"/>
    <w:rsid w:val="007A257D"/>
    <w:rsid w:val="007A25B8"/>
    <w:rsid w:val="007A2A00"/>
    <w:rsid w:val="007A2E50"/>
    <w:rsid w:val="007A3224"/>
    <w:rsid w:val="007A34F7"/>
    <w:rsid w:val="007A5222"/>
    <w:rsid w:val="007A5BD2"/>
    <w:rsid w:val="007A5EBF"/>
    <w:rsid w:val="007A6981"/>
    <w:rsid w:val="007A7A0A"/>
    <w:rsid w:val="007B043B"/>
    <w:rsid w:val="007B0D22"/>
    <w:rsid w:val="007B1BC7"/>
    <w:rsid w:val="007B245D"/>
    <w:rsid w:val="007B33F9"/>
    <w:rsid w:val="007B391B"/>
    <w:rsid w:val="007B432B"/>
    <w:rsid w:val="007B4EDE"/>
    <w:rsid w:val="007B63D0"/>
    <w:rsid w:val="007B6515"/>
    <w:rsid w:val="007B6D9D"/>
    <w:rsid w:val="007C0395"/>
    <w:rsid w:val="007C03D1"/>
    <w:rsid w:val="007C057A"/>
    <w:rsid w:val="007C087E"/>
    <w:rsid w:val="007C1DF5"/>
    <w:rsid w:val="007C2B5C"/>
    <w:rsid w:val="007C430C"/>
    <w:rsid w:val="007C480D"/>
    <w:rsid w:val="007C56EE"/>
    <w:rsid w:val="007C792A"/>
    <w:rsid w:val="007C7E29"/>
    <w:rsid w:val="007D0B08"/>
    <w:rsid w:val="007D1078"/>
    <w:rsid w:val="007D1A29"/>
    <w:rsid w:val="007D2793"/>
    <w:rsid w:val="007D3777"/>
    <w:rsid w:val="007D3AD7"/>
    <w:rsid w:val="007D3F54"/>
    <w:rsid w:val="007D5AEC"/>
    <w:rsid w:val="007D627E"/>
    <w:rsid w:val="007D6300"/>
    <w:rsid w:val="007D641E"/>
    <w:rsid w:val="007D71BF"/>
    <w:rsid w:val="007E3981"/>
    <w:rsid w:val="007E472D"/>
    <w:rsid w:val="007E6A64"/>
    <w:rsid w:val="007E7D31"/>
    <w:rsid w:val="007F087B"/>
    <w:rsid w:val="007F2D85"/>
    <w:rsid w:val="007F2F7F"/>
    <w:rsid w:val="007F33E4"/>
    <w:rsid w:val="007F37C8"/>
    <w:rsid w:val="007F47D7"/>
    <w:rsid w:val="007F757D"/>
    <w:rsid w:val="0080274C"/>
    <w:rsid w:val="00802F26"/>
    <w:rsid w:val="00803878"/>
    <w:rsid w:val="008038EC"/>
    <w:rsid w:val="0080487C"/>
    <w:rsid w:val="00804FC6"/>
    <w:rsid w:val="008053CB"/>
    <w:rsid w:val="00806517"/>
    <w:rsid w:val="00806986"/>
    <w:rsid w:val="00807CDE"/>
    <w:rsid w:val="00810552"/>
    <w:rsid w:val="00810F4B"/>
    <w:rsid w:val="008116A5"/>
    <w:rsid w:val="00813279"/>
    <w:rsid w:val="0081567E"/>
    <w:rsid w:val="008157AF"/>
    <w:rsid w:val="00816383"/>
    <w:rsid w:val="0082481F"/>
    <w:rsid w:val="008305D8"/>
    <w:rsid w:val="00830DA2"/>
    <w:rsid w:val="0083128C"/>
    <w:rsid w:val="0083189A"/>
    <w:rsid w:val="0083367C"/>
    <w:rsid w:val="0083448A"/>
    <w:rsid w:val="00834C5D"/>
    <w:rsid w:val="008363BB"/>
    <w:rsid w:val="00837284"/>
    <w:rsid w:val="00837CB0"/>
    <w:rsid w:val="0084037A"/>
    <w:rsid w:val="00840771"/>
    <w:rsid w:val="00840A59"/>
    <w:rsid w:val="00842B39"/>
    <w:rsid w:val="00842E13"/>
    <w:rsid w:val="00843835"/>
    <w:rsid w:val="00844132"/>
    <w:rsid w:val="008442F2"/>
    <w:rsid w:val="00844CCD"/>
    <w:rsid w:val="008454CE"/>
    <w:rsid w:val="00845E1E"/>
    <w:rsid w:val="0084719C"/>
    <w:rsid w:val="00850D12"/>
    <w:rsid w:val="008517C6"/>
    <w:rsid w:val="0085291A"/>
    <w:rsid w:val="00852A46"/>
    <w:rsid w:val="008531CE"/>
    <w:rsid w:val="00853F6F"/>
    <w:rsid w:val="00853F82"/>
    <w:rsid w:val="008551B3"/>
    <w:rsid w:val="008559A5"/>
    <w:rsid w:val="00857711"/>
    <w:rsid w:val="00860E01"/>
    <w:rsid w:val="00861444"/>
    <w:rsid w:val="0086171D"/>
    <w:rsid w:val="00861727"/>
    <w:rsid w:val="008617D0"/>
    <w:rsid w:val="00861A34"/>
    <w:rsid w:val="00861E61"/>
    <w:rsid w:val="00862CA0"/>
    <w:rsid w:val="00863584"/>
    <w:rsid w:val="00863909"/>
    <w:rsid w:val="0086646F"/>
    <w:rsid w:val="00867A58"/>
    <w:rsid w:val="00872092"/>
    <w:rsid w:val="00872F2B"/>
    <w:rsid w:val="008738D6"/>
    <w:rsid w:val="00874473"/>
    <w:rsid w:val="00875AD5"/>
    <w:rsid w:val="00880BB4"/>
    <w:rsid w:val="00880DF8"/>
    <w:rsid w:val="00881909"/>
    <w:rsid w:val="00882192"/>
    <w:rsid w:val="00885B1B"/>
    <w:rsid w:val="00885CBD"/>
    <w:rsid w:val="008866D5"/>
    <w:rsid w:val="00886C1B"/>
    <w:rsid w:val="008873CB"/>
    <w:rsid w:val="00890DBC"/>
    <w:rsid w:val="008910C2"/>
    <w:rsid w:val="00891929"/>
    <w:rsid w:val="00891E5D"/>
    <w:rsid w:val="008928C7"/>
    <w:rsid w:val="00892A0E"/>
    <w:rsid w:val="00895E1D"/>
    <w:rsid w:val="00896C2B"/>
    <w:rsid w:val="00897811"/>
    <w:rsid w:val="008A0D93"/>
    <w:rsid w:val="008A1516"/>
    <w:rsid w:val="008A2191"/>
    <w:rsid w:val="008A22F2"/>
    <w:rsid w:val="008A25E7"/>
    <w:rsid w:val="008A26A6"/>
    <w:rsid w:val="008A2745"/>
    <w:rsid w:val="008A4C7B"/>
    <w:rsid w:val="008A5539"/>
    <w:rsid w:val="008A5E12"/>
    <w:rsid w:val="008A64D8"/>
    <w:rsid w:val="008A68F2"/>
    <w:rsid w:val="008B0232"/>
    <w:rsid w:val="008B1DC2"/>
    <w:rsid w:val="008B2D7F"/>
    <w:rsid w:val="008B410A"/>
    <w:rsid w:val="008B5B17"/>
    <w:rsid w:val="008B66FB"/>
    <w:rsid w:val="008B67AC"/>
    <w:rsid w:val="008B6F34"/>
    <w:rsid w:val="008B7D0B"/>
    <w:rsid w:val="008C00F2"/>
    <w:rsid w:val="008C066B"/>
    <w:rsid w:val="008C23D1"/>
    <w:rsid w:val="008C4A09"/>
    <w:rsid w:val="008C5C93"/>
    <w:rsid w:val="008C63CD"/>
    <w:rsid w:val="008C666C"/>
    <w:rsid w:val="008C6D55"/>
    <w:rsid w:val="008D1797"/>
    <w:rsid w:val="008D1F7E"/>
    <w:rsid w:val="008D22C1"/>
    <w:rsid w:val="008D2ABA"/>
    <w:rsid w:val="008D352C"/>
    <w:rsid w:val="008D3800"/>
    <w:rsid w:val="008D3BC9"/>
    <w:rsid w:val="008D4D69"/>
    <w:rsid w:val="008D58D3"/>
    <w:rsid w:val="008D5B75"/>
    <w:rsid w:val="008D6C9E"/>
    <w:rsid w:val="008D7BCF"/>
    <w:rsid w:val="008D7C85"/>
    <w:rsid w:val="008E1274"/>
    <w:rsid w:val="008E31A6"/>
    <w:rsid w:val="008E3898"/>
    <w:rsid w:val="008E3A7D"/>
    <w:rsid w:val="008E422E"/>
    <w:rsid w:val="008E5189"/>
    <w:rsid w:val="008E6CF4"/>
    <w:rsid w:val="008E712E"/>
    <w:rsid w:val="008E7496"/>
    <w:rsid w:val="008E7974"/>
    <w:rsid w:val="008E7FBE"/>
    <w:rsid w:val="008F1187"/>
    <w:rsid w:val="008F3886"/>
    <w:rsid w:val="008F5BED"/>
    <w:rsid w:val="008F6123"/>
    <w:rsid w:val="008F6F4A"/>
    <w:rsid w:val="008F7FF5"/>
    <w:rsid w:val="00900272"/>
    <w:rsid w:val="00902FF9"/>
    <w:rsid w:val="00903182"/>
    <w:rsid w:val="0090349D"/>
    <w:rsid w:val="00904379"/>
    <w:rsid w:val="0090475B"/>
    <w:rsid w:val="00904CAE"/>
    <w:rsid w:val="009057DD"/>
    <w:rsid w:val="00906494"/>
    <w:rsid w:val="00910616"/>
    <w:rsid w:val="009111B3"/>
    <w:rsid w:val="0091276A"/>
    <w:rsid w:val="00912B63"/>
    <w:rsid w:val="00913782"/>
    <w:rsid w:val="00913EC8"/>
    <w:rsid w:val="00914185"/>
    <w:rsid w:val="00914A8A"/>
    <w:rsid w:val="00914ABD"/>
    <w:rsid w:val="00915A17"/>
    <w:rsid w:val="00915AE8"/>
    <w:rsid w:val="00917281"/>
    <w:rsid w:val="00917957"/>
    <w:rsid w:val="00922C5F"/>
    <w:rsid w:val="009237F6"/>
    <w:rsid w:val="00924E3C"/>
    <w:rsid w:val="0092591A"/>
    <w:rsid w:val="00925EA6"/>
    <w:rsid w:val="00926DDF"/>
    <w:rsid w:val="00926E6F"/>
    <w:rsid w:val="00930675"/>
    <w:rsid w:val="00930A94"/>
    <w:rsid w:val="00934502"/>
    <w:rsid w:val="009346D8"/>
    <w:rsid w:val="009349B8"/>
    <w:rsid w:val="009349BF"/>
    <w:rsid w:val="00940637"/>
    <w:rsid w:val="0094064E"/>
    <w:rsid w:val="00941554"/>
    <w:rsid w:val="00941BC2"/>
    <w:rsid w:val="009421DF"/>
    <w:rsid w:val="009429A2"/>
    <w:rsid w:val="00946157"/>
    <w:rsid w:val="00947993"/>
    <w:rsid w:val="00947F17"/>
    <w:rsid w:val="00947F49"/>
    <w:rsid w:val="00950DCA"/>
    <w:rsid w:val="00951D2F"/>
    <w:rsid w:val="00951D5C"/>
    <w:rsid w:val="0095235F"/>
    <w:rsid w:val="009527DE"/>
    <w:rsid w:val="00952A98"/>
    <w:rsid w:val="00952B42"/>
    <w:rsid w:val="00954F86"/>
    <w:rsid w:val="00955223"/>
    <w:rsid w:val="0095764B"/>
    <w:rsid w:val="009576AE"/>
    <w:rsid w:val="0095789E"/>
    <w:rsid w:val="009601CE"/>
    <w:rsid w:val="00960C32"/>
    <w:rsid w:val="0096399D"/>
    <w:rsid w:val="00963A5D"/>
    <w:rsid w:val="00963B2A"/>
    <w:rsid w:val="0096409B"/>
    <w:rsid w:val="00964CDD"/>
    <w:rsid w:val="009659AB"/>
    <w:rsid w:val="00967607"/>
    <w:rsid w:val="00970999"/>
    <w:rsid w:val="0097178C"/>
    <w:rsid w:val="00971FA1"/>
    <w:rsid w:val="00973664"/>
    <w:rsid w:val="0097553A"/>
    <w:rsid w:val="0097589C"/>
    <w:rsid w:val="00976893"/>
    <w:rsid w:val="00976F58"/>
    <w:rsid w:val="0098072C"/>
    <w:rsid w:val="00980FA9"/>
    <w:rsid w:val="00981C9F"/>
    <w:rsid w:val="00981F75"/>
    <w:rsid w:val="009829EA"/>
    <w:rsid w:val="00983E63"/>
    <w:rsid w:val="0098467F"/>
    <w:rsid w:val="009848F7"/>
    <w:rsid w:val="0098585F"/>
    <w:rsid w:val="009878A4"/>
    <w:rsid w:val="009903E8"/>
    <w:rsid w:val="00992B53"/>
    <w:rsid w:val="00992E03"/>
    <w:rsid w:val="009949AB"/>
    <w:rsid w:val="00995153"/>
    <w:rsid w:val="00996957"/>
    <w:rsid w:val="00997FA7"/>
    <w:rsid w:val="009A0810"/>
    <w:rsid w:val="009A0883"/>
    <w:rsid w:val="009A2418"/>
    <w:rsid w:val="009A2423"/>
    <w:rsid w:val="009A3E1D"/>
    <w:rsid w:val="009A40F9"/>
    <w:rsid w:val="009A43BA"/>
    <w:rsid w:val="009A4614"/>
    <w:rsid w:val="009A4B75"/>
    <w:rsid w:val="009A4E64"/>
    <w:rsid w:val="009A525F"/>
    <w:rsid w:val="009A553E"/>
    <w:rsid w:val="009A6002"/>
    <w:rsid w:val="009A6792"/>
    <w:rsid w:val="009A69B4"/>
    <w:rsid w:val="009A7703"/>
    <w:rsid w:val="009A7722"/>
    <w:rsid w:val="009B010E"/>
    <w:rsid w:val="009B13BF"/>
    <w:rsid w:val="009B1E61"/>
    <w:rsid w:val="009B2C7B"/>
    <w:rsid w:val="009B46FE"/>
    <w:rsid w:val="009B6C5C"/>
    <w:rsid w:val="009B6FD6"/>
    <w:rsid w:val="009B7261"/>
    <w:rsid w:val="009B7D11"/>
    <w:rsid w:val="009C1DAF"/>
    <w:rsid w:val="009C30BE"/>
    <w:rsid w:val="009C4E32"/>
    <w:rsid w:val="009C5308"/>
    <w:rsid w:val="009C6110"/>
    <w:rsid w:val="009C7CD8"/>
    <w:rsid w:val="009D05F6"/>
    <w:rsid w:val="009D0DCE"/>
    <w:rsid w:val="009D1236"/>
    <w:rsid w:val="009D170D"/>
    <w:rsid w:val="009D1C6B"/>
    <w:rsid w:val="009D2CE0"/>
    <w:rsid w:val="009D3A9E"/>
    <w:rsid w:val="009D615C"/>
    <w:rsid w:val="009D71C7"/>
    <w:rsid w:val="009D73CB"/>
    <w:rsid w:val="009E1A46"/>
    <w:rsid w:val="009E1E24"/>
    <w:rsid w:val="009E25E8"/>
    <w:rsid w:val="009E2890"/>
    <w:rsid w:val="009E2F6B"/>
    <w:rsid w:val="009E4963"/>
    <w:rsid w:val="009E4C05"/>
    <w:rsid w:val="009E5098"/>
    <w:rsid w:val="009E72FA"/>
    <w:rsid w:val="009E7327"/>
    <w:rsid w:val="009E741C"/>
    <w:rsid w:val="009F08EE"/>
    <w:rsid w:val="009F0AEA"/>
    <w:rsid w:val="009F0F7B"/>
    <w:rsid w:val="009F2205"/>
    <w:rsid w:val="009F2396"/>
    <w:rsid w:val="009F31CD"/>
    <w:rsid w:val="009F39D5"/>
    <w:rsid w:val="009F3FB3"/>
    <w:rsid w:val="009F603E"/>
    <w:rsid w:val="009F6B0C"/>
    <w:rsid w:val="009F7039"/>
    <w:rsid w:val="009F73A4"/>
    <w:rsid w:val="009F743F"/>
    <w:rsid w:val="00A0020D"/>
    <w:rsid w:val="00A00F17"/>
    <w:rsid w:val="00A04A26"/>
    <w:rsid w:val="00A04F46"/>
    <w:rsid w:val="00A04F7C"/>
    <w:rsid w:val="00A054D5"/>
    <w:rsid w:val="00A073FF"/>
    <w:rsid w:val="00A07F9C"/>
    <w:rsid w:val="00A10495"/>
    <w:rsid w:val="00A107F3"/>
    <w:rsid w:val="00A118DC"/>
    <w:rsid w:val="00A12AD8"/>
    <w:rsid w:val="00A12B83"/>
    <w:rsid w:val="00A1373D"/>
    <w:rsid w:val="00A13B41"/>
    <w:rsid w:val="00A141C3"/>
    <w:rsid w:val="00A146C5"/>
    <w:rsid w:val="00A15312"/>
    <w:rsid w:val="00A16861"/>
    <w:rsid w:val="00A16EBB"/>
    <w:rsid w:val="00A17CA8"/>
    <w:rsid w:val="00A2042C"/>
    <w:rsid w:val="00A20443"/>
    <w:rsid w:val="00A21C36"/>
    <w:rsid w:val="00A22658"/>
    <w:rsid w:val="00A22B27"/>
    <w:rsid w:val="00A23A72"/>
    <w:rsid w:val="00A23D37"/>
    <w:rsid w:val="00A24EA6"/>
    <w:rsid w:val="00A2533A"/>
    <w:rsid w:val="00A25BFF"/>
    <w:rsid w:val="00A25CE7"/>
    <w:rsid w:val="00A26056"/>
    <w:rsid w:val="00A263DB"/>
    <w:rsid w:val="00A272AA"/>
    <w:rsid w:val="00A27ED5"/>
    <w:rsid w:val="00A308AF"/>
    <w:rsid w:val="00A329DB"/>
    <w:rsid w:val="00A32D66"/>
    <w:rsid w:val="00A32F5D"/>
    <w:rsid w:val="00A334A8"/>
    <w:rsid w:val="00A336A6"/>
    <w:rsid w:val="00A34453"/>
    <w:rsid w:val="00A34ACF"/>
    <w:rsid w:val="00A35218"/>
    <w:rsid w:val="00A354DE"/>
    <w:rsid w:val="00A36F67"/>
    <w:rsid w:val="00A37ADF"/>
    <w:rsid w:val="00A4096D"/>
    <w:rsid w:val="00A4257C"/>
    <w:rsid w:val="00A425B9"/>
    <w:rsid w:val="00A43C64"/>
    <w:rsid w:val="00A4541E"/>
    <w:rsid w:val="00A4583C"/>
    <w:rsid w:val="00A45BC2"/>
    <w:rsid w:val="00A46048"/>
    <w:rsid w:val="00A473DC"/>
    <w:rsid w:val="00A47EE4"/>
    <w:rsid w:val="00A519B1"/>
    <w:rsid w:val="00A51ECC"/>
    <w:rsid w:val="00A52918"/>
    <w:rsid w:val="00A55267"/>
    <w:rsid w:val="00A55370"/>
    <w:rsid w:val="00A57E2B"/>
    <w:rsid w:val="00A57EBA"/>
    <w:rsid w:val="00A6081B"/>
    <w:rsid w:val="00A6082D"/>
    <w:rsid w:val="00A6241D"/>
    <w:rsid w:val="00A6325A"/>
    <w:rsid w:val="00A662A0"/>
    <w:rsid w:val="00A665D1"/>
    <w:rsid w:val="00A71286"/>
    <w:rsid w:val="00A7143D"/>
    <w:rsid w:val="00A719B1"/>
    <w:rsid w:val="00A719F7"/>
    <w:rsid w:val="00A72FED"/>
    <w:rsid w:val="00A73166"/>
    <w:rsid w:val="00A73FAD"/>
    <w:rsid w:val="00A7403F"/>
    <w:rsid w:val="00A75C6B"/>
    <w:rsid w:val="00A76950"/>
    <w:rsid w:val="00A76CD6"/>
    <w:rsid w:val="00A76D2B"/>
    <w:rsid w:val="00A80063"/>
    <w:rsid w:val="00A81C2B"/>
    <w:rsid w:val="00A829BF"/>
    <w:rsid w:val="00A82A3D"/>
    <w:rsid w:val="00A83D50"/>
    <w:rsid w:val="00A84B94"/>
    <w:rsid w:val="00A84D92"/>
    <w:rsid w:val="00A876EF"/>
    <w:rsid w:val="00A876F3"/>
    <w:rsid w:val="00A90967"/>
    <w:rsid w:val="00A91914"/>
    <w:rsid w:val="00A91B1A"/>
    <w:rsid w:val="00A91BAA"/>
    <w:rsid w:val="00A92A10"/>
    <w:rsid w:val="00A9334A"/>
    <w:rsid w:val="00A9601A"/>
    <w:rsid w:val="00A9630E"/>
    <w:rsid w:val="00A96DB5"/>
    <w:rsid w:val="00A97681"/>
    <w:rsid w:val="00A978D5"/>
    <w:rsid w:val="00A97F60"/>
    <w:rsid w:val="00AA0573"/>
    <w:rsid w:val="00AA0586"/>
    <w:rsid w:val="00AA0BC6"/>
    <w:rsid w:val="00AA2931"/>
    <w:rsid w:val="00AA431E"/>
    <w:rsid w:val="00AA4C4B"/>
    <w:rsid w:val="00AA4E70"/>
    <w:rsid w:val="00AA5E53"/>
    <w:rsid w:val="00AA669A"/>
    <w:rsid w:val="00AB28B9"/>
    <w:rsid w:val="00AB2D18"/>
    <w:rsid w:val="00AB32F1"/>
    <w:rsid w:val="00AB34E1"/>
    <w:rsid w:val="00AB3A15"/>
    <w:rsid w:val="00AB5011"/>
    <w:rsid w:val="00AB506B"/>
    <w:rsid w:val="00AB5AE6"/>
    <w:rsid w:val="00AB7019"/>
    <w:rsid w:val="00AB7C0B"/>
    <w:rsid w:val="00AC05D7"/>
    <w:rsid w:val="00AC14EA"/>
    <w:rsid w:val="00AC1952"/>
    <w:rsid w:val="00AC1989"/>
    <w:rsid w:val="00AC2F52"/>
    <w:rsid w:val="00AC7199"/>
    <w:rsid w:val="00AC73D2"/>
    <w:rsid w:val="00AD0203"/>
    <w:rsid w:val="00AD10F3"/>
    <w:rsid w:val="00AD239C"/>
    <w:rsid w:val="00AD28DA"/>
    <w:rsid w:val="00AD319B"/>
    <w:rsid w:val="00AD3410"/>
    <w:rsid w:val="00AD41D7"/>
    <w:rsid w:val="00AD53C3"/>
    <w:rsid w:val="00AD654D"/>
    <w:rsid w:val="00AD6AA0"/>
    <w:rsid w:val="00AD7982"/>
    <w:rsid w:val="00AD7B43"/>
    <w:rsid w:val="00AD7CDB"/>
    <w:rsid w:val="00AE0145"/>
    <w:rsid w:val="00AE016E"/>
    <w:rsid w:val="00AE0731"/>
    <w:rsid w:val="00AE0EFB"/>
    <w:rsid w:val="00AE1CC2"/>
    <w:rsid w:val="00AE3626"/>
    <w:rsid w:val="00AE4B12"/>
    <w:rsid w:val="00AE4C6B"/>
    <w:rsid w:val="00AE627C"/>
    <w:rsid w:val="00AE71C6"/>
    <w:rsid w:val="00AE7806"/>
    <w:rsid w:val="00AE7BCF"/>
    <w:rsid w:val="00AE7CE2"/>
    <w:rsid w:val="00AF24F9"/>
    <w:rsid w:val="00AF2627"/>
    <w:rsid w:val="00AF3236"/>
    <w:rsid w:val="00AF388A"/>
    <w:rsid w:val="00AF4E73"/>
    <w:rsid w:val="00AF513A"/>
    <w:rsid w:val="00AF5456"/>
    <w:rsid w:val="00AF6607"/>
    <w:rsid w:val="00B00522"/>
    <w:rsid w:val="00B00EAB"/>
    <w:rsid w:val="00B0120A"/>
    <w:rsid w:val="00B01AAA"/>
    <w:rsid w:val="00B02203"/>
    <w:rsid w:val="00B022B7"/>
    <w:rsid w:val="00B02A74"/>
    <w:rsid w:val="00B03A94"/>
    <w:rsid w:val="00B0442A"/>
    <w:rsid w:val="00B04602"/>
    <w:rsid w:val="00B04AAA"/>
    <w:rsid w:val="00B05761"/>
    <w:rsid w:val="00B05974"/>
    <w:rsid w:val="00B0649C"/>
    <w:rsid w:val="00B0704F"/>
    <w:rsid w:val="00B07616"/>
    <w:rsid w:val="00B07E13"/>
    <w:rsid w:val="00B10337"/>
    <w:rsid w:val="00B10381"/>
    <w:rsid w:val="00B111DD"/>
    <w:rsid w:val="00B11DC3"/>
    <w:rsid w:val="00B13385"/>
    <w:rsid w:val="00B14CEA"/>
    <w:rsid w:val="00B14DD0"/>
    <w:rsid w:val="00B207AE"/>
    <w:rsid w:val="00B20875"/>
    <w:rsid w:val="00B20F28"/>
    <w:rsid w:val="00B21C83"/>
    <w:rsid w:val="00B2220C"/>
    <w:rsid w:val="00B22F67"/>
    <w:rsid w:val="00B23209"/>
    <w:rsid w:val="00B233DF"/>
    <w:rsid w:val="00B2358B"/>
    <w:rsid w:val="00B25CC5"/>
    <w:rsid w:val="00B26678"/>
    <w:rsid w:val="00B2686D"/>
    <w:rsid w:val="00B27195"/>
    <w:rsid w:val="00B30538"/>
    <w:rsid w:val="00B30C20"/>
    <w:rsid w:val="00B319AC"/>
    <w:rsid w:val="00B33301"/>
    <w:rsid w:val="00B33CFC"/>
    <w:rsid w:val="00B37368"/>
    <w:rsid w:val="00B41959"/>
    <w:rsid w:val="00B4196C"/>
    <w:rsid w:val="00B41B28"/>
    <w:rsid w:val="00B429FF"/>
    <w:rsid w:val="00B4316C"/>
    <w:rsid w:val="00B437D9"/>
    <w:rsid w:val="00B43C29"/>
    <w:rsid w:val="00B449F9"/>
    <w:rsid w:val="00B451FA"/>
    <w:rsid w:val="00B462DD"/>
    <w:rsid w:val="00B46EED"/>
    <w:rsid w:val="00B46F8B"/>
    <w:rsid w:val="00B4748B"/>
    <w:rsid w:val="00B474EE"/>
    <w:rsid w:val="00B5044E"/>
    <w:rsid w:val="00B52617"/>
    <w:rsid w:val="00B536BD"/>
    <w:rsid w:val="00B53E8B"/>
    <w:rsid w:val="00B542BE"/>
    <w:rsid w:val="00B551FB"/>
    <w:rsid w:val="00B5656F"/>
    <w:rsid w:val="00B61437"/>
    <w:rsid w:val="00B61B36"/>
    <w:rsid w:val="00B625F4"/>
    <w:rsid w:val="00B627B1"/>
    <w:rsid w:val="00B63792"/>
    <w:rsid w:val="00B6448F"/>
    <w:rsid w:val="00B644FE"/>
    <w:rsid w:val="00B64D73"/>
    <w:rsid w:val="00B64E1A"/>
    <w:rsid w:val="00B64F2C"/>
    <w:rsid w:val="00B656A1"/>
    <w:rsid w:val="00B65D3B"/>
    <w:rsid w:val="00B66FEF"/>
    <w:rsid w:val="00B70483"/>
    <w:rsid w:val="00B709F1"/>
    <w:rsid w:val="00B70AD9"/>
    <w:rsid w:val="00B7142F"/>
    <w:rsid w:val="00B717AB"/>
    <w:rsid w:val="00B72298"/>
    <w:rsid w:val="00B732CA"/>
    <w:rsid w:val="00B73A3D"/>
    <w:rsid w:val="00B74622"/>
    <w:rsid w:val="00B748B4"/>
    <w:rsid w:val="00B74CBD"/>
    <w:rsid w:val="00B7515F"/>
    <w:rsid w:val="00B755BE"/>
    <w:rsid w:val="00B75867"/>
    <w:rsid w:val="00B7634C"/>
    <w:rsid w:val="00B769B6"/>
    <w:rsid w:val="00B80A15"/>
    <w:rsid w:val="00B81391"/>
    <w:rsid w:val="00B813E2"/>
    <w:rsid w:val="00B84DA0"/>
    <w:rsid w:val="00B8696E"/>
    <w:rsid w:val="00B8755A"/>
    <w:rsid w:val="00B87B0F"/>
    <w:rsid w:val="00B87C69"/>
    <w:rsid w:val="00B9061D"/>
    <w:rsid w:val="00B90638"/>
    <w:rsid w:val="00B932E1"/>
    <w:rsid w:val="00B94113"/>
    <w:rsid w:val="00B94146"/>
    <w:rsid w:val="00B948D7"/>
    <w:rsid w:val="00B949EC"/>
    <w:rsid w:val="00B95366"/>
    <w:rsid w:val="00B95BF1"/>
    <w:rsid w:val="00B96E57"/>
    <w:rsid w:val="00BA0743"/>
    <w:rsid w:val="00BA08D8"/>
    <w:rsid w:val="00BA4687"/>
    <w:rsid w:val="00BA5201"/>
    <w:rsid w:val="00BA5421"/>
    <w:rsid w:val="00BA5A03"/>
    <w:rsid w:val="00BA65B6"/>
    <w:rsid w:val="00BA6715"/>
    <w:rsid w:val="00BA7147"/>
    <w:rsid w:val="00BB0562"/>
    <w:rsid w:val="00BB1977"/>
    <w:rsid w:val="00BB54AD"/>
    <w:rsid w:val="00BB5AEE"/>
    <w:rsid w:val="00BB5BBE"/>
    <w:rsid w:val="00BB5BF7"/>
    <w:rsid w:val="00BB5C34"/>
    <w:rsid w:val="00BB61A2"/>
    <w:rsid w:val="00BB6D91"/>
    <w:rsid w:val="00BB7232"/>
    <w:rsid w:val="00BB799A"/>
    <w:rsid w:val="00BC0F3F"/>
    <w:rsid w:val="00BC216B"/>
    <w:rsid w:val="00BC37C5"/>
    <w:rsid w:val="00BC39D6"/>
    <w:rsid w:val="00BC45BB"/>
    <w:rsid w:val="00BC602A"/>
    <w:rsid w:val="00BC60BC"/>
    <w:rsid w:val="00BC61A0"/>
    <w:rsid w:val="00BC63B9"/>
    <w:rsid w:val="00BC6656"/>
    <w:rsid w:val="00BC6D6B"/>
    <w:rsid w:val="00BC7498"/>
    <w:rsid w:val="00BC770E"/>
    <w:rsid w:val="00BC79C7"/>
    <w:rsid w:val="00BC7DC8"/>
    <w:rsid w:val="00BC7E05"/>
    <w:rsid w:val="00BD0DC4"/>
    <w:rsid w:val="00BD39DC"/>
    <w:rsid w:val="00BD53B7"/>
    <w:rsid w:val="00BD6ECE"/>
    <w:rsid w:val="00BD776D"/>
    <w:rsid w:val="00BE0436"/>
    <w:rsid w:val="00BE04F1"/>
    <w:rsid w:val="00BE1599"/>
    <w:rsid w:val="00BE2647"/>
    <w:rsid w:val="00BE288E"/>
    <w:rsid w:val="00BE2CCD"/>
    <w:rsid w:val="00BE3CD4"/>
    <w:rsid w:val="00BE3E9D"/>
    <w:rsid w:val="00BE4334"/>
    <w:rsid w:val="00BE51A9"/>
    <w:rsid w:val="00BE5233"/>
    <w:rsid w:val="00BE5BB4"/>
    <w:rsid w:val="00BE6E10"/>
    <w:rsid w:val="00BE7188"/>
    <w:rsid w:val="00BE7854"/>
    <w:rsid w:val="00BF0F3C"/>
    <w:rsid w:val="00BF19C2"/>
    <w:rsid w:val="00BF1E7C"/>
    <w:rsid w:val="00BF203D"/>
    <w:rsid w:val="00BF5777"/>
    <w:rsid w:val="00BF693C"/>
    <w:rsid w:val="00BF7B1D"/>
    <w:rsid w:val="00C00998"/>
    <w:rsid w:val="00C011E9"/>
    <w:rsid w:val="00C01883"/>
    <w:rsid w:val="00C03006"/>
    <w:rsid w:val="00C0437C"/>
    <w:rsid w:val="00C04C3A"/>
    <w:rsid w:val="00C059B1"/>
    <w:rsid w:val="00C0681C"/>
    <w:rsid w:val="00C06B2A"/>
    <w:rsid w:val="00C077FD"/>
    <w:rsid w:val="00C10438"/>
    <w:rsid w:val="00C125D9"/>
    <w:rsid w:val="00C12B5A"/>
    <w:rsid w:val="00C12ECF"/>
    <w:rsid w:val="00C13091"/>
    <w:rsid w:val="00C14C10"/>
    <w:rsid w:val="00C15D9A"/>
    <w:rsid w:val="00C17018"/>
    <w:rsid w:val="00C175F1"/>
    <w:rsid w:val="00C17900"/>
    <w:rsid w:val="00C20F82"/>
    <w:rsid w:val="00C21742"/>
    <w:rsid w:val="00C218F6"/>
    <w:rsid w:val="00C21CDA"/>
    <w:rsid w:val="00C262D1"/>
    <w:rsid w:val="00C26359"/>
    <w:rsid w:val="00C2714D"/>
    <w:rsid w:val="00C27DF8"/>
    <w:rsid w:val="00C3015B"/>
    <w:rsid w:val="00C318C9"/>
    <w:rsid w:val="00C32784"/>
    <w:rsid w:val="00C328E0"/>
    <w:rsid w:val="00C341D0"/>
    <w:rsid w:val="00C35E95"/>
    <w:rsid w:val="00C36745"/>
    <w:rsid w:val="00C368D2"/>
    <w:rsid w:val="00C36A17"/>
    <w:rsid w:val="00C3714E"/>
    <w:rsid w:val="00C412FB"/>
    <w:rsid w:val="00C42EEC"/>
    <w:rsid w:val="00C4479D"/>
    <w:rsid w:val="00C452B3"/>
    <w:rsid w:val="00C459FD"/>
    <w:rsid w:val="00C45F91"/>
    <w:rsid w:val="00C4686A"/>
    <w:rsid w:val="00C47116"/>
    <w:rsid w:val="00C479A5"/>
    <w:rsid w:val="00C5013A"/>
    <w:rsid w:val="00C5040E"/>
    <w:rsid w:val="00C51C29"/>
    <w:rsid w:val="00C522DF"/>
    <w:rsid w:val="00C53727"/>
    <w:rsid w:val="00C53E06"/>
    <w:rsid w:val="00C55772"/>
    <w:rsid w:val="00C56394"/>
    <w:rsid w:val="00C569C8"/>
    <w:rsid w:val="00C577C6"/>
    <w:rsid w:val="00C6061A"/>
    <w:rsid w:val="00C62376"/>
    <w:rsid w:val="00C6255F"/>
    <w:rsid w:val="00C62A65"/>
    <w:rsid w:val="00C63125"/>
    <w:rsid w:val="00C63699"/>
    <w:rsid w:val="00C6426E"/>
    <w:rsid w:val="00C64F2E"/>
    <w:rsid w:val="00C65907"/>
    <w:rsid w:val="00C666F4"/>
    <w:rsid w:val="00C66DE9"/>
    <w:rsid w:val="00C66E56"/>
    <w:rsid w:val="00C678FF"/>
    <w:rsid w:val="00C67BD9"/>
    <w:rsid w:val="00C700FD"/>
    <w:rsid w:val="00C70B44"/>
    <w:rsid w:val="00C70DDE"/>
    <w:rsid w:val="00C714FE"/>
    <w:rsid w:val="00C74AC4"/>
    <w:rsid w:val="00C75B7C"/>
    <w:rsid w:val="00C80196"/>
    <w:rsid w:val="00C80824"/>
    <w:rsid w:val="00C80B71"/>
    <w:rsid w:val="00C82B8E"/>
    <w:rsid w:val="00C82CC3"/>
    <w:rsid w:val="00C84169"/>
    <w:rsid w:val="00C84BDB"/>
    <w:rsid w:val="00C877EC"/>
    <w:rsid w:val="00C90EB4"/>
    <w:rsid w:val="00C917AB"/>
    <w:rsid w:val="00C918A9"/>
    <w:rsid w:val="00C92192"/>
    <w:rsid w:val="00C934DB"/>
    <w:rsid w:val="00C97258"/>
    <w:rsid w:val="00CA2466"/>
    <w:rsid w:val="00CA24E2"/>
    <w:rsid w:val="00CA2570"/>
    <w:rsid w:val="00CA4132"/>
    <w:rsid w:val="00CA4769"/>
    <w:rsid w:val="00CA4A5C"/>
    <w:rsid w:val="00CA51C6"/>
    <w:rsid w:val="00CA577E"/>
    <w:rsid w:val="00CA57AD"/>
    <w:rsid w:val="00CA68C3"/>
    <w:rsid w:val="00CA6A22"/>
    <w:rsid w:val="00CA6B01"/>
    <w:rsid w:val="00CA785E"/>
    <w:rsid w:val="00CB1084"/>
    <w:rsid w:val="00CB1148"/>
    <w:rsid w:val="00CB4E26"/>
    <w:rsid w:val="00CB5ACC"/>
    <w:rsid w:val="00CB5BF5"/>
    <w:rsid w:val="00CB5D8B"/>
    <w:rsid w:val="00CB6B9A"/>
    <w:rsid w:val="00CC046A"/>
    <w:rsid w:val="00CC064F"/>
    <w:rsid w:val="00CC28C9"/>
    <w:rsid w:val="00CC2F02"/>
    <w:rsid w:val="00CC47A0"/>
    <w:rsid w:val="00CC5C0F"/>
    <w:rsid w:val="00CC61BD"/>
    <w:rsid w:val="00CC75AF"/>
    <w:rsid w:val="00CC79F7"/>
    <w:rsid w:val="00CD03A9"/>
    <w:rsid w:val="00CD07F8"/>
    <w:rsid w:val="00CD113B"/>
    <w:rsid w:val="00CD2B0B"/>
    <w:rsid w:val="00CD360B"/>
    <w:rsid w:val="00CD45F0"/>
    <w:rsid w:val="00CD4CCB"/>
    <w:rsid w:val="00CD600E"/>
    <w:rsid w:val="00CD72C0"/>
    <w:rsid w:val="00CD7C05"/>
    <w:rsid w:val="00CE0161"/>
    <w:rsid w:val="00CE0264"/>
    <w:rsid w:val="00CE0313"/>
    <w:rsid w:val="00CE044D"/>
    <w:rsid w:val="00CE0DBA"/>
    <w:rsid w:val="00CE1CDA"/>
    <w:rsid w:val="00CE2B2A"/>
    <w:rsid w:val="00CE2F28"/>
    <w:rsid w:val="00CE34CC"/>
    <w:rsid w:val="00CE37F0"/>
    <w:rsid w:val="00CE3E0A"/>
    <w:rsid w:val="00CE44FF"/>
    <w:rsid w:val="00CE4C91"/>
    <w:rsid w:val="00CE517A"/>
    <w:rsid w:val="00CE589C"/>
    <w:rsid w:val="00CE62E0"/>
    <w:rsid w:val="00CE6BF8"/>
    <w:rsid w:val="00CE78E7"/>
    <w:rsid w:val="00CE7D6D"/>
    <w:rsid w:val="00CF0A6C"/>
    <w:rsid w:val="00CF11A7"/>
    <w:rsid w:val="00CF39DC"/>
    <w:rsid w:val="00CF3C43"/>
    <w:rsid w:val="00CF5C99"/>
    <w:rsid w:val="00CF615F"/>
    <w:rsid w:val="00CF7B3D"/>
    <w:rsid w:val="00D01CB3"/>
    <w:rsid w:val="00D0264E"/>
    <w:rsid w:val="00D03E83"/>
    <w:rsid w:val="00D04885"/>
    <w:rsid w:val="00D04EA6"/>
    <w:rsid w:val="00D06371"/>
    <w:rsid w:val="00D0691C"/>
    <w:rsid w:val="00D10185"/>
    <w:rsid w:val="00D10275"/>
    <w:rsid w:val="00D10DFA"/>
    <w:rsid w:val="00D10FA6"/>
    <w:rsid w:val="00D129CC"/>
    <w:rsid w:val="00D13A9B"/>
    <w:rsid w:val="00D1441F"/>
    <w:rsid w:val="00D15487"/>
    <w:rsid w:val="00D202FA"/>
    <w:rsid w:val="00D21977"/>
    <w:rsid w:val="00D21D84"/>
    <w:rsid w:val="00D23509"/>
    <w:rsid w:val="00D23C50"/>
    <w:rsid w:val="00D24155"/>
    <w:rsid w:val="00D2636A"/>
    <w:rsid w:val="00D2644C"/>
    <w:rsid w:val="00D277C5"/>
    <w:rsid w:val="00D3035B"/>
    <w:rsid w:val="00D306E1"/>
    <w:rsid w:val="00D34AFE"/>
    <w:rsid w:val="00D35339"/>
    <w:rsid w:val="00D3556E"/>
    <w:rsid w:val="00D36288"/>
    <w:rsid w:val="00D37D40"/>
    <w:rsid w:val="00D40C53"/>
    <w:rsid w:val="00D40DD9"/>
    <w:rsid w:val="00D41017"/>
    <w:rsid w:val="00D42087"/>
    <w:rsid w:val="00D422EF"/>
    <w:rsid w:val="00D427DC"/>
    <w:rsid w:val="00D42C2D"/>
    <w:rsid w:val="00D4394C"/>
    <w:rsid w:val="00D43EF2"/>
    <w:rsid w:val="00D443BA"/>
    <w:rsid w:val="00D446D7"/>
    <w:rsid w:val="00D448F1"/>
    <w:rsid w:val="00D44D08"/>
    <w:rsid w:val="00D46BC4"/>
    <w:rsid w:val="00D5003A"/>
    <w:rsid w:val="00D50BB9"/>
    <w:rsid w:val="00D5110C"/>
    <w:rsid w:val="00D532CA"/>
    <w:rsid w:val="00D5356F"/>
    <w:rsid w:val="00D54CD5"/>
    <w:rsid w:val="00D55137"/>
    <w:rsid w:val="00D55274"/>
    <w:rsid w:val="00D55B4D"/>
    <w:rsid w:val="00D5621C"/>
    <w:rsid w:val="00D568D3"/>
    <w:rsid w:val="00D5787E"/>
    <w:rsid w:val="00D57925"/>
    <w:rsid w:val="00D57DD1"/>
    <w:rsid w:val="00D60AC8"/>
    <w:rsid w:val="00D60D1B"/>
    <w:rsid w:val="00D61EAB"/>
    <w:rsid w:val="00D622CF"/>
    <w:rsid w:val="00D62F29"/>
    <w:rsid w:val="00D62F8A"/>
    <w:rsid w:val="00D638E8"/>
    <w:rsid w:val="00D6393B"/>
    <w:rsid w:val="00D63E49"/>
    <w:rsid w:val="00D64C67"/>
    <w:rsid w:val="00D65E5A"/>
    <w:rsid w:val="00D6734C"/>
    <w:rsid w:val="00D6736E"/>
    <w:rsid w:val="00D67A30"/>
    <w:rsid w:val="00D72917"/>
    <w:rsid w:val="00D73068"/>
    <w:rsid w:val="00D73F18"/>
    <w:rsid w:val="00D7497C"/>
    <w:rsid w:val="00D74A41"/>
    <w:rsid w:val="00D74C38"/>
    <w:rsid w:val="00D74F04"/>
    <w:rsid w:val="00D76C38"/>
    <w:rsid w:val="00D80E10"/>
    <w:rsid w:val="00D823D0"/>
    <w:rsid w:val="00D835F7"/>
    <w:rsid w:val="00D83F9F"/>
    <w:rsid w:val="00D84DB0"/>
    <w:rsid w:val="00D85228"/>
    <w:rsid w:val="00D85835"/>
    <w:rsid w:val="00D866E8"/>
    <w:rsid w:val="00D86C08"/>
    <w:rsid w:val="00D8745C"/>
    <w:rsid w:val="00D90217"/>
    <w:rsid w:val="00D9048D"/>
    <w:rsid w:val="00D90715"/>
    <w:rsid w:val="00D9140F"/>
    <w:rsid w:val="00D91702"/>
    <w:rsid w:val="00D929AB"/>
    <w:rsid w:val="00D92BA8"/>
    <w:rsid w:val="00D9573D"/>
    <w:rsid w:val="00D957FA"/>
    <w:rsid w:val="00D97E77"/>
    <w:rsid w:val="00DA10B4"/>
    <w:rsid w:val="00DA2309"/>
    <w:rsid w:val="00DA2368"/>
    <w:rsid w:val="00DA249A"/>
    <w:rsid w:val="00DA31FA"/>
    <w:rsid w:val="00DA4170"/>
    <w:rsid w:val="00DA75B7"/>
    <w:rsid w:val="00DB074F"/>
    <w:rsid w:val="00DB0A2B"/>
    <w:rsid w:val="00DB3C49"/>
    <w:rsid w:val="00DB54D0"/>
    <w:rsid w:val="00DB54D5"/>
    <w:rsid w:val="00DB617C"/>
    <w:rsid w:val="00DB61FE"/>
    <w:rsid w:val="00DB6F76"/>
    <w:rsid w:val="00DC1E57"/>
    <w:rsid w:val="00DC3C24"/>
    <w:rsid w:val="00DC3D6B"/>
    <w:rsid w:val="00DC3E55"/>
    <w:rsid w:val="00DC5821"/>
    <w:rsid w:val="00DC615C"/>
    <w:rsid w:val="00DC61FC"/>
    <w:rsid w:val="00DC6AE2"/>
    <w:rsid w:val="00DC793C"/>
    <w:rsid w:val="00DD1091"/>
    <w:rsid w:val="00DD1D9B"/>
    <w:rsid w:val="00DD2324"/>
    <w:rsid w:val="00DD2678"/>
    <w:rsid w:val="00DD2BA5"/>
    <w:rsid w:val="00DD3CBA"/>
    <w:rsid w:val="00DD3F89"/>
    <w:rsid w:val="00DD3F9D"/>
    <w:rsid w:val="00DD45E1"/>
    <w:rsid w:val="00DD66F4"/>
    <w:rsid w:val="00DD670A"/>
    <w:rsid w:val="00DD6916"/>
    <w:rsid w:val="00DD736A"/>
    <w:rsid w:val="00DD7591"/>
    <w:rsid w:val="00DE029C"/>
    <w:rsid w:val="00DE0606"/>
    <w:rsid w:val="00DE0F69"/>
    <w:rsid w:val="00DE1948"/>
    <w:rsid w:val="00DE1B79"/>
    <w:rsid w:val="00DE2898"/>
    <w:rsid w:val="00DE2FC3"/>
    <w:rsid w:val="00DE397F"/>
    <w:rsid w:val="00DE3A91"/>
    <w:rsid w:val="00DE3E8C"/>
    <w:rsid w:val="00DE5880"/>
    <w:rsid w:val="00DE63CE"/>
    <w:rsid w:val="00DE75DF"/>
    <w:rsid w:val="00DE766E"/>
    <w:rsid w:val="00DF25A2"/>
    <w:rsid w:val="00DF2CA1"/>
    <w:rsid w:val="00DF2EC6"/>
    <w:rsid w:val="00DF3686"/>
    <w:rsid w:val="00DF3BAD"/>
    <w:rsid w:val="00DF3FA6"/>
    <w:rsid w:val="00DF4E4F"/>
    <w:rsid w:val="00DF55C5"/>
    <w:rsid w:val="00DF629B"/>
    <w:rsid w:val="00DF7A31"/>
    <w:rsid w:val="00E02EA4"/>
    <w:rsid w:val="00E02EEC"/>
    <w:rsid w:val="00E032EC"/>
    <w:rsid w:val="00E0367A"/>
    <w:rsid w:val="00E04C61"/>
    <w:rsid w:val="00E04F6F"/>
    <w:rsid w:val="00E05E50"/>
    <w:rsid w:val="00E0603A"/>
    <w:rsid w:val="00E06EB8"/>
    <w:rsid w:val="00E102A0"/>
    <w:rsid w:val="00E1042B"/>
    <w:rsid w:val="00E12561"/>
    <w:rsid w:val="00E12A27"/>
    <w:rsid w:val="00E14021"/>
    <w:rsid w:val="00E14E9A"/>
    <w:rsid w:val="00E15DA1"/>
    <w:rsid w:val="00E16A69"/>
    <w:rsid w:val="00E17EC1"/>
    <w:rsid w:val="00E2075B"/>
    <w:rsid w:val="00E21913"/>
    <w:rsid w:val="00E227FA"/>
    <w:rsid w:val="00E22A6A"/>
    <w:rsid w:val="00E23E76"/>
    <w:rsid w:val="00E244A2"/>
    <w:rsid w:val="00E24619"/>
    <w:rsid w:val="00E24E32"/>
    <w:rsid w:val="00E25813"/>
    <w:rsid w:val="00E27595"/>
    <w:rsid w:val="00E30842"/>
    <w:rsid w:val="00E30FF1"/>
    <w:rsid w:val="00E3111F"/>
    <w:rsid w:val="00E31583"/>
    <w:rsid w:val="00E319EB"/>
    <w:rsid w:val="00E31FE0"/>
    <w:rsid w:val="00E33220"/>
    <w:rsid w:val="00E33245"/>
    <w:rsid w:val="00E337BA"/>
    <w:rsid w:val="00E33BBC"/>
    <w:rsid w:val="00E33E26"/>
    <w:rsid w:val="00E3464B"/>
    <w:rsid w:val="00E351FE"/>
    <w:rsid w:val="00E3621E"/>
    <w:rsid w:val="00E36B91"/>
    <w:rsid w:val="00E36C73"/>
    <w:rsid w:val="00E36EA2"/>
    <w:rsid w:val="00E40256"/>
    <w:rsid w:val="00E41467"/>
    <w:rsid w:val="00E4167E"/>
    <w:rsid w:val="00E42477"/>
    <w:rsid w:val="00E42478"/>
    <w:rsid w:val="00E424AC"/>
    <w:rsid w:val="00E42659"/>
    <w:rsid w:val="00E42C8A"/>
    <w:rsid w:val="00E42E78"/>
    <w:rsid w:val="00E42F87"/>
    <w:rsid w:val="00E430FD"/>
    <w:rsid w:val="00E43A2B"/>
    <w:rsid w:val="00E44773"/>
    <w:rsid w:val="00E448D8"/>
    <w:rsid w:val="00E45098"/>
    <w:rsid w:val="00E45B50"/>
    <w:rsid w:val="00E45E58"/>
    <w:rsid w:val="00E465EC"/>
    <w:rsid w:val="00E4669E"/>
    <w:rsid w:val="00E469E3"/>
    <w:rsid w:val="00E46E52"/>
    <w:rsid w:val="00E47751"/>
    <w:rsid w:val="00E4782F"/>
    <w:rsid w:val="00E5152F"/>
    <w:rsid w:val="00E5231D"/>
    <w:rsid w:val="00E5303B"/>
    <w:rsid w:val="00E54BCD"/>
    <w:rsid w:val="00E5704E"/>
    <w:rsid w:val="00E577CC"/>
    <w:rsid w:val="00E604A5"/>
    <w:rsid w:val="00E623DF"/>
    <w:rsid w:val="00E62813"/>
    <w:rsid w:val="00E62E3E"/>
    <w:rsid w:val="00E63787"/>
    <w:rsid w:val="00E64033"/>
    <w:rsid w:val="00E6476E"/>
    <w:rsid w:val="00E648E3"/>
    <w:rsid w:val="00E673E6"/>
    <w:rsid w:val="00E676FA"/>
    <w:rsid w:val="00E67AE5"/>
    <w:rsid w:val="00E67DA9"/>
    <w:rsid w:val="00E67F27"/>
    <w:rsid w:val="00E70265"/>
    <w:rsid w:val="00E7136A"/>
    <w:rsid w:val="00E727AC"/>
    <w:rsid w:val="00E72D4E"/>
    <w:rsid w:val="00E741DB"/>
    <w:rsid w:val="00E74368"/>
    <w:rsid w:val="00E7536B"/>
    <w:rsid w:val="00E76CBF"/>
    <w:rsid w:val="00E8259A"/>
    <w:rsid w:val="00E826B9"/>
    <w:rsid w:val="00E82937"/>
    <w:rsid w:val="00E83747"/>
    <w:rsid w:val="00E846D3"/>
    <w:rsid w:val="00E84D7C"/>
    <w:rsid w:val="00E85A16"/>
    <w:rsid w:val="00E866BD"/>
    <w:rsid w:val="00E87861"/>
    <w:rsid w:val="00E87970"/>
    <w:rsid w:val="00E907E5"/>
    <w:rsid w:val="00E91222"/>
    <w:rsid w:val="00E9227D"/>
    <w:rsid w:val="00E92591"/>
    <w:rsid w:val="00E92A45"/>
    <w:rsid w:val="00E93AD0"/>
    <w:rsid w:val="00E95E76"/>
    <w:rsid w:val="00E961B6"/>
    <w:rsid w:val="00E96928"/>
    <w:rsid w:val="00E96E6B"/>
    <w:rsid w:val="00EA0240"/>
    <w:rsid w:val="00EA0374"/>
    <w:rsid w:val="00EA0AB0"/>
    <w:rsid w:val="00EA164F"/>
    <w:rsid w:val="00EA182C"/>
    <w:rsid w:val="00EA2F47"/>
    <w:rsid w:val="00EA4A95"/>
    <w:rsid w:val="00EA5EFB"/>
    <w:rsid w:val="00EA660C"/>
    <w:rsid w:val="00EA6828"/>
    <w:rsid w:val="00EB001E"/>
    <w:rsid w:val="00EB0B8A"/>
    <w:rsid w:val="00EB0DF8"/>
    <w:rsid w:val="00EB16E0"/>
    <w:rsid w:val="00EB1B37"/>
    <w:rsid w:val="00EB4A58"/>
    <w:rsid w:val="00EB4C7F"/>
    <w:rsid w:val="00EB7652"/>
    <w:rsid w:val="00EC173C"/>
    <w:rsid w:val="00EC1F46"/>
    <w:rsid w:val="00EC2870"/>
    <w:rsid w:val="00EC2FA4"/>
    <w:rsid w:val="00EC3436"/>
    <w:rsid w:val="00EC4776"/>
    <w:rsid w:val="00ED1450"/>
    <w:rsid w:val="00ED1749"/>
    <w:rsid w:val="00ED20E5"/>
    <w:rsid w:val="00ED34DB"/>
    <w:rsid w:val="00ED5748"/>
    <w:rsid w:val="00ED5924"/>
    <w:rsid w:val="00ED5A76"/>
    <w:rsid w:val="00ED5B45"/>
    <w:rsid w:val="00ED79D5"/>
    <w:rsid w:val="00ED7A5B"/>
    <w:rsid w:val="00ED7DE1"/>
    <w:rsid w:val="00EE012E"/>
    <w:rsid w:val="00EE04C5"/>
    <w:rsid w:val="00EE07B3"/>
    <w:rsid w:val="00EE17C0"/>
    <w:rsid w:val="00EE17D0"/>
    <w:rsid w:val="00EE1F71"/>
    <w:rsid w:val="00EE2643"/>
    <w:rsid w:val="00EE3C35"/>
    <w:rsid w:val="00EE4C28"/>
    <w:rsid w:val="00EE5B41"/>
    <w:rsid w:val="00EE6ABF"/>
    <w:rsid w:val="00EF02EA"/>
    <w:rsid w:val="00EF0304"/>
    <w:rsid w:val="00EF17E2"/>
    <w:rsid w:val="00EF1A4D"/>
    <w:rsid w:val="00EF3A46"/>
    <w:rsid w:val="00EF48D7"/>
    <w:rsid w:val="00EF48F2"/>
    <w:rsid w:val="00EF5105"/>
    <w:rsid w:val="00EF518D"/>
    <w:rsid w:val="00EF6B6A"/>
    <w:rsid w:val="00EF6DDA"/>
    <w:rsid w:val="00EF722E"/>
    <w:rsid w:val="00EF7587"/>
    <w:rsid w:val="00EF75DD"/>
    <w:rsid w:val="00EF7B20"/>
    <w:rsid w:val="00F01065"/>
    <w:rsid w:val="00F014DA"/>
    <w:rsid w:val="00F01D5F"/>
    <w:rsid w:val="00F01DFD"/>
    <w:rsid w:val="00F02187"/>
    <w:rsid w:val="00F02CA0"/>
    <w:rsid w:val="00F031BF"/>
    <w:rsid w:val="00F0330D"/>
    <w:rsid w:val="00F03834"/>
    <w:rsid w:val="00F03C43"/>
    <w:rsid w:val="00F03C73"/>
    <w:rsid w:val="00F04253"/>
    <w:rsid w:val="00F0689B"/>
    <w:rsid w:val="00F07B9B"/>
    <w:rsid w:val="00F07C1B"/>
    <w:rsid w:val="00F10E9D"/>
    <w:rsid w:val="00F12471"/>
    <w:rsid w:val="00F1352F"/>
    <w:rsid w:val="00F136A1"/>
    <w:rsid w:val="00F14D0A"/>
    <w:rsid w:val="00F151D4"/>
    <w:rsid w:val="00F1623A"/>
    <w:rsid w:val="00F16315"/>
    <w:rsid w:val="00F1693C"/>
    <w:rsid w:val="00F176BF"/>
    <w:rsid w:val="00F2017D"/>
    <w:rsid w:val="00F216B0"/>
    <w:rsid w:val="00F21FD5"/>
    <w:rsid w:val="00F22155"/>
    <w:rsid w:val="00F244E1"/>
    <w:rsid w:val="00F27F21"/>
    <w:rsid w:val="00F31ABB"/>
    <w:rsid w:val="00F333A5"/>
    <w:rsid w:val="00F335A1"/>
    <w:rsid w:val="00F33B02"/>
    <w:rsid w:val="00F33ED1"/>
    <w:rsid w:val="00F34175"/>
    <w:rsid w:val="00F352EE"/>
    <w:rsid w:val="00F359BB"/>
    <w:rsid w:val="00F3658F"/>
    <w:rsid w:val="00F365A3"/>
    <w:rsid w:val="00F3671E"/>
    <w:rsid w:val="00F36FBE"/>
    <w:rsid w:val="00F37735"/>
    <w:rsid w:val="00F37DE7"/>
    <w:rsid w:val="00F40268"/>
    <w:rsid w:val="00F41200"/>
    <w:rsid w:val="00F41A38"/>
    <w:rsid w:val="00F424B3"/>
    <w:rsid w:val="00F43527"/>
    <w:rsid w:val="00F445E2"/>
    <w:rsid w:val="00F44A6D"/>
    <w:rsid w:val="00F44CF3"/>
    <w:rsid w:val="00F44D79"/>
    <w:rsid w:val="00F455B7"/>
    <w:rsid w:val="00F45C9D"/>
    <w:rsid w:val="00F515E7"/>
    <w:rsid w:val="00F537CE"/>
    <w:rsid w:val="00F5682F"/>
    <w:rsid w:val="00F57274"/>
    <w:rsid w:val="00F57DEC"/>
    <w:rsid w:val="00F638F5"/>
    <w:rsid w:val="00F643B6"/>
    <w:rsid w:val="00F64507"/>
    <w:rsid w:val="00F64D4A"/>
    <w:rsid w:val="00F657A1"/>
    <w:rsid w:val="00F65A42"/>
    <w:rsid w:val="00F66CD8"/>
    <w:rsid w:val="00F673F8"/>
    <w:rsid w:val="00F67535"/>
    <w:rsid w:val="00F71CFF"/>
    <w:rsid w:val="00F71D83"/>
    <w:rsid w:val="00F734F7"/>
    <w:rsid w:val="00F73D7B"/>
    <w:rsid w:val="00F7470B"/>
    <w:rsid w:val="00F75A59"/>
    <w:rsid w:val="00F76758"/>
    <w:rsid w:val="00F77201"/>
    <w:rsid w:val="00F77AA2"/>
    <w:rsid w:val="00F77B4D"/>
    <w:rsid w:val="00F80645"/>
    <w:rsid w:val="00F82819"/>
    <w:rsid w:val="00F82826"/>
    <w:rsid w:val="00F83283"/>
    <w:rsid w:val="00F8364D"/>
    <w:rsid w:val="00F8428B"/>
    <w:rsid w:val="00F86A4B"/>
    <w:rsid w:val="00F874A0"/>
    <w:rsid w:val="00F902FC"/>
    <w:rsid w:val="00F9309C"/>
    <w:rsid w:val="00F93CDF"/>
    <w:rsid w:val="00F948BC"/>
    <w:rsid w:val="00F94F58"/>
    <w:rsid w:val="00F95A98"/>
    <w:rsid w:val="00F96167"/>
    <w:rsid w:val="00F962EA"/>
    <w:rsid w:val="00F964BC"/>
    <w:rsid w:val="00F966A9"/>
    <w:rsid w:val="00F97CC6"/>
    <w:rsid w:val="00FA1EF9"/>
    <w:rsid w:val="00FA287E"/>
    <w:rsid w:val="00FA29E7"/>
    <w:rsid w:val="00FA30B4"/>
    <w:rsid w:val="00FA30F3"/>
    <w:rsid w:val="00FA34EE"/>
    <w:rsid w:val="00FA46D4"/>
    <w:rsid w:val="00FA5EFA"/>
    <w:rsid w:val="00FA7622"/>
    <w:rsid w:val="00FA76BF"/>
    <w:rsid w:val="00FB0538"/>
    <w:rsid w:val="00FB057F"/>
    <w:rsid w:val="00FB130C"/>
    <w:rsid w:val="00FB13B2"/>
    <w:rsid w:val="00FB185B"/>
    <w:rsid w:val="00FB21F4"/>
    <w:rsid w:val="00FB232A"/>
    <w:rsid w:val="00FB3CA5"/>
    <w:rsid w:val="00FB5EB8"/>
    <w:rsid w:val="00FB6082"/>
    <w:rsid w:val="00FC0967"/>
    <w:rsid w:val="00FC0B23"/>
    <w:rsid w:val="00FC266B"/>
    <w:rsid w:val="00FC2CC0"/>
    <w:rsid w:val="00FC3BB6"/>
    <w:rsid w:val="00FC46D1"/>
    <w:rsid w:val="00FC4C81"/>
    <w:rsid w:val="00FC63E3"/>
    <w:rsid w:val="00FC6996"/>
    <w:rsid w:val="00FC6CDC"/>
    <w:rsid w:val="00FC7A04"/>
    <w:rsid w:val="00FC7A42"/>
    <w:rsid w:val="00FC7F23"/>
    <w:rsid w:val="00FD072B"/>
    <w:rsid w:val="00FD0A12"/>
    <w:rsid w:val="00FD1E49"/>
    <w:rsid w:val="00FD1F9A"/>
    <w:rsid w:val="00FD2378"/>
    <w:rsid w:val="00FD270B"/>
    <w:rsid w:val="00FD28B4"/>
    <w:rsid w:val="00FD2B3C"/>
    <w:rsid w:val="00FD3659"/>
    <w:rsid w:val="00FD3677"/>
    <w:rsid w:val="00FD3E7A"/>
    <w:rsid w:val="00FD5329"/>
    <w:rsid w:val="00FD5777"/>
    <w:rsid w:val="00FD6151"/>
    <w:rsid w:val="00FD75D8"/>
    <w:rsid w:val="00FE0992"/>
    <w:rsid w:val="00FE1E92"/>
    <w:rsid w:val="00FE3D94"/>
    <w:rsid w:val="00FE50BE"/>
    <w:rsid w:val="00FE5DAA"/>
    <w:rsid w:val="00FE6A96"/>
    <w:rsid w:val="00FE7450"/>
    <w:rsid w:val="00FF002A"/>
    <w:rsid w:val="00FF1E82"/>
    <w:rsid w:val="00FF2F06"/>
    <w:rsid w:val="00FF3451"/>
    <w:rsid w:val="00FF3DD0"/>
    <w:rsid w:val="00FF471A"/>
    <w:rsid w:val="00FF4B8A"/>
    <w:rsid w:val="00FF5AEE"/>
    <w:rsid w:val="00FF623B"/>
    <w:rsid w:val="00FF6B97"/>
    <w:rsid w:val="00FF7161"/>
    <w:rsid w:val="00FF752D"/>
    <w:rsid w:val="1412CD8C"/>
    <w:rsid w:val="1EAE0A3D"/>
    <w:rsid w:val="2E2BFAAA"/>
    <w:rsid w:val="33989012"/>
    <w:rsid w:val="5097C9E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CDA7"/>
  <w15:docId w15:val="{619666FD-1113-4D1C-814E-6469420A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5F"/>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559A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559A5"/>
    <w:rPr>
      <w:kern w:val="0"/>
      <w:sz w:val="20"/>
      <w:szCs w:val="20"/>
      <w14:ligatures w14:val="none"/>
    </w:rPr>
  </w:style>
  <w:style w:type="character" w:styleId="Refdenotaderodap">
    <w:name w:val="footnote reference"/>
    <w:basedOn w:val="Fontepargpadro"/>
    <w:uiPriority w:val="99"/>
    <w:semiHidden/>
    <w:unhideWhenUsed/>
    <w:rsid w:val="008559A5"/>
    <w:rPr>
      <w:vertAlign w:val="superscript"/>
    </w:rPr>
  </w:style>
  <w:style w:type="character" w:styleId="Hyperlink">
    <w:name w:val="Hyperlink"/>
    <w:basedOn w:val="Fontepargpadro"/>
    <w:uiPriority w:val="99"/>
    <w:unhideWhenUsed/>
    <w:rsid w:val="00046B83"/>
    <w:rPr>
      <w:color w:val="0563C1" w:themeColor="hyperlink"/>
      <w:u w:val="single"/>
    </w:rPr>
  </w:style>
  <w:style w:type="character" w:styleId="MenoPendente">
    <w:name w:val="Unresolved Mention"/>
    <w:basedOn w:val="Fontepargpadro"/>
    <w:uiPriority w:val="99"/>
    <w:semiHidden/>
    <w:unhideWhenUsed/>
    <w:rsid w:val="00046B83"/>
    <w:rPr>
      <w:color w:val="605E5C"/>
      <w:shd w:val="clear" w:color="auto" w:fill="E1DFDD"/>
    </w:rPr>
  </w:style>
  <w:style w:type="paragraph" w:styleId="PargrafodaLista">
    <w:name w:val="List Paragraph"/>
    <w:basedOn w:val="Normal"/>
    <w:uiPriority w:val="34"/>
    <w:qFormat/>
    <w:rsid w:val="003A7946"/>
    <w:pPr>
      <w:ind w:left="720"/>
      <w:contextualSpacing/>
    </w:pPr>
  </w:style>
  <w:style w:type="paragraph" w:styleId="Cabealho">
    <w:name w:val="header"/>
    <w:basedOn w:val="Normal"/>
    <w:link w:val="CabealhoChar"/>
    <w:uiPriority w:val="99"/>
    <w:semiHidden/>
    <w:unhideWhenUsed/>
    <w:rsid w:val="00771B7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71B7F"/>
    <w:rPr>
      <w:kern w:val="0"/>
      <w14:ligatures w14:val="none"/>
    </w:rPr>
  </w:style>
  <w:style w:type="paragraph" w:styleId="Rodap">
    <w:name w:val="footer"/>
    <w:basedOn w:val="Normal"/>
    <w:link w:val="RodapChar"/>
    <w:uiPriority w:val="99"/>
    <w:semiHidden/>
    <w:unhideWhenUsed/>
    <w:rsid w:val="00771B7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71B7F"/>
    <w:rPr>
      <w:kern w:val="0"/>
      <w14:ligatures w14:val="none"/>
    </w:rPr>
  </w:style>
  <w:style w:type="character" w:styleId="Refdecomentrio">
    <w:name w:val="annotation reference"/>
    <w:basedOn w:val="Fontepargpadro"/>
    <w:uiPriority w:val="99"/>
    <w:semiHidden/>
    <w:unhideWhenUsed/>
    <w:rsid w:val="008D3BC9"/>
    <w:rPr>
      <w:sz w:val="16"/>
      <w:szCs w:val="16"/>
    </w:rPr>
  </w:style>
  <w:style w:type="paragraph" w:styleId="Textodecomentrio">
    <w:name w:val="annotation text"/>
    <w:basedOn w:val="Normal"/>
    <w:link w:val="TextodecomentrioChar"/>
    <w:uiPriority w:val="99"/>
    <w:unhideWhenUsed/>
    <w:rsid w:val="008D3BC9"/>
    <w:pPr>
      <w:spacing w:line="240" w:lineRule="auto"/>
    </w:pPr>
    <w:rPr>
      <w:sz w:val="20"/>
      <w:szCs w:val="20"/>
    </w:rPr>
  </w:style>
  <w:style w:type="character" w:customStyle="1" w:styleId="TextodecomentrioChar">
    <w:name w:val="Texto de comentário Char"/>
    <w:basedOn w:val="Fontepargpadro"/>
    <w:link w:val="Textodecomentrio"/>
    <w:uiPriority w:val="99"/>
    <w:rsid w:val="008D3BC9"/>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8D3BC9"/>
    <w:rPr>
      <w:b/>
      <w:bCs/>
    </w:rPr>
  </w:style>
  <w:style w:type="character" w:customStyle="1" w:styleId="AssuntodocomentrioChar">
    <w:name w:val="Assunto do comentário Char"/>
    <w:basedOn w:val="TextodecomentrioChar"/>
    <w:link w:val="Assuntodocomentrio"/>
    <w:uiPriority w:val="99"/>
    <w:semiHidden/>
    <w:rsid w:val="008D3BC9"/>
    <w:rPr>
      <w:b/>
      <w:bCs/>
      <w:kern w:val="0"/>
      <w:sz w:val="20"/>
      <w:szCs w:val="20"/>
      <w14:ligatures w14:val="non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Visitado">
    <w:name w:val="FollowedHyperlink"/>
    <w:basedOn w:val="Fontepargpadro"/>
    <w:uiPriority w:val="99"/>
    <w:semiHidden/>
    <w:unhideWhenUsed/>
    <w:rsid w:val="004601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3910">
      <w:bodyDiv w:val="1"/>
      <w:marLeft w:val="0"/>
      <w:marRight w:val="0"/>
      <w:marTop w:val="0"/>
      <w:marBottom w:val="0"/>
      <w:divBdr>
        <w:top w:val="none" w:sz="0" w:space="0" w:color="auto"/>
        <w:left w:val="none" w:sz="0" w:space="0" w:color="auto"/>
        <w:bottom w:val="none" w:sz="0" w:space="0" w:color="auto"/>
        <w:right w:val="none" w:sz="0" w:space="0" w:color="auto"/>
      </w:divBdr>
    </w:div>
    <w:div w:id="493642091">
      <w:bodyDiv w:val="1"/>
      <w:marLeft w:val="0"/>
      <w:marRight w:val="0"/>
      <w:marTop w:val="0"/>
      <w:marBottom w:val="0"/>
      <w:divBdr>
        <w:top w:val="none" w:sz="0" w:space="0" w:color="auto"/>
        <w:left w:val="none" w:sz="0" w:space="0" w:color="auto"/>
        <w:bottom w:val="none" w:sz="0" w:space="0" w:color="auto"/>
        <w:right w:val="none" w:sz="0" w:space="0" w:color="auto"/>
      </w:divBdr>
    </w:div>
    <w:div w:id="541480101">
      <w:bodyDiv w:val="1"/>
      <w:marLeft w:val="0"/>
      <w:marRight w:val="0"/>
      <w:marTop w:val="0"/>
      <w:marBottom w:val="0"/>
      <w:divBdr>
        <w:top w:val="none" w:sz="0" w:space="0" w:color="auto"/>
        <w:left w:val="none" w:sz="0" w:space="0" w:color="auto"/>
        <w:bottom w:val="none" w:sz="0" w:space="0" w:color="auto"/>
        <w:right w:val="none" w:sz="0" w:space="0" w:color="auto"/>
      </w:divBdr>
    </w:div>
    <w:div w:id="700933216">
      <w:bodyDiv w:val="1"/>
      <w:marLeft w:val="0"/>
      <w:marRight w:val="0"/>
      <w:marTop w:val="0"/>
      <w:marBottom w:val="0"/>
      <w:divBdr>
        <w:top w:val="none" w:sz="0" w:space="0" w:color="auto"/>
        <w:left w:val="none" w:sz="0" w:space="0" w:color="auto"/>
        <w:bottom w:val="none" w:sz="0" w:space="0" w:color="auto"/>
        <w:right w:val="none" w:sz="0" w:space="0" w:color="auto"/>
      </w:divBdr>
    </w:div>
    <w:div w:id="727611604">
      <w:bodyDiv w:val="1"/>
      <w:marLeft w:val="0"/>
      <w:marRight w:val="0"/>
      <w:marTop w:val="0"/>
      <w:marBottom w:val="0"/>
      <w:divBdr>
        <w:top w:val="none" w:sz="0" w:space="0" w:color="auto"/>
        <w:left w:val="none" w:sz="0" w:space="0" w:color="auto"/>
        <w:bottom w:val="none" w:sz="0" w:space="0" w:color="auto"/>
        <w:right w:val="none" w:sz="0" w:space="0" w:color="auto"/>
      </w:divBdr>
    </w:div>
    <w:div w:id="926110978">
      <w:bodyDiv w:val="1"/>
      <w:marLeft w:val="0"/>
      <w:marRight w:val="0"/>
      <w:marTop w:val="0"/>
      <w:marBottom w:val="0"/>
      <w:divBdr>
        <w:top w:val="none" w:sz="0" w:space="0" w:color="auto"/>
        <w:left w:val="none" w:sz="0" w:space="0" w:color="auto"/>
        <w:bottom w:val="none" w:sz="0" w:space="0" w:color="auto"/>
        <w:right w:val="none" w:sz="0" w:space="0" w:color="auto"/>
      </w:divBdr>
    </w:div>
    <w:div w:id="981542166">
      <w:bodyDiv w:val="1"/>
      <w:marLeft w:val="0"/>
      <w:marRight w:val="0"/>
      <w:marTop w:val="0"/>
      <w:marBottom w:val="0"/>
      <w:divBdr>
        <w:top w:val="none" w:sz="0" w:space="0" w:color="auto"/>
        <w:left w:val="none" w:sz="0" w:space="0" w:color="auto"/>
        <w:bottom w:val="none" w:sz="0" w:space="0" w:color="auto"/>
        <w:right w:val="none" w:sz="0" w:space="0" w:color="auto"/>
      </w:divBdr>
    </w:div>
    <w:div w:id="1183203356">
      <w:bodyDiv w:val="1"/>
      <w:marLeft w:val="0"/>
      <w:marRight w:val="0"/>
      <w:marTop w:val="0"/>
      <w:marBottom w:val="0"/>
      <w:divBdr>
        <w:top w:val="none" w:sz="0" w:space="0" w:color="auto"/>
        <w:left w:val="none" w:sz="0" w:space="0" w:color="auto"/>
        <w:bottom w:val="none" w:sz="0" w:space="0" w:color="auto"/>
        <w:right w:val="none" w:sz="0" w:space="0" w:color="auto"/>
      </w:divBdr>
    </w:div>
    <w:div w:id="1270088233">
      <w:bodyDiv w:val="1"/>
      <w:marLeft w:val="0"/>
      <w:marRight w:val="0"/>
      <w:marTop w:val="0"/>
      <w:marBottom w:val="0"/>
      <w:divBdr>
        <w:top w:val="none" w:sz="0" w:space="0" w:color="auto"/>
        <w:left w:val="none" w:sz="0" w:space="0" w:color="auto"/>
        <w:bottom w:val="none" w:sz="0" w:space="0" w:color="auto"/>
        <w:right w:val="none" w:sz="0" w:space="0" w:color="auto"/>
      </w:divBdr>
    </w:div>
    <w:div w:id="1343893714">
      <w:bodyDiv w:val="1"/>
      <w:marLeft w:val="0"/>
      <w:marRight w:val="0"/>
      <w:marTop w:val="0"/>
      <w:marBottom w:val="0"/>
      <w:divBdr>
        <w:top w:val="none" w:sz="0" w:space="0" w:color="auto"/>
        <w:left w:val="none" w:sz="0" w:space="0" w:color="auto"/>
        <w:bottom w:val="none" w:sz="0" w:space="0" w:color="auto"/>
        <w:right w:val="none" w:sz="0" w:space="0" w:color="auto"/>
      </w:divBdr>
    </w:div>
    <w:div w:id="1362590123">
      <w:bodyDiv w:val="1"/>
      <w:marLeft w:val="0"/>
      <w:marRight w:val="0"/>
      <w:marTop w:val="0"/>
      <w:marBottom w:val="0"/>
      <w:divBdr>
        <w:top w:val="none" w:sz="0" w:space="0" w:color="auto"/>
        <w:left w:val="none" w:sz="0" w:space="0" w:color="auto"/>
        <w:bottom w:val="none" w:sz="0" w:space="0" w:color="auto"/>
        <w:right w:val="none" w:sz="0" w:space="0" w:color="auto"/>
      </w:divBdr>
    </w:div>
    <w:div w:id="1620260223">
      <w:bodyDiv w:val="1"/>
      <w:marLeft w:val="0"/>
      <w:marRight w:val="0"/>
      <w:marTop w:val="0"/>
      <w:marBottom w:val="0"/>
      <w:divBdr>
        <w:top w:val="none" w:sz="0" w:space="0" w:color="auto"/>
        <w:left w:val="none" w:sz="0" w:space="0" w:color="auto"/>
        <w:bottom w:val="none" w:sz="0" w:space="0" w:color="auto"/>
        <w:right w:val="none" w:sz="0" w:space="0" w:color="auto"/>
      </w:divBdr>
    </w:div>
    <w:div w:id="1718773966">
      <w:bodyDiv w:val="1"/>
      <w:marLeft w:val="0"/>
      <w:marRight w:val="0"/>
      <w:marTop w:val="0"/>
      <w:marBottom w:val="0"/>
      <w:divBdr>
        <w:top w:val="none" w:sz="0" w:space="0" w:color="auto"/>
        <w:left w:val="none" w:sz="0" w:space="0" w:color="auto"/>
        <w:bottom w:val="none" w:sz="0" w:space="0" w:color="auto"/>
        <w:right w:val="none" w:sz="0" w:space="0" w:color="auto"/>
      </w:divBdr>
    </w:div>
    <w:div w:id="1872449350">
      <w:bodyDiv w:val="1"/>
      <w:marLeft w:val="0"/>
      <w:marRight w:val="0"/>
      <w:marTop w:val="0"/>
      <w:marBottom w:val="0"/>
      <w:divBdr>
        <w:top w:val="none" w:sz="0" w:space="0" w:color="auto"/>
        <w:left w:val="none" w:sz="0" w:space="0" w:color="auto"/>
        <w:bottom w:val="none" w:sz="0" w:space="0" w:color="auto"/>
        <w:right w:val="none" w:sz="0" w:space="0" w:color="auto"/>
      </w:divBdr>
    </w:div>
    <w:div w:id="1910532283">
      <w:bodyDiv w:val="1"/>
      <w:marLeft w:val="0"/>
      <w:marRight w:val="0"/>
      <w:marTop w:val="0"/>
      <w:marBottom w:val="0"/>
      <w:divBdr>
        <w:top w:val="none" w:sz="0" w:space="0" w:color="auto"/>
        <w:left w:val="none" w:sz="0" w:space="0" w:color="auto"/>
        <w:bottom w:val="none" w:sz="0" w:space="0" w:color="auto"/>
        <w:right w:val="none" w:sz="0" w:space="0" w:color="auto"/>
      </w:divBdr>
    </w:div>
    <w:div w:id="212653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nb.br/handle/10482/433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ge.ms.gov.br/wp-content/uploads/2022/12/Revista-PGE-18-completo.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rasil.un.org/pt-br/188306-pesquisa-identifica-111-projetos-de-intelig%C3%AAncia-artificial-no-judici%C3%A1rio" TargetMode="External"/><Relationship Id="rId13" Type="http://schemas.openxmlformats.org/officeDocument/2006/relationships/hyperlink" Target="https://grandes-litigantes.stg.cloud.cnj.jus.br/" TargetMode="External"/><Relationship Id="rId18" Type="http://schemas.openxmlformats.org/officeDocument/2006/relationships/hyperlink" Target="https://www.furb.br/web/1704/noticias/projeto-em-parceria-com-npj-conquista-premio-nacional/8494" TargetMode="External"/><Relationship Id="rId3" Type="http://schemas.openxmlformats.org/officeDocument/2006/relationships/hyperlink" Target="https://www.ipea.gov.br/ods/ods16.html" TargetMode="External"/><Relationship Id="rId21" Type="http://schemas.openxmlformats.org/officeDocument/2006/relationships/hyperlink" Target="file:///C:/Users/thiag/Downloads/DOC-Relat%C3%B3rio%20Legislativo%20-%20SF229061497894-20220906%20(4).pdf" TargetMode="External"/><Relationship Id="rId7" Type="http://schemas.openxmlformats.org/officeDocument/2006/relationships/hyperlink" Target="https://ab2l.org.br/radar-dinamico/" TargetMode="External"/><Relationship Id="rId12" Type="http://schemas.openxmlformats.org/officeDocument/2006/relationships/hyperlink" Target="https://www.insper.edu.br/wp-content/uploads/2021/03/Contencioso-administrativo-tribut%C3%A1rio-federal_Uma-an%C3%A1lise-comparativa-entre-Brasil-e-sete-pa%C3%ADses.pdf" TargetMode="External"/><Relationship Id="rId17" Type="http://schemas.openxmlformats.org/officeDocument/2006/relationships/hyperlink" Target="https://legis.senado.leg.br/sdleg-getter/documento?dm=9198204&amp;ts=1662471328151&amp;disposition=inline" TargetMode="External"/><Relationship Id="rId2" Type="http://schemas.openxmlformats.org/officeDocument/2006/relationships/hyperlink" Target="https://revista.tjrn.jus.br/revistas" TargetMode="External"/><Relationship Id="rId16" Type="http://schemas.openxmlformats.org/officeDocument/2006/relationships/hyperlink" Target="https://www.sefaz.ce.gov.br/pai-degua/" TargetMode="External"/><Relationship Id="rId20" Type="http://schemas.openxmlformats.org/officeDocument/2006/relationships/hyperlink" Target="https://www.camarapoa.rs.gov.br/draco/processos/137049/Lei_13028.pdf" TargetMode="External"/><Relationship Id="rId1" Type="http://schemas.openxmlformats.org/officeDocument/2006/relationships/hyperlink" Target="https://brasil.un.org/pt-br/sdgs" TargetMode="External"/><Relationship Id="rId6" Type="http://schemas.openxmlformats.org/officeDocument/2006/relationships/hyperlink" Target="https://brasil.un.org/sites/default/files/2023-03/ONU_Brasil_Relatorio_Anual_2022.pdf" TargetMode="External"/><Relationship Id="rId11" Type="http://schemas.openxmlformats.org/officeDocument/2006/relationships/hyperlink" Target="https://www.pge.ms.gov.br/wp-content/uploads/2022/12/Revista-PGE-18-completo.pdf" TargetMode="External"/><Relationship Id="rId5" Type="http://schemas.openxmlformats.org/officeDocument/2006/relationships/hyperlink" Target="https://www.bndes.gov.br/wps/portal/site/home/transparencia/estatisticas-desempenho/ods" TargetMode="External"/><Relationship Id="rId15" Type="http://schemas.openxmlformats.org/officeDocument/2006/relationships/hyperlink" Target="http://www.sefaz.al.gov.br/contribuinte-arretado" TargetMode="External"/><Relationship Id="rId23" Type="http://schemas.openxmlformats.org/officeDocument/2006/relationships/hyperlink" Target="https://legis.senado.leg.br/sdleg-getter/documento?dm=9198204&amp;ts=1662471328151&amp;disposition=inline" TargetMode="External"/><Relationship Id="rId10" Type="http://schemas.openxmlformats.org/officeDocument/2006/relationships/hyperlink" Target="https://repositorio.unb.br/handle/10482/43394" TargetMode="External"/><Relationship Id="rId19" Type="http://schemas.openxmlformats.org/officeDocument/2006/relationships/hyperlink" Target="https://fesdt.org.br/docs/revistas/9/9-revista.pdf" TargetMode="External"/><Relationship Id="rId4" Type="http://schemas.openxmlformats.org/officeDocument/2006/relationships/hyperlink" Target="https://crf.iadb.org/pt/sdg-16" TargetMode="External"/><Relationship Id="rId9" Type="http://schemas.openxmlformats.org/officeDocument/2006/relationships/hyperlink" Target="https://www.prerro.com.br/a-cultura-de-experimentacao-e-a-transformacao-digital-da-advocacia-publica/" TargetMode="External"/><Relationship Id="rId14" Type="http://schemas.openxmlformats.org/officeDocument/2006/relationships/hyperlink" Target="https://portal.fazenda.sp.gov.br/servicos/nosconformes" TargetMode="External"/><Relationship Id="rId22" Type="http://schemas.openxmlformats.org/officeDocument/2006/relationships/hyperlink" Target="https://www.pge.ms.gov.br/wp-content/uploads/2022/12/Revista-PGE-18-complet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33A7-71BC-4207-A85D-6A89E1B9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10386</Words>
  <Characters>60655</Characters>
  <Application>Microsoft Office Word</Application>
  <DocSecurity>0</DocSecurity>
  <Lines>842</Lines>
  <Paragraphs>234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70807</CharactersWithSpaces>
  <SharedDoc>false</SharedDoc>
  <HyperlinkBase/>
  <HLinks>
    <vt:vector size="120" baseType="variant">
      <vt:variant>
        <vt:i4>4718614</vt:i4>
      </vt:variant>
      <vt:variant>
        <vt:i4>3</vt:i4>
      </vt:variant>
      <vt:variant>
        <vt:i4>0</vt:i4>
      </vt:variant>
      <vt:variant>
        <vt:i4>5</vt:i4>
      </vt:variant>
      <vt:variant>
        <vt:lpwstr>https://www.pge.ms.gov.br/wp-content/uploads/2022/12/Revista-PGE-18-completo.pdf</vt:lpwstr>
      </vt:variant>
      <vt:variant>
        <vt:lpwstr/>
      </vt:variant>
      <vt:variant>
        <vt:i4>82</vt:i4>
      </vt:variant>
      <vt:variant>
        <vt:i4>0</vt:i4>
      </vt:variant>
      <vt:variant>
        <vt:i4>0</vt:i4>
      </vt:variant>
      <vt:variant>
        <vt:i4>5</vt:i4>
      </vt:variant>
      <vt:variant>
        <vt:lpwstr>https://repositorio.unb.br/handle/10482/43394</vt:lpwstr>
      </vt:variant>
      <vt:variant>
        <vt:lpwstr/>
      </vt:variant>
      <vt:variant>
        <vt:i4>4325377</vt:i4>
      </vt:variant>
      <vt:variant>
        <vt:i4>51</vt:i4>
      </vt:variant>
      <vt:variant>
        <vt:i4>0</vt:i4>
      </vt:variant>
      <vt:variant>
        <vt:i4>5</vt:i4>
      </vt:variant>
      <vt:variant>
        <vt:lpwstr>https://legis.senado.leg.br/sdleg-getter/documento?dm=9198204&amp;ts=1662471328151&amp;disposition=inline</vt:lpwstr>
      </vt:variant>
      <vt:variant>
        <vt:lpwstr/>
      </vt:variant>
      <vt:variant>
        <vt:i4>4718614</vt:i4>
      </vt:variant>
      <vt:variant>
        <vt:i4>48</vt:i4>
      </vt:variant>
      <vt:variant>
        <vt:i4>0</vt:i4>
      </vt:variant>
      <vt:variant>
        <vt:i4>5</vt:i4>
      </vt:variant>
      <vt:variant>
        <vt:lpwstr>https://www.pge.ms.gov.br/wp-content/uploads/2022/12/Revista-PGE-18-completo.pdf</vt:lpwstr>
      </vt:variant>
      <vt:variant>
        <vt:lpwstr/>
      </vt:variant>
      <vt:variant>
        <vt:i4>4915262</vt:i4>
      </vt:variant>
      <vt:variant>
        <vt:i4>45</vt:i4>
      </vt:variant>
      <vt:variant>
        <vt:i4>0</vt:i4>
      </vt:variant>
      <vt:variant>
        <vt:i4>5</vt:i4>
      </vt:variant>
      <vt:variant>
        <vt:lpwstr>https://www.camarapoa.rs.gov.br/draco/processos/137049/Lei_13028.pdf</vt:lpwstr>
      </vt:variant>
      <vt:variant>
        <vt:lpwstr/>
      </vt:variant>
      <vt:variant>
        <vt:i4>3342449</vt:i4>
      </vt:variant>
      <vt:variant>
        <vt:i4>42</vt:i4>
      </vt:variant>
      <vt:variant>
        <vt:i4>0</vt:i4>
      </vt:variant>
      <vt:variant>
        <vt:i4>5</vt:i4>
      </vt:variant>
      <vt:variant>
        <vt:lpwstr>https://fesdt.org.br/docs/revistas/9/9-revista.pdf</vt:lpwstr>
      </vt:variant>
      <vt:variant>
        <vt:lpwstr/>
      </vt:variant>
      <vt:variant>
        <vt:i4>917593</vt:i4>
      </vt:variant>
      <vt:variant>
        <vt:i4>39</vt:i4>
      </vt:variant>
      <vt:variant>
        <vt:i4>0</vt:i4>
      </vt:variant>
      <vt:variant>
        <vt:i4>5</vt:i4>
      </vt:variant>
      <vt:variant>
        <vt:lpwstr>https://www.furb.br/web/1704/noticias/projeto-em-parceria-com-npj-conquista-premio-nacional/8494</vt:lpwstr>
      </vt:variant>
      <vt:variant>
        <vt:lpwstr/>
      </vt:variant>
      <vt:variant>
        <vt:i4>2621482</vt:i4>
      </vt:variant>
      <vt:variant>
        <vt:i4>36</vt:i4>
      </vt:variant>
      <vt:variant>
        <vt:i4>0</vt:i4>
      </vt:variant>
      <vt:variant>
        <vt:i4>5</vt:i4>
      </vt:variant>
      <vt:variant>
        <vt:lpwstr>https://www.sefaz.ce.gov.br/pai-degua/</vt:lpwstr>
      </vt:variant>
      <vt:variant>
        <vt:lpwstr/>
      </vt:variant>
      <vt:variant>
        <vt:i4>786501</vt:i4>
      </vt:variant>
      <vt:variant>
        <vt:i4>33</vt:i4>
      </vt:variant>
      <vt:variant>
        <vt:i4>0</vt:i4>
      </vt:variant>
      <vt:variant>
        <vt:i4>5</vt:i4>
      </vt:variant>
      <vt:variant>
        <vt:lpwstr>http://www.sefaz.al.gov.br/contribuinte-arretado</vt:lpwstr>
      </vt:variant>
      <vt:variant>
        <vt:lpwstr/>
      </vt:variant>
      <vt:variant>
        <vt:i4>2097263</vt:i4>
      </vt:variant>
      <vt:variant>
        <vt:i4>30</vt:i4>
      </vt:variant>
      <vt:variant>
        <vt:i4>0</vt:i4>
      </vt:variant>
      <vt:variant>
        <vt:i4>5</vt:i4>
      </vt:variant>
      <vt:variant>
        <vt:lpwstr>https://portal.fazenda.sp.gov.br/servicos/nosconformes</vt:lpwstr>
      </vt:variant>
      <vt:variant>
        <vt:lpwstr/>
      </vt:variant>
      <vt:variant>
        <vt:i4>131087</vt:i4>
      </vt:variant>
      <vt:variant>
        <vt:i4>27</vt:i4>
      </vt:variant>
      <vt:variant>
        <vt:i4>0</vt:i4>
      </vt:variant>
      <vt:variant>
        <vt:i4>5</vt:i4>
      </vt:variant>
      <vt:variant>
        <vt:lpwstr>https://grandes-litigantes.stg.cloud.cnj.jus.br/</vt:lpwstr>
      </vt:variant>
      <vt:variant>
        <vt:lpwstr/>
      </vt:variant>
      <vt:variant>
        <vt:i4>7340101</vt:i4>
      </vt:variant>
      <vt:variant>
        <vt:i4>24</vt:i4>
      </vt:variant>
      <vt:variant>
        <vt:i4>0</vt:i4>
      </vt:variant>
      <vt:variant>
        <vt:i4>5</vt:i4>
      </vt:variant>
      <vt:variant>
        <vt:lpwstr>https://www.insper.edu.br/wp-content/uploads/2021/03/Contencioso-administrativo-tribut%C3%A1rio-federal_Uma-an%C3%A1lise-comparativa-entre-Brasil-e-sete-pa%C3%ADses.pdf</vt:lpwstr>
      </vt:variant>
      <vt:variant>
        <vt:lpwstr/>
      </vt:variant>
      <vt:variant>
        <vt:i4>4718614</vt:i4>
      </vt:variant>
      <vt:variant>
        <vt:i4>21</vt:i4>
      </vt:variant>
      <vt:variant>
        <vt:i4>0</vt:i4>
      </vt:variant>
      <vt:variant>
        <vt:i4>5</vt:i4>
      </vt:variant>
      <vt:variant>
        <vt:lpwstr>https://www.pge.ms.gov.br/wp-content/uploads/2022/12/Revista-PGE-18-completo.pdf</vt:lpwstr>
      </vt:variant>
      <vt:variant>
        <vt:lpwstr/>
      </vt:variant>
      <vt:variant>
        <vt:i4>82</vt:i4>
      </vt:variant>
      <vt:variant>
        <vt:i4>18</vt:i4>
      </vt:variant>
      <vt:variant>
        <vt:i4>0</vt:i4>
      </vt:variant>
      <vt:variant>
        <vt:i4>5</vt:i4>
      </vt:variant>
      <vt:variant>
        <vt:lpwstr>https://repositorio.unb.br/handle/10482/43394</vt:lpwstr>
      </vt:variant>
      <vt:variant>
        <vt:lpwstr/>
      </vt:variant>
      <vt:variant>
        <vt:i4>7929971</vt:i4>
      </vt:variant>
      <vt:variant>
        <vt:i4>15</vt:i4>
      </vt:variant>
      <vt:variant>
        <vt:i4>0</vt:i4>
      </vt:variant>
      <vt:variant>
        <vt:i4>5</vt:i4>
      </vt:variant>
      <vt:variant>
        <vt:lpwstr>https://ab2l.org.br/radar-dinamico/</vt:lpwstr>
      </vt:variant>
      <vt:variant>
        <vt:lpwstr/>
      </vt:variant>
      <vt:variant>
        <vt:i4>3670050</vt:i4>
      </vt:variant>
      <vt:variant>
        <vt:i4>12</vt:i4>
      </vt:variant>
      <vt:variant>
        <vt:i4>0</vt:i4>
      </vt:variant>
      <vt:variant>
        <vt:i4>5</vt:i4>
      </vt:variant>
      <vt:variant>
        <vt:lpwstr>https://brasil.un.org/sites/default/files/2023-03/ONU_Brasil_Relatorio_Anual_2022.pdf</vt:lpwstr>
      </vt:variant>
      <vt:variant>
        <vt:lpwstr/>
      </vt:variant>
      <vt:variant>
        <vt:i4>6750298</vt:i4>
      </vt:variant>
      <vt:variant>
        <vt:i4>9</vt:i4>
      </vt:variant>
      <vt:variant>
        <vt:i4>0</vt:i4>
      </vt:variant>
      <vt:variant>
        <vt:i4>5</vt:i4>
      </vt:variant>
      <vt:variant>
        <vt:lpwstr>https://www.bndes.gov.br/wps/portal/site/home/transparencia/estatisticas-desempenho/ods/!ut/p/z1/pVTLdtowFPyVblgKyZb8oDtDwCSY8kh4ecORsQxqseRYwqR_X5lyTtqUENpqZV3PGc2dOxKM4RLGglZ8SzWXgu7NfhW766g16PbJCEXhFFkocAa9YH43wP7MhYsTAL2zAgRj89ubhJ1-QKwo7GGCJtOnsD0Y2ZY_duAcxjDeCF3oHVwlImVqzYXSXB82JwUNtJM5ayBdUqEKWjKx4bSBmNJGosFtqAKyYCU9wbkChoHlidwrqRpIpqrmLzY8hStCsOWllADPxh4gbkIBpRkGDsUowVbm2a3WuZ8rguNb_LgCiK_btaj1_sowusddFPQ7kUO6Ayts4TPgmuW_m-77Q9f04FrIsT3kd1y4MiK9d5t0HLioODvCmZBlbkLw-OohZTghrpcB20YEkCRLQSuzHeCnKbX9xPdsj8I-gg8fzd0Eyy6HneHWMFO9A1xkEi6FVGZun0qmDntNU6lqHP_6_BwHJiVSaPai4fJKTOrpi0ruK54zoSVQB6XNB62YgfzBfqFUK9_uZfIz-4FIsG8klixjJSubh9KUd1oX6nMDNdDxeGyexDS3smompakUhrSQpa4lKa7ZDcIuHbSTyjT6lv88uNd0jb_0TLombRR2iUXGVwZ3U_jf0s_bdyiI7h-jcIaw3_H-k_7ho8tzORT1Jf7LGPz7a1Hks9zH3zn4NvWPT9luX0XZUDuJs83Xwy52zD74AQN0Yps!/dz/d5/L2dBISEvZ0FBIS9nQSEh/</vt:lpwstr>
      </vt:variant>
      <vt:variant>
        <vt:lpwstr/>
      </vt:variant>
      <vt:variant>
        <vt:i4>6684778</vt:i4>
      </vt:variant>
      <vt:variant>
        <vt:i4>6</vt:i4>
      </vt:variant>
      <vt:variant>
        <vt:i4>0</vt:i4>
      </vt:variant>
      <vt:variant>
        <vt:i4>5</vt:i4>
      </vt:variant>
      <vt:variant>
        <vt:lpwstr>https://crf.iadb.org/pt/sdg-16</vt:lpwstr>
      </vt:variant>
      <vt:variant>
        <vt:lpwstr/>
      </vt:variant>
      <vt:variant>
        <vt:i4>2949218</vt:i4>
      </vt:variant>
      <vt:variant>
        <vt:i4>3</vt:i4>
      </vt:variant>
      <vt:variant>
        <vt:i4>0</vt:i4>
      </vt:variant>
      <vt:variant>
        <vt:i4>5</vt:i4>
      </vt:variant>
      <vt:variant>
        <vt:lpwstr>https://www.ipea.gov.br/ods/ods16.html</vt:lpwstr>
      </vt:variant>
      <vt:variant>
        <vt:lpwstr/>
      </vt:variant>
      <vt:variant>
        <vt:i4>1835073</vt:i4>
      </vt:variant>
      <vt:variant>
        <vt:i4>0</vt:i4>
      </vt:variant>
      <vt:variant>
        <vt:i4>0</vt:i4>
      </vt:variant>
      <vt:variant>
        <vt:i4>5</vt:i4>
      </vt:variant>
      <vt:variant>
        <vt:lpwstr>https://revista.tjrn.jus.br/revistas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24</cp:revision>
  <dcterms:created xsi:type="dcterms:W3CDTF">2023-08-05T01:04:00Z</dcterms:created>
  <dcterms:modified xsi:type="dcterms:W3CDTF">2023-09-15T16:43:00Z</dcterms:modified>
  <cp:category/>
</cp:coreProperties>
</file>