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BFE0" w14:textId="24A479EA" w:rsidR="00DF53B8" w:rsidRDefault="004A12C9" w:rsidP="004A12C9">
      <w:pPr>
        <w:ind w:firstLine="0"/>
        <w:jc w:val="center"/>
      </w:pPr>
      <w:r w:rsidRPr="004A12C9">
        <w:rPr>
          <w:rFonts w:cs="Times New Roman"/>
          <w:b/>
          <w:bCs/>
          <w:spacing w:val="5"/>
          <w:sz w:val="28"/>
          <w:szCs w:val="28"/>
        </w:rPr>
        <w:t xml:space="preserve">Considerações sobre o potencial da tokenização de precatórios </w:t>
      </w:r>
      <w:r>
        <w:rPr>
          <w:rFonts w:cs="Times New Roman"/>
          <w:b/>
          <w:bCs/>
          <w:spacing w:val="5"/>
          <w:sz w:val="28"/>
          <w:szCs w:val="28"/>
        </w:rPr>
        <w:t>o</w:t>
      </w:r>
      <w:r w:rsidRPr="004A12C9">
        <w:rPr>
          <w:rFonts w:cs="Times New Roman"/>
          <w:b/>
          <w:bCs/>
          <w:spacing w:val="5"/>
          <w:sz w:val="28"/>
          <w:szCs w:val="28"/>
        </w:rPr>
        <w:t xml:space="preserve">u </w:t>
      </w:r>
      <w:r>
        <w:rPr>
          <w:rFonts w:cs="Times New Roman"/>
          <w:b/>
          <w:bCs/>
          <w:spacing w:val="5"/>
          <w:sz w:val="28"/>
          <w:szCs w:val="28"/>
        </w:rPr>
        <w:t>de</w:t>
      </w:r>
      <w:r w:rsidRPr="004A12C9">
        <w:rPr>
          <w:rFonts w:cs="Times New Roman"/>
          <w:b/>
          <w:bCs/>
          <w:spacing w:val="5"/>
          <w:sz w:val="28"/>
          <w:szCs w:val="28"/>
        </w:rPr>
        <w:t xml:space="preserve"> obrigações</w:t>
      </w:r>
      <w:r>
        <w:rPr>
          <w:rFonts w:cs="Times New Roman"/>
          <w:b/>
          <w:bCs/>
          <w:spacing w:val="5"/>
          <w:sz w:val="28"/>
          <w:szCs w:val="28"/>
        </w:rPr>
        <w:t xml:space="preserve"> em geral</w:t>
      </w:r>
      <w:r w:rsidRPr="004A12C9">
        <w:rPr>
          <w:rFonts w:cs="Times New Roman"/>
          <w:b/>
          <w:bCs/>
          <w:spacing w:val="5"/>
          <w:sz w:val="28"/>
          <w:szCs w:val="28"/>
        </w:rPr>
        <w:t xml:space="preserve"> de pagamento contra a Fazenda Pública decorrentes de condenações judiciais</w:t>
      </w:r>
    </w:p>
    <w:p w14:paraId="57728761" w14:textId="77777777" w:rsidR="009F4618" w:rsidRPr="00182E7C" w:rsidRDefault="009F4618" w:rsidP="00EB4955">
      <w:pPr>
        <w:rPr>
          <w:rFonts w:cs="Times New Roman"/>
        </w:rPr>
      </w:pPr>
    </w:p>
    <w:p w14:paraId="5FC0787E" w14:textId="77777777" w:rsidR="00182E7C" w:rsidRPr="00182E7C" w:rsidRDefault="00182E7C" w:rsidP="00182E7C">
      <w:pPr>
        <w:pStyle w:val="Ttulo2"/>
        <w:numPr>
          <w:ilvl w:val="0"/>
          <w:numId w:val="0"/>
        </w:numPr>
        <w:rPr>
          <w:rFonts w:cs="Times New Roman"/>
        </w:rPr>
      </w:pPr>
      <w:r w:rsidRPr="00182E7C">
        <w:rPr>
          <w:rFonts w:cs="Times New Roman"/>
        </w:rPr>
        <w:t>Resumo</w:t>
      </w:r>
    </w:p>
    <w:p w14:paraId="601F54B1" w14:textId="55627B16" w:rsidR="004A12C9" w:rsidRPr="004A12C9" w:rsidRDefault="004A12C9" w:rsidP="004A12C9">
      <w:pPr>
        <w:ind w:firstLine="0"/>
        <w:rPr>
          <w:rFonts w:cs="Times New Roman"/>
        </w:rPr>
      </w:pPr>
      <w:r w:rsidRPr="004A12C9">
        <w:rPr>
          <w:rFonts w:cs="Times New Roman"/>
        </w:rPr>
        <w:t xml:space="preserve">Este trabalho discute a </w:t>
      </w:r>
      <w:r w:rsidR="00C23AF0">
        <w:rPr>
          <w:rFonts w:cs="Times New Roman"/>
        </w:rPr>
        <w:t>um possível caso de uso para o DREX</w:t>
      </w:r>
      <w:r w:rsidRPr="004A12C9">
        <w:rPr>
          <w:rFonts w:cs="Times New Roman"/>
        </w:rPr>
        <w:t xml:space="preserve">, uma </w:t>
      </w:r>
      <w:r w:rsidR="00C23AF0">
        <w:rPr>
          <w:rFonts w:cs="Times New Roman"/>
        </w:rPr>
        <w:t xml:space="preserve">plataforma baseada em </w:t>
      </w:r>
      <w:r w:rsidRPr="004A12C9">
        <w:rPr>
          <w:rFonts w:cs="Times New Roman"/>
        </w:rPr>
        <w:t>blockchain permissionada multiativos</w:t>
      </w:r>
      <w:r w:rsidR="00C23AF0">
        <w:rPr>
          <w:rFonts w:cs="Times New Roman"/>
        </w:rPr>
        <w:t xml:space="preserve"> administrada pelo Banco Central</w:t>
      </w:r>
      <w:r w:rsidRPr="004A12C9">
        <w:rPr>
          <w:rFonts w:cs="Times New Roman"/>
        </w:rPr>
        <w:t>, como um instrumento para tokenizar precatórios e obrigações de pagamento contra a Fazenda Pública, oriundas de condenações judiciais. Argumenta-se que tal sistema poderia proporcionar maior liquidez, controle sobre a dívida pública, atualização monetária e cômputo de juros em tempo real, além de permitir a adoção de novos mecanismos de financiamento da dívida pública.</w:t>
      </w:r>
    </w:p>
    <w:p w14:paraId="7A573D60" w14:textId="2A5E805B" w:rsidR="00182E7C" w:rsidRPr="00182E7C" w:rsidRDefault="00182E7C" w:rsidP="00182E7C">
      <w:pPr>
        <w:ind w:firstLine="0"/>
        <w:rPr>
          <w:rFonts w:cs="Times New Roman"/>
        </w:rPr>
      </w:pPr>
      <w:r>
        <w:rPr>
          <w:rFonts w:cs="Times New Roman"/>
        </w:rPr>
        <w:t>Palavras-chaves:</w:t>
      </w:r>
      <w:r w:rsidR="004A12C9">
        <w:rPr>
          <w:rFonts w:cs="Times New Roman"/>
        </w:rPr>
        <w:t xml:space="preserve"> Real Digital</w:t>
      </w:r>
      <w:r>
        <w:rPr>
          <w:rFonts w:cs="Times New Roman"/>
        </w:rPr>
        <w:t>.</w:t>
      </w:r>
      <w:r w:rsidR="004A12C9">
        <w:rPr>
          <w:rFonts w:cs="Times New Roman"/>
        </w:rPr>
        <w:t xml:space="preserve"> Economia Tokenizada. Precatórios. CBDC. Criptoativos.</w:t>
      </w:r>
    </w:p>
    <w:p w14:paraId="0879C177" w14:textId="066EF4A9" w:rsidR="00182E7C" w:rsidRPr="00182E7C" w:rsidRDefault="009B5B0B" w:rsidP="00182E7C">
      <w:pPr>
        <w:ind w:firstLine="0"/>
        <w:rPr>
          <w:rFonts w:cs="Times New Roman"/>
          <w:lang w:val="en-US"/>
        </w:rPr>
      </w:pPr>
      <w:r>
        <w:rPr>
          <w:rFonts w:cs="Times New Roman"/>
          <w:lang w:val="en-US"/>
        </w:rPr>
        <w:t>.</w:t>
      </w:r>
    </w:p>
    <w:p w14:paraId="14558F54" w14:textId="77777777" w:rsidR="00EF0595" w:rsidRPr="00E0650D" w:rsidRDefault="00EF0595" w:rsidP="0019086D">
      <w:pPr>
        <w:pStyle w:val="Ttulo2"/>
        <w:rPr>
          <w:rFonts w:cs="Times New Roman"/>
        </w:rPr>
      </w:pPr>
      <w:r w:rsidRPr="00E0650D">
        <w:rPr>
          <w:rFonts w:cs="Times New Roman"/>
        </w:rPr>
        <w:t>Introdução</w:t>
      </w:r>
    </w:p>
    <w:p w14:paraId="31684AA1" w14:textId="77777777" w:rsidR="00EF0595" w:rsidRPr="00E0650D" w:rsidRDefault="00EF0595" w:rsidP="00EB4955">
      <w:pPr>
        <w:rPr>
          <w:rFonts w:cs="Times New Roman"/>
        </w:rPr>
      </w:pPr>
    </w:p>
    <w:p w14:paraId="3026EAE3" w14:textId="35F58820" w:rsidR="00853BF0" w:rsidRPr="00853BF0" w:rsidRDefault="00853BF0" w:rsidP="00853BF0">
      <w:pPr>
        <w:rPr>
          <w:rFonts w:cs="Times New Roman"/>
        </w:rPr>
      </w:pPr>
      <w:r w:rsidRPr="00853BF0">
        <w:rPr>
          <w:rFonts w:cs="Times New Roman"/>
        </w:rPr>
        <w:t xml:space="preserve">Em um mundo cada vez mais digital, os sistemas financeiros não poderiam ficar de fora da revolução tecnológica que estamos vivenciando. Na vanguarda dessa evolução, as moedas digitais têm provocado mudanças significativas na forma como lidamos com o dinheiro. Mais especificamente, o </w:t>
      </w:r>
      <w:r w:rsidR="00C23AF0">
        <w:rPr>
          <w:rFonts w:cs="Times New Roman"/>
        </w:rPr>
        <w:t>DREX</w:t>
      </w:r>
      <w:r w:rsidRPr="00853BF0">
        <w:rPr>
          <w:rFonts w:cs="Times New Roman"/>
        </w:rPr>
        <w:t xml:space="preserve">, </w:t>
      </w:r>
      <w:r w:rsidR="00FC46FB">
        <w:rPr>
          <w:rFonts w:cs="Times New Roman"/>
        </w:rPr>
        <w:t xml:space="preserve">a </w:t>
      </w:r>
      <w:r w:rsidR="00C23AF0">
        <w:rPr>
          <w:rFonts w:cs="Times New Roman"/>
        </w:rPr>
        <w:t>plataforma</w:t>
      </w:r>
      <w:r w:rsidR="00FC46FB">
        <w:rPr>
          <w:rFonts w:cs="Times New Roman"/>
        </w:rPr>
        <w:t xml:space="preserve"> </w:t>
      </w:r>
      <w:r w:rsidR="00C23AF0">
        <w:rPr>
          <w:rFonts w:cs="Times New Roman"/>
        </w:rPr>
        <w:t>de</w:t>
      </w:r>
      <w:r w:rsidRPr="00853BF0">
        <w:rPr>
          <w:rFonts w:cs="Times New Roman"/>
        </w:rPr>
        <w:t xml:space="preserve"> moeda digital brasileira </w:t>
      </w:r>
      <w:r w:rsidR="00FC46FB">
        <w:rPr>
          <w:rFonts w:cs="Times New Roman"/>
        </w:rPr>
        <w:t xml:space="preserve">a ser </w:t>
      </w:r>
      <w:r w:rsidRPr="00853BF0">
        <w:rPr>
          <w:rFonts w:cs="Times New Roman"/>
        </w:rPr>
        <w:t xml:space="preserve">implementada </w:t>
      </w:r>
      <w:r w:rsidR="00C23AF0">
        <w:rPr>
          <w:rFonts w:cs="Times New Roman"/>
        </w:rPr>
        <w:t>por meio de</w:t>
      </w:r>
      <w:r w:rsidRPr="00853BF0">
        <w:rPr>
          <w:rFonts w:cs="Times New Roman"/>
        </w:rPr>
        <w:t xml:space="preserve"> uma blockchain permissionada multiativos, apresenta novas possibilidades para a gestão e a interação financeira. Uma dessas possibilidades é a tokenização de precatórios e outras obrigações de pagamento contra a Fazenda Pública, decorrentes de condenações judiciais. Este trabalho tem como objetivo explorar as potenciais implicações dessa prática.</w:t>
      </w:r>
    </w:p>
    <w:p w14:paraId="600DD882" w14:textId="77777777" w:rsidR="00853BF0" w:rsidRPr="00853BF0" w:rsidRDefault="00853BF0" w:rsidP="00853BF0">
      <w:pPr>
        <w:rPr>
          <w:rFonts w:cs="Times New Roman"/>
        </w:rPr>
      </w:pPr>
    </w:p>
    <w:p w14:paraId="0E37EF76" w14:textId="5561CB27" w:rsidR="00853BF0" w:rsidRPr="00853BF0" w:rsidRDefault="00853BF0" w:rsidP="00853BF0">
      <w:pPr>
        <w:rPr>
          <w:rFonts w:cs="Times New Roman"/>
        </w:rPr>
      </w:pPr>
      <w:r w:rsidRPr="00853BF0">
        <w:rPr>
          <w:rFonts w:cs="Times New Roman"/>
        </w:rPr>
        <w:t xml:space="preserve">Nossa tese é a de que, com a implementação do </w:t>
      </w:r>
      <w:r w:rsidR="00C23AF0">
        <w:rPr>
          <w:rFonts w:cs="Times New Roman"/>
        </w:rPr>
        <w:t>DREX</w:t>
      </w:r>
      <w:r w:rsidRPr="00853BF0">
        <w:rPr>
          <w:rFonts w:cs="Times New Roman"/>
        </w:rPr>
        <w:t xml:space="preserve">, abre-se a possibilidade de </w:t>
      </w:r>
      <w:r w:rsidR="00FC46FB">
        <w:rPr>
          <w:rFonts w:cs="Times New Roman"/>
        </w:rPr>
        <w:t>grandes ganhos de eficiência e confiança com relação a</w:t>
      </w:r>
      <w:r w:rsidRPr="00853BF0">
        <w:rPr>
          <w:rFonts w:cs="Times New Roman"/>
        </w:rPr>
        <w:t xml:space="preserve"> precatórios e obrigações de pagamento contra a Fazenda Pública, com benefícios como maior liquidez, maior controle sobre a dívida pública, atualização monetária e cômputo de juros em tempo real, e a possível adoção de novos </w:t>
      </w:r>
      <w:r w:rsidRPr="00853BF0">
        <w:rPr>
          <w:rFonts w:cs="Times New Roman"/>
        </w:rPr>
        <w:lastRenderedPageBreak/>
        <w:t>mecanismos de financiamento da dívida pública.</w:t>
      </w:r>
      <w:r w:rsidR="00FC46FB">
        <w:rPr>
          <w:rFonts w:cs="Times New Roman"/>
        </w:rPr>
        <w:t xml:space="preserve"> Esses ganhos estão em linha com o papel do Estado na contemporaneidade, que demandam uma postura ativa estatal na construção de relações de confiança que sirvam de base ao desenvolvimento econômico e social.</w:t>
      </w:r>
    </w:p>
    <w:p w14:paraId="3EF8F809" w14:textId="29C50B9B" w:rsidR="00853BF0" w:rsidRPr="00853BF0" w:rsidRDefault="00853BF0" w:rsidP="00853BF0">
      <w:pPr>
        <w:rPr>
          <w:rFonts w:cs="Times New Roman"/>
        </w:rPr>
      </w:pPr>
      <w:r w:rsidRPr="00853BF0">
        <w:rPr>
          <w:rFonts w:cs="Times New Roman"/>
        </w:rPr>
        <w:t xml:space="preserve">Iniciaremos nossa análise explorando a necessidade de mecanismos financeiros mais eficazes no contexto do Estado </w:t>
      </w:r>
      <w:r w:rsidR="00FC46FB">
        <w:rPr>
          <w:rFonts w:cs="Times New Roman"/>
        </w:rPr>
        <w:t>contemporâneo</w:t>
      </w:r>
      <w:r w:rsidRPr="00853BF0">
        <w:rPr>
          <w:rFonts w:cs="Times New Roman"/>
        </w:rPr>
        <w:t>. Aqui, consideraremos o papel da moeda na construção da confiança, incorporando as ideias de teóricos como Giddens, Simmel e Hirschmann. Concluiremos que a relação dialética entre o Estado e o poder econômico pode ser beneficiada por interações mais eficazes entre o poder econômico e a moeda - uma promessa de valor de uma moeda programável.</w:t>
      </w:r>
    </w:p>
    <w:p w14:paraId="5466B6F2" w14:textId="680B5A42" w:rsidR="00853BF0" w:rsidRPr="00853BF0" w:rsidRDefault="00853BF0" w:rsidP="00853BF0">
      <w:pPr>
        <w:rPr>
          <w:rFonts w:cs="Times New Roman"/>
        </w:rPr>
      </w:pPr>
      <w:r w:rsidRPr="00853BF0">
        <w:rPr>
          <w:rFonts w:cs="Times New Roman"/>
        </w:rPr>
        <w:t xml:space="preserve">Em seguida, discutiremos o </w:t>
      </w:r>
      <w:r w:rsidR="00C23AF0">
        <w:rPr>
          <w:rFonts w:cs="Times New Roman"/>
        </w:rPr>
        <w:t>DREX</w:t>
      </w:r>
      <w:r w:rsidRPr="00853BF0">
        <w:rPr>
          <w:rFonts w:cs="Times New Roman"/>
        </w:rPr>
        <w:t xml:space="preserve"> como elemento motriz </w:t>
      </w:r>
      <w:r w:rsidR="00C23AF0">
        <w:rPr>
          <w:rFonts w:cs="Times New Roman"/>
        </w:rPr>
        <w:t>para a construção de uma</w:t>
      </w:r>
      <w:r w:rsidRPr="00853BF0">
        <w:rPr>
          <w:rFonts w:cs="Times New Roman"/>
        </w:rPr>
        <w:t xml:space="preserve"> economia tokenizada. Esclareceremos as características distintivas das tecnologias de registro distribuído (DLTs), distinguindo entre blockchains públicas e permissionadas. Apresentaremos o conceito de criptoativos e tokens dentro de uma blockchain, bem como as definições de stablecoins e CBDCs (moedas digitais emitidas por bancos centrais), esclarecendo a distinção entre esses dois conceitos. Posteriormente, aprofundaremos o funcionamento do </w:t>
      </w:r>
      <w:r w:rsidR="00C23AF0">
        <w:rPr>
          <w:rFonts w:cs="Times New Roman"/>
        </w:rPr>
        <w:t>DREX</w:t>
      </w:r>
      <w:r w:rsidRPr="00853BF0">
        <w:rPr>
          <w:rFonts w:cs="Times New Roman"/>
        </w:rPr>
        <w:t xml:space="preserve"> e como o Banco Central brasileiro pretende, por meio deste, criar um ecossistema multiativos digitais para fundamentar uma economia tokenizada.</w:t>
      </w:r>
    </w:p>
    <w:p w14:paraId="29F3258B" w14:textId="77777777" w:rsidR="00853BF0" w:rsidRPr="00853BF0" w:rsidRDefault="00853BF0" w:rsidP="00853BF0">
      <w:pPr>
        <w:rPr>
          <w:rFonts w:cs="Times New Roman"/>
        </w:rPr>
      </w:pPr>
      <w:r w:rsidRPr="00853BF0">
        <w:rPr>
          <w:rFonts w:cs="Times New Roman"/>
        </w:rPr>
        <w:t>No terceiro capítulo, examinaremos como uma economia tokenizada pode beneficiar o Estado e os credores de dívidas contra a Fazenda Pública oriundas de condenações judiciais. Explicaremos o que são precatórios e requisições de pagamento contra a Fazenda Pública e como as dívidas oriundas de condenações judiciais são processadas. Depois, apresentaremos os benefícios da blockchain permissionada e do uso de smart contracts aliados a oráculos para a atualização em tempo real da dívida pública. Além disso, abordaremos o potencial de tokenização da dívida e a possível criação de um mercado secundário de títulos lastreados em precatórios.</w:t>
      </w:r>
    </w:p>
    <w:p w14:paraId="73453E67" w14:textId="0567FFCE" w:rsidR="00EF0595" w:rsidRPr="00E0650D" w:rsidRDefault="00853BF0" w:rsidP="00853BF0">
      <w:pPr>
        <w:rPr>
          <w:rFonts w:cs="Times New Roman"/>
        </w:rPr>
      </w:pPr>
      <w:r w:rsidRPr="00853BF0">
        <w:rPr>
          <w:rFonts w:cs="Times New Roman"/>
        </w:rPr>
        <w:t xml:space="preserve">Este estudo busca contribuir para a compreensão dos impactos da tokenização de precatórios na gestão da dívida pública e na melhoria da interação entre o Estado e seus credores. Acreditamos que o </w:t>
      </w:r>
      <w:r w:rsidR="00C23AF0">
        <w:rPr>
          <w:rFonts w:cs="Times New Roman"/>
        </w:rPr>
        <w:t>DREX</w:t>
      </w:r>
      <w:r w:rsidRPr="00853BF0">
        <w:rPr>
          <w:rFonts w:cs="Times New Roman"/>
        </w:rPr>
        <w:t xml:space="preserve">, </w:t>
      </w:r>
      <w:r w:rsidR="00C23AF0">
        <w:rPr>
          <w:rFonts w:cs="Times New Roman"/>
        </w:rPr>
        <w:t>ao abrir a possibilidade para o real se tornar</w:t>
      </w:r>
      <w:r w:rsidRPr="00853BF0">
        <w:rPr>
          <w:rFonts w:cs="Times New Roman"/>
        </w:rPr>
        <w:t xml:space="preserve"> uma moeda programável, pode </w:t>
      </w:r>
      <w:r w:rsidR="00C23AF0">
        <w:rPr>
          <w:rFonts w:cs="Times New Roman"/>
        </w:rPr>
        <w:t>originar</w:t>
      </w:r>
      <w:r w:rsidRPr="00853BF0">
        <w:rPr>
          <w:rFonts w:cs="Times New Roman"/>
        </w:rPr>
        <w:t xml:space="preserve"> novos caminhos e oportunidades para a gestão eficiente da dívida pública e para a ampliação da confiança nas instituições financeiras do Estado.</w:t>
      </w:r>
      <w:r w:rsidR="004A12C9">
        <w:rPr>
          <w:rFonts w:cs="Times New Roman"/>
        </w:rPr>
        <w:t xml:space="preserve"> </w:t>
      </w:r>
    </w:p>
    <w:p w14:paraId="4277E177" w14:textId="77777777" w:rsidR="00D76527" w:rsidRPr="00E0650D" w:rsidRDefault="00D76527" w:rsidP="00EB4955">
      <w:pPr>
        <w:rPr>
          <w:rFonts w:cs="Times New Roman"/>
        </w:rPr>
      </w:pPr>
    </w:p>
    <w:p w14:paraId="130444DF" w14:textId="0F2BB032" w:rsidR="00D76527" w:rsidRPr="00E0650D" w:rsidRDefault="004A12C9" w:rsidP="004A12C9">
      <w:pPr>
        <w:pStyle w:val="Ttulo2"/>
      </w:pPr>
      <w:r w:rsidRPr="004A12C9">
        <w:lastRenderedPageBreak/>
        <w:t>A necessidade de mecanismos financeiros mais eficazes diante da necessidade de construção de confiança do Estado moderno</w:t>
      </w:r>
    </w:p>
    <w:p w14:paraId="43654AEE" w14:textId="77777777" w:rsidR="004A12C9" w:rsidRPr="004A12C9" w:rsidRDefault="004A12C9" w:rsidP="004A12C9">
      <w:pPr>
        <w:rPr>
          <w:rFonts w:cs="Times New Roman"/>
        </w:rPr>
      </w:pPr>
    </w:p>
    <w:p w14:paraId="1FF86002" w14:textId="77777777" w:rsidR="004A12C9" w:rsidRPr="004A12C9" w:rsidRDefault="004A12C9" w:rsidP="004A12C9">
      <w:pPr>
        <w:rPr>
          <w:rFonts w:cs="Times New Roman"/>
        </w:rPr>
      </w:pPr>
      <w:r w:rsidRPr="004A12C9">
        <w:rPr>
          <w:rFonts w:cs="Times New Roman"/>
        </w:rPr>
        <w:t>O Estado moderno é uma entidade complexa, sustentada por um amplo espectro de instituições, processos e relações. Um dos pilares fundamentais do Estado é a confiança, um elemento intangível, mas essencial que permeia todas as interações sociais, políticas e econômicas. É nesse aspecto que a moeda emerge como um instrumento fundamental na construção de confiança e na consolidação do poder do Estado.</w:t>
      </w:r>
    </w:p>
    <w:p w14:paraId="78BBF983" w14:textId="31973680" w:rsidR="004A12C9" w:rsidRPr="004A12C9" w:rsidRDefault="004A12C9" w:rsidP="004A12C9">
      <w:pPr>
        <w:rPr>
          <w:rFonts w:cs="Times New Roman"/>
        </w:rPr>
      </w:pPr>
      <w:r w:rsidRPr="004A12C9">
        <w:rPr>
          <w:rFonts w:cs="Times New Roman"/>
        </w:rPr>
        <w:t xml:space="preserve">A moeda, em sua essência, é um meio de troca aceito universalmente dentro de uma determinada jurisdição. Ela facilita as transações econômicas, representa um depósito de valor e serve como uma unidade de conta. </w:t>
      </w:r>
      <w:r>
        <w:rPr>
          <w:rFonts w:cs="Times New Roman"/>
        </w:rPr>
        <w:t>Por meio</w:t>
      </w:r>
      <w:r w:rsidRPr="004A12C9">
        <w:rPr>
          <w:rFonts w:cs="Times New Roman"/>
        </w:rPr>
        <w:t xml:space="preserve"> dessas funções, a moeda contribui para a construção de uma rede de confiança que sustenta o poder do Estado</w:t>
      </w:r>
      <w:r w:rsidR="00FC46FB">
        <w:rPr>
          <w:rFonts w:cs="Times New Roman"/>
        </w:rPr>
        <w:t xml:space="preserve"> em sua função institucional de local e agente de execução da política</w:t>
      </w:r>
      <w:r w:rsidRPr="004A12C9">
        <w:rPr>
          <w:rFonts w:cs="Times New Roman"/>
        </w:rPr>
        <w:t xml:space="preserve">. Nesse sentido, a moeda não é apenas um artefato econômico, mas um instrumento poderoso que cimenta </w:t>
      </w:r>
      <w:r w:rsidR="00FC46FB">
        <w:rPr>
          <w:rFonts w:cs="Times New Roman"/>
        </w:rPr>
        <w:t>as atribuições do</w:t>
      </w:r>
      <w:r w:rsidRPr="004A12C9">
        <w:rPr>
          <w:rFonts w:cs="Times New Roman"/>
        </w:rPr>
        <w:t xml:space="preserve"> Estado</w:t>
      </w:r>
      <w:r w:rsidR="00FC46FB">
        <w:rPr>
          <w:rFonts w:cs="Times New Roman"/>
        </w:rPr>
        <w:t xml:space="preserve"> na organização e gestão da política econômica</w:t>
      </w:r>
      <w:r w:rsidRPr="004A12C9">
        <w:rPr>
          <w:rFonts w:cs="Times New Roman"/>
        </w:rPr>
        <w:t>.</w:t>
      </w:r>
    </w:p>
    <w:p w14:paraId="26A22391" w14:textId="28BF9D5E" w:rsidR="004A12C9" w:rsidRPr="004A12C9" w:rsidRDefault="004A12C9" w:rsidP="004A12C9">
      <w:pPr>
        <w:rPr>
          <w:rFonts w:cs="Times New Roman"/>
        </w:rPr>
      </w:pPr>
      <w:r w:rsidRPr="004A12C9">
        <w:rPr>
          <w:rFonts w:cs="Times New Roman"/>
        </w:rPr>
        <w:t>Anthony Giddens</w:t>
      </w:r>
      <w:r w:rsidR="00FC46FB">
        <w:rPr>
          <w:rFonts w:cs="Times New Roman"/>
        </w:rPr>
        <w:t xml:space="preserve"> (1990)</w:t>
      </w:r>
      <w:r w:rsidRPr="004A12C9">
        <w:rPr>
          <w:rFonts w:cs="Times New Roman"/>
        </w:rPr>
        <w:t xml:space="preserve">, </w:t>
      </w:r>
      <w:r>
        <w:rPr>
          <w:rFonts w:cs="Times New Roman"/>
        </w:rPr>
        <w:t>por exemplo</w:t>
      </w:r>
      <w:r w:rsidRPr="004A12C9">
        <w:rPr>
          <w:rFonts w:cs="Times New Roman"/>
        </w:rPr>
        <w:t xml:space="preserve">, argumenta que a moeda, como meio universalmente aceito de troca, atua como um </w:t>
      </w:r>
      <w:r>
        <w:rPr>
          <w:rFonts w:cs="Times New Roman"/>
        </w:rPr>
        <w:t xml:space="preserve">mecanismo de </w:t>
      </w:r>
      <w:r w:rsidRPr="004A12C9">
        <w:rPr>
          <w:rFonts w:cs="Times New Roman"/>
          <w:i/>
          <w:iCs/>
        </w:rPr>
        <w:t>desencaixe</w:t>
      </w:r>
      <w:r w:rsidRPr="004A12C9">
        <w:rPr>
          <w:rFonts w:cs="Times New Roman"/>
        </w:rPr>
        <w:t xml:space="preserve"> de tempo e espaço. Em outras palavras, </w:t>
      </w:r>
      <w:r>
        <w:rPr>
          <w:rFonts w:cs="Times New Roman"/>
        </w:rPr>
        <w:t>a moeda</w:t>
      </w:r>
      <w:r w:rsidRPr="004A12C9">
        <w:rPr>
          <w:rFonts w:cs="Times New Roman"/>
        </w:rPr>
        <w:t xml:space="preserve"> permite a realização de transações econômicas além das limitações de tempo e espaço, criando uma complexidade crescente e</w:t>
      </w:r>
      <w:r>
        <w:rPr>
          <w:rFonts w:cs="Times New Roman"/>
        </w:rPr>
        <w:t xml:space="preserve"> pautada em relações de</w:t>
      </w:r>
      <w:r w:rsidRPr="004A12C9">
        <w:rPr>
          <w:rFonts w:cs="Times New Roman"/>
        </w:rPr>
        <w:t xml:space="preserve"> interdependência </w:t>
      </w:r>
      <w:r>
        <w:rPr>
          <w:rFonts w:cs="Times New Roman"/>
        </w:rPr>
        <w:t>que caracterizam a</w:t>
      </w:r>
      <w:r w:rsidRPr="004A12C9">
        <w:rPr>
          <w:rFonts w:cs="Times New Roman"/>
        </w:rPr>
        <w:t xml:space="preserve"> economia moderna. Esta desvinculação contribui para a construção de sistemas complexos de confiança, que formam a base do Estado moderno.</w:t>
      </w:r>
      <w:r w:rsidR="00FC46FB">
        <w:rPr>
          <w:rFonts w:cs="Times New Roman"/>
        </w:rPr>
        <w:t xml:space="preserve"> O desencaixe de espaço e tempo cria, no conceito de Giddens, aquilo que ele denomina </w:t>
      </w:r>
      <w:r w:rsidR="00FC46FB" w:rsidRPr="000863B6">
        <w:rPr>
          <w:rFonts w:cs="Times New Roman"/>
          <w:i/>
          <w:iCs/>
        </w:rPr>
        <w:t>symbolic token</w:t>
      </w:r>
      <w:r w:rsidR="00FC46FB">
        <w:rPr>
          <w:rFonts w:cs="Times New Roman"/>
        </w:rPr>
        <w:t>, que permite que diferentes relações sociais, em tempos distintos, tenham como referência uma abstração comum. Como ilustração, podemos considerar que a relação que hoje você tem o padeiro que lhe vende o pão é viabilizada pela relação que ontem você estabeleceu com o dono da empresa para quem você presta serviços e provê sua força física e intelectual na forma de trabalho. A moeda traduz essas duas relações a uma abstração comum, medida em números e que pode, por isso, viabilizar relações sociais que não são limitadas pelo tempo ou pela distância</w:t>
      </w:r>
      <w:r w:rsidR="00FC46FB" w:rsidRPr="004A12C9">
        <w:rPr>
          <w:rFonts w:cs="Times New Roman"/>
        </w:rPr>
        <w:t>.</w:t>
      </w:r>
    </w:p>
    <w:p w14:paraId="3D6588CB" w14:textId="455137F8" w:rsidR="004A12C9" w:rsidRPr="004A12C9" w:rsidRDefault="004A12C9" w:rsidP="004A12C9">
      <w:pPr>
        <w:rPr>
          <w:rFonts w:cs="Times New Roman"/>
        </w:rPr>
      </w:pPr>
      <w:r>
        <w:rPr>
          <w:rFonts w:cs="Times New Roman"/>
        </w:rPr>
        <w:t xml:space="preserve">Essa ideia de sistemas complexos interdependentes viabilizados pelo papel de desencaixe da moeda dialoga com a visão de </w:t>
      </w:r>
      <w:r w:rsidRPr="004A12C9">
        <w:rPr>
          <w:rFonts w:cs="Times New Roman"/>
        </w:rPr>
        <w:t>Georg Simmel</w:t>
      </w:r>
      <w:r w:rsidR="00FC46FB">
        <w:rPr>
          <w:rFonts w:cs="Times New Roman"/>
        </w:rPr>
        <w:t xml:space="preserve"> (1900)</w:t>
      </w:r>
      <w:r w:rsidRPr="004A12C9">
        <w:rPr>
          <w:rFonts w:cs="Times New Roman"/>
        </w:rPr>
        <w:t xml:space="preserve">, </w:t>
      </w:r>
      <w:r>
        <w:rPr>
          <w:rFonts w:cs="Times New Roman"/>
        </w:rPr>
        <w:t>que</w:t>
      </w:r>
      <w:r w:rsidRPr="004A12C9">
        <w:rPr>
          <w:rFonts w:cs="Times New Roman"/>
        </w:rPr>
        <w:t xml:space="preserve"> percebe a moeda como um agente de igualdade, uma força niveladora que permite a comparação e troca de bens e </w:t>
      </w:r>
      <w:r w:rsidRPr="004A12C9">
        <w:rPr>
          <w:rFonts w:cs="Times New Roman"/>
        </w:rPr>
        <w:lastRenderedPageBreak/>
        <w:t>serviços que de outra forma seriam incomparáveis</w:t>
      </w:r>
      <w:r w:rsidR="000863B6">
        <w:rPr>
          <w:rFonts w:cs="Times New Roman"/>
        </w:rPr>
        <w:t xml:space="preserve">. </w:t>
      </w:r>
      <w:r w:rsidRPr="004A12C9">
        <w:rPr>
          <w:rFonts w:cs="Times New Roman"/>
        </w:rPr>
        <w:t xml:space="preserve">A moeda, assim, contribui para a construção de uma sociedade </w:t>
      </w:r>
      <w:r w:rsidR="000863B6">
        <w:rPr>
          <w:rFonts w:cs="Times New Roman"/>
        </w:rPr>
        <w:t xml:space="preserve"> cuja relações sociais de produção e fundação ética são </w:t>
      </w:r>
      <w:r w:rsidRPr="004A12C9">
        <w:rPr>
          <w:rFonts w:cs="Times New Roman"/>
        </w:rPr>
        <w:t>baseada</w:t>
      </w:r>
      <w:r w:rsidR="000863B6">
        <w:rPr>
          <w:rFonts w:cs="Times New Roman"/>
        </w:rPr>
        <w:t>s</w:t>
      </w:r>
      <w:r w:rsidRPr="004A12C9">
        <w:rPr>
          <w:rFonts w:cs="Times New Roman"/>
        </w:rPr>
        <w:t xml:space="preserve"> no mérito</w:t>
      </w:r>
      <w:r w:rsidR="000863B6">
        <w:rPr>
          <w:rFonts w:cs="Times New Roman"/>
        </w:rPr>
        <w:t xml:space="preserve"> individual (a Grande Transformação de que fala </w:t>
      </w:r>
      <w:r w:rsidR="00FC46FB">
        <w:rPr>
          <w:rFonts w:cs="Times New Roman"/>
        </w:rPr>
        <w:t>POLANYI</w:t>
      </w:r>
      <w:r w:rsidR="000863B6">
        <w:rPr>
          <w:rFonts w:cs="Times New Roman"/>
        </w:rPr>
        <w:t xml:space="preserve">, </w:t>
      </w:r>
      <w:r w:rsidR="00FC46FB">
        <w:rPr>
          <w:rFonts w:cs="Times New Roman"/>
        </w:rPr>
        <w:t>1944</w:t>
      </w:r>
      <w:r w:rsidR="000863B6">
        <w:rPr>
          <w:rFonts w:cs="Times New Roman"/>
        </w:rPr>
        <w:t>)</w:t>
      </w:r>
      <w:r w:rsidRPr="004A12C9">
        <w:rPr>
          <w:rFonts w:cs="Times New Roman"/>
        </w:rPr>
        <w:t>, onde os indivíduos são recompensados com base no valor que proporcionam</w:t>
      </w:r>
      <w:r w:rsidR="00A022EB">
        <w:rPr>
          <w:rFonts w:cs="Times New Roman"/>
        </w:rPr>
        <w:t xml:space="preserve"> e isso se torna não apenas a base econômica comum da sociedade moderna, mas o fundamento ético e moral dominante dessa sociedade</w:t>
      </w:r>
      <w:r w:rsidRPr="004A12C9">
        <w:rPr>
          <w:rFonts w:cs="Times New Roman"/>
        </w:rPr>
        <w:t>.</w:t>
      </w:r>
    </w:p>
    <w:p w14:paraId="04DDABD6" w14:textId="64340DB8" w:rsidR="004A12C9" w:rsidRPr="004A12C9" w:rsidRDefault="00FC46FB" w:rsidP="004A12C9">
      <w:pPr>
        <w:rPr>
          <w:rFonts w:cs="Times New Roman"/>
        </w:rPr>
      </w:pPr>
      <w:r>
        <w:rPr>
          <w:rFonts w:cs="Times New Roman"/>
        </w:rPr>
        <w:t xml:space="preserve">Essa perspectiva ética e moral da moeda, contudo, deve ser ponderada pela dinâmica que </w:t>
      </w:r>
      <w:r w:rsidR="004A12C9" w:rsidRPr="004A12C9">
        <w:rPr>
          <w:rFonts w:cs="Times New Roman"/>
        </w:rPr>
        <w:t>Albert Hirschmann</w:t>
      </w:r>
      <w:r w:rsidR="00A022EB">
        <w:rPr>
          <w:rFonts w:cs="Times New Roman"/>
        </w:rPr>
        <w:t xml:space="preserve"> (1977) descreve no processo histórico de construção do capitalismo moderno, em que</w:t>
      </w:r>
      <w:r w:rsidR="004A12C9" w:rsidRPr="004A12C9">
        <w:rPr>
          <w:rFonts w:cs="Times New Roman"/>
        </w:rPr>
        <w:t xml:space="preserve"> a interação entre paixões e interesses fornece outra perspectiva valiosa sobre o papel da moeda na construção da confiança </w:t>
      </w:r>
      <w:r w:rsidR="000863B6">
        <w:rPr>
          <w:rFonts w:cs="Times New Roman"/>
        </w:rPr>
        <w:t>necessária à operação e existência</w:t>
      </w:r>
      <w:r w:rsidR="004A12C9" w:rsidRPr="004A12C9">
        <w:rPr>
          <w:rFonts w:cs="Times New Roman"/>
        </w:rPr>
        <w:t xml:space="preserve"> </w:t>
      </w:r>
      <w:r w:rsidR="000863B6">
        <w:rPr>
          <w:rFonts w:cs="Times New Roman"/>
        </w:rPr>
        <w:t xml:space="preserve">do </w:t>
      </w:r>
      <w:r w:rsidR="004A12C9" w:rsidRPr="004A12C9">
        <w:rPr>
          <w:rFonts w:cs="Times New Roman"/>
        </w:rPr>
        <w:t>Estado</w:t>
      </w:r>
      <w:r w:rsidR="000863B6">
        <w:rPr>
          <w:rFonts w:cs="Times New Roman"/>
        </w:rPr>
        <w:t xml:space="preserve"> contemporâneo</w:t>
      </w:r>
      <w:r w:rsidR="004A12C9" w:rsidRPr="004A12C9">
        <w:rPr>
          <w:rFonts w:cs="Times New Roman"/>
        </w:rPr>
        <w:t xml:space="preserve">. Segundo Hirschmann, a criação do domínio econômico, com sua ênfase nos interesses em vez das paixões, foi um passo crucial na formação do Estado moderno. </w:t>
      </w:r>
      <w:r w:rsidR="00A022EB">
        <w:rPr>
          <w:rFonts w:cs="Times New Roman"/>
        </w:rPr>
        <w:t xml:space="preserve">Na construção conceitual do Estado moderno, as paixões seriam o fruto de comportamentos e desejos nocivos ao bem comum, ao passo que interesses individuais – segundo intelectuais da época como Montesquieu e Steuart – seriam, ainda que egoístas, um freio efetivo àqueles efeitos nocivos. Nesse sentido, </w:t>
      </w:r>
      <w:r w:rsidR="00C23AF0">
        <w:rPr>
          <w:rFonts w:cs="Times New Roman"/>
        </w:rPr>
        <w:t xml:space="preserve">na visão dos teóricos da época, </w:t>
      </w:r>
      <w:r w:rsidR="00A022EB">
        <w:rPr>
          <w:rFonts w:cs="Times New Roman"/>
        </w:rPr>
        <w:t>o domínio econômico como construção do Estado moderno seria um avanço moral, a justificar a plena adoção do capitalismo como pedra angular</w:t>
      </w:r>
      <w:r w:rsidR="00C23AF0">
        <w:rPr>
          <w:rFonts w:cs="Times New Roman"/>
        </w:rPr>
        <w:t xml:space="preserve"> de uma sociedade mais justa</w:t>
      </w:r>
      <w:r w:rsidR="00A022EB">
        <w:rPr>
          <w:rFonts w:cs="Times New Roman"/>
        </w:rPr>
        <w:t xml:space="preserve">. </w:t>
      </w:r>
      <w:r w:rsidR="004A12C9" w:rsidRPr="004A12C9">
        <w:rPr>
          <w:rFonts w:cs="Times New Roman"/>
        </w:rPr>
        <w:t>A moeda, nesse contexto, serv</w:t>
      </w:r>
      <w:r w:rsidR="00C23AF0">
        <w:rPr>
          <w:rFonts w:cs="Times New Roman"/>
        </w:rPr>
        <w:t>iria</w:t>
      </w:r>
      <w:r w:rsidR="004A12C9" w:rsidRPr="004A12C9">
        <w:rPr>
          <w:rFonts w:cs="Times New Roman"/>
        </w:rPr>
        <w:t xml:space="preserve"> como um canal </w:t>
      </w:r>
      <w:r w:rsidR="00C23AF0">
        <w:rPr>
          <w:rFonts w:cs="Times New Roman"/>
        </w:rPr>
        <w:t>por meio</w:t>
      </w:r>
      <w:r w:rsidR="004A12C9" w:rsidRPr="004A12C9">
        <w:rPr>
          <w:rFonts w:cs="Times New Roman"/>
        </w:rPr>
        <w:t xml:space="preserve"> do qual os interesses individuais e coletivos </w:t>
      </w:r>
      <w:r w:rsidR="00C23AF0">
        <w:rPr>
          <w:rFonts w:cs="Times New Roman"/>
        </w:rPr>
        <w:t>seriam</w:t>
      </w:r>
      <w:r w:rsidR="004A12C9" w:rsidRPr="004A12C9">
        <w:rPr>
          <w:rFonts w:cs="Times New Roman"/>
        </w:rPr>
        <w:t xml:space="preserve"> expressos e harmonizados, promovendo estabilidade social e </w:t>
      </w:r>
      <w:r w:rsidR="00C23AF0">
        <w:rPr>
          <w:rFonts w:cs="Times New Roman"/>
        </w:rPr>
        <w:t>c</w:t>
      </w:r>
      <w:r w:rsidR="004A12C9" w:rsidRPr="004A12C9">
        <w:rPr>
          <w:rFonts w:cs="Times New Roman"/>
        </w:rPr>
        <w:t>onfiança na autoridade do Estado.</w:t>
      </w:r>
      <w:r w:rsidR="00A022EB">
        <w:rPr>
          <w:rFonts w:cs="Times New Roman"/>
        </w:rPr>
        <w:t xml:space="preserve"> Hirschman</w:t>
      </w:r>
      <w:r w:rsidR="00BA1E99">
        <w:rPr>
          <w:rFonts w:cs="Times New Roman"/>
        </w:rPr>
        <w:t>n</w:t>
      </w:r>
      <w:r w:rsidR="00A022EB">
        <w:rPr>
          <w:rFonts w:cs="Times New Roman"/>
        </w:rPr>
        <w:t xml:space="preserve"> critica, todavia, a ideia de que essa visão inicial tenha se convertido em realidade, pontuando a ironia de que os interesses individuais na economia neoclássica contemporânea não são mais vistos como um freio às paixões, mas como um elemento neutro que sempre promoveria o bem-estar. </w:t>
      </w:r>
      <w:r w:rsidR="00C23AF0">
        <w:rPr>
          <w:rFonts w:cs="Times New Roman"/>
        </w:rPr>
        <w:t>Assim, o elemento moral da contraposição de interesses a paixões se perdeu na história, e com isso a ideia de construção de uma sociedade mais justa por meio do temperamento dos desejos ilimitados de indivíduos. Partindo da visão</w:t>
      </w:r>
      <w:r w:rsidR="00A022EB">
        <w:rPr>
          <w:rFonts w:cs="Times New Roman"/>
        </w:rPr>
        <w:t xml:space="preserve"> crítica de Hirschman</w:t>
      </w:r>
      <w:r w:rsidR="00BA1E99">
        <w:rPr>
          <w:rFonts w:cs="Times New Roman"/>
        </w:rPr>
        <w:t>n</w:t>
      </w:r>
      <w:r w:rsidR="00C23AF0">
        <w:rPr>
          <w:rFonts w:cs="Times New Roman"/>
        </w:rPr>
        <w:t>,</w:t>
      </w:r>
      <w:r w:rsidR="00BA1E99">
        <w:rPr>
          <w:rFonts w:cs="Times New Roman"/>
        </w:rPr>
        <w:t xml:space="preserve"> propomos aqui resgatar a ideia de que cada desenho econômico traz embutido um conjunto complexo de valores éticos e morais, e que portanto o desenho institucional da moeda é não apenas um elemento de desenvolvimento econômico, mas também de desenvolvimento social e realização de um projeto coletivo de ética (a esse respeito, vide também o conceito de felicidade pública explorado em ARENDT, 1963).</w:t>
      </w:r>
    </w:p>
    <w:p w14:paraId="355D5220" w14:textId="6822A635" w:rsidR="003675C4" w:rsidRDefault="004A12C9" w:rsidP="004A12C9">
      <w:pPr>
        <w:rPr>
          <w:rFonts w:cs="Times New Roman"/>
        </w:rPr>
      </w:pPr>
      <w:r w:rsidRPr="004A12C9">
        <w:rPr>
          <w:rFonts w:cs="Times New Roman"/>
        </w:rPr>
        <w:t xml:space="preserve">Assim, emerge um quadro no qual o Estado e o poder econômico estão inextricavelmente ligados em uma relação dialética. O Estado busca consolidar o poder </w:t>
      </w:r>
      <w:r w:rsidRPr="004A12C9">
        <w:rPr>
          <w:rFonts w:cs="Times New Roman"/>
        </w:rPr>
        <w:lastRenderedPageBreak/>
        <w:t xml:space="preserve">econômico através da confiança, enquanto o poder econômico busca a legitimidade do Estado através da mesma confiança. </w:t>
      </w:r>
      <w:r w:rsidR="003675C4">
        <w:rPr>
          <w:rFonts w:cs="Times New Roman"/>
        </w:rPr>
        <w:t>Sob esse viés,</w:t>
      </w:r>
      <w:r w:rsidRPr="004A12C9">
        <w:rPr>
          <w:rFonts w:cs="Times New Roman"/>
        </w:rPr>
        <w:t xml:space="preserve"> a eficiência dos mecanismos de interação entre o poder econômico e a moeda assume uma importância crítica</w:t>
      </w:r>
      <w:r w:rsidR="00A022EB">
        <w:rPr>
          <w:rFonts w:cs="Times New Roman"/>
        </w:rPr>
        <w:t xml:space="preserve"> para o desenvolvimento econômico e social</w:t>
      </w:r>
      <w:r w:rsidRPr="004A12C9">
        <w:rPr>
          <w:rFonts w:cs="Times New Roman"/>
        </w:rPr>
        <w:t xml:space="preserve">. </w:t>
      </w:r>
    </w:p>
    <w:p w14:paraId="148347A7" w14:textId="7B3D307D" w:rsidR="00F75A2D" w:rsidRDefault="004A12C9" w:rsidP="003675C4">
      <w:pPr>
        <w:rPr>
          <w:rFonts w:cs="Times New Roman"/>
        </w:rPr>
      </w:pPr>
      <w:r w:rsidRPr="004A12C9">
        <w:rPr>
          <w:rFonts w:cs="Times New Roman"/>
        </w:rPr>
        <w:t>Nesse cenário, uma moeda programável representa um avanço significativo.</w:t>
      </w:r>
      <w:r w:rsidR="003675C4">
        <w:rPr>
          <w:rFonts w:cs="Times New Roman"/>
        </w:rPr>
        <w:t xml:space="preserve"> O</w:t>
      </w:r>
      <w:r w:rsidRPr="004A12C9">
        <w:rPr>
          <w:rFonts w:cs="Times New Roman"/>
        </w:rPr>
        <w:t xml:space="preserve"> </w:t>
      </w:r>
      <w:r w:rsidR="00C23AF0">
        <w:rPr>
          <w:rFonts w:cs="Times New Roman"/>
        </w:rPr>
        <w:t>DREX</w:t>
      </w:r>
      <w:r w:rsidRPr="004A12C9">
        <w:rPr>
          <w:rFonts w:cs="Times New Roman"/>
        </w:rPr>
        <w:t xml:space="preserve">, </w:t>
      </w:r>
      <w:r w:rsidR="003675C4">
        <w:rPr>
          <w:rFonts w:cs="Times New Roman"/>
        </w:rPr>
        <w:t xml:space="preserve">conforme projeto em curso capitaneado pelo Banco Central, </w:t>
      </w:r>
      <w:r w:rsidR="00C23AF0">
        <w:rPr>
          <w:rFonts w:cs="Times New Roman"/>
        </w:rPr>
        <w:t xml:space="preserve">torna o real </w:t>
      </w:r>
      <w:r w:rsidRPr="004A12C9">
        <w:rPr>
          <w:rFonts w:cs="Times New Roman"/>
        </w:rPr>
        <w:t xml:space="preserve">uma moeda </w:t>
      </w:r>
      <w:r w:rsidR="003675C4">
        <w:rPr>
          <w:rFonts w:cs="Times New Roman"/>
        </w:rPr>
        <w:t>programável, no sentido de poder ser</w:t>
      </w:r>
      <w:r w:rsidRPr="004A12C9">
        <w:rPr>
          <w:rFonts w:cs="Times New Roman"/>
        </w:rPr>
        <w:t xml:space="preserve"> codificada para realizar</w:t>
      </w:r>
      <w:r w:rsidR="00C23AF0">
        <w:rPr>
          <w:rFonts w:cs="Times New Roman"/>
        </w:rPr>
        <w:t xml:space="preserve"> automaticamente</w:t>
      </w:r>
      <w:r w:rsidRPr="004A12C9">
        <w:rPr>
          <w:rFonts w:cs="Times New Roman"/>
        </w:rPr>
        <w:t xml:space="preserve"> certas ações com base em determinadas </w:t>
      </w:r>
      <w:r w:rsidR="00C23AF0">
        <w:rPr>
          <w:rFonts w:cs="Times New Roman"/>
        </w:rPr>
        <w:t>instruções</w:t>
      </w:r>
      <w:r w:rsidRPr="004A12C9">
        <w:rPr>
          <w:rFonts w:cs="Times New Roman"/>
        </w:rPr>
        <w:t xml:space="preserve"> pré-definidas. Essa capacidade de programação</w:t>
      </w:r>
      <w:r w:rsidR="00710014">
        <w:rPr>
          <w:rFonts w:cs="Times New Roman"/>
        </w:rPr>
        <w:t xml:space="preserve">, bem utilizada, pode gerar </w:t>
      </w:r>
      <w:r w:rsidRPr="004A12C9">
        <w:rPr>
          <w:rFonts w:cs="Times New Roman"/>
        </w:rPr>
        <w:t xml:space="preserve">maior eficiência, transparência e controle na realização de transações econômicas. </w:t>
      </w:r>
      <w:r w:rsidR="00710014">
        <w:rPr>
          <w:rFonts w:cs="Times New Roman"/>
        </w:rPr>
        <w:t>Abre-se</w:t>
      </w:r>
      <w:r w:rsidRPr="004A12C9">
        <w:rPr>
          <w:rFonts w:cs="Times New Roman"/>
        </w:rPr>
        <w:t xml:space="preserve"> a possibilidade de maior integração entre diferentes sistemas econômicos, promovendo interoperabilidade e harmonização d</w:t>
      </w:r>
      <w:r w:rsidR="00710014">
        <w:rPr>
          <w:rFonts w:cs="Times New Roman"/>
        </w:rPr>
        <w:t xml:space="preserve">e objetivos sociais, políticos e </w:t>
      </w:r>
      <w:r w:rsidRPr="004A12C9">
        <w:rPr>
          <w:rFonts w:cs="Times New Roman"/>
        </w:rPr>
        <w:t>econômic</w:t>
      </w:r>
      <w:r w:rsidR="00710014">
        <w:rPr>
          <w:rFonts w:cs="Times New Roman"/>
        </w:rPr>
        <w:t>o</w:t>
      </w:r>
      <w:r w:rsidRPr="004A12C9">
        <w:rPr>
          <w:rFonts w:cs="Times New Roman"/>
        </w:rPr>
        <w:t>s. Além disso, a programabilidade permite a incorporação de mecanismos de governança e controle mais eficazes, o que pode reforçar a confiança na moeda e, por extensão, no Estado</w:t>
      </w:r>
      <w:r w:rsidR="00EC4CB9">
        <w:rPr>
          <w:rFonts w:cs="Times New Roman"/>
        </w:rPr>
        <w:t>, além de abrir um novo leque de políticas públicas de desenvolvimento social</w:t>
      </w:r>
      <w:r w:rsidRPr="004A12C9">
        <w:rPr>
          <w:rFonts w:cs="Times New Roman"/>
        </w:rPr>
        <w:t>.</w:t>
      </w:r>
      <w:r w:rsidR="003675C4">
        <w:rPr>
          <w:rFonts w:cs="Times New Roman"/>
        </w:rPr>
        <w:t xml:space="preserve"> </w:t>
      </w:r>
    </w:p>
    <w:p w14:paraId="671AD499" w14:textId="67D2ADFE" w:rsidR="00853BF0" w:rsidRPr="00853BF0" w:rsidRDefault="00853BF0" w:rsidP="00853BF0">
      <w:pPr>
        <w:pStyle w:val="Ttulo2"/>
      </w:pPr>
      <w:r w:rsidRPr="00853BF0">
        <w:t xml:space="preserve">O </w:t>
      </w:r>
      <w:r w:rsidR="00710014">
        <w:t xml:space="preserve">DREX como plataforma para o </w:t>
      </w:r>
      <w:r w:rsidRPr="00853BF0">
        <w:t>real digital: elemento motriz da economia tokenizada</w:t>
      </w:r>
    </w:p>
    <w:p w14:paraId="0B5AD863" w14:textId="77777777" w:rsidR="00853BF0" w:rsidRPr="00853BF0" w:rsidRDefault="00853BF0" w:rsidP="00853BF0">
      <w:pPr>
        <w:rPr>
          <w:rFonts w:cs="Times New Roman"/>
        </w:rPr>
      </w:pPr>
    </w:p>
    <w:p w14:paraId="2F768FC2" w14:textId="0848D7AF" w:rsidR="00853BF0" w:rsidRPr="00853BF0" w:rsidRDefault="00853BF0" w:rsidP="00853BF0">
      <w:pPr>
        <w:rPr>
          <w:rFonts w:cs="Times New Roman"/>
        </w:rPr>
      </w:pPr>
      <w:r w:rsidRPr="00853BF0">
        <w:rPr>
          <w:rFonts w:cs="Times New Roman"/>
        </w:rPr>
        <w:t xml:space="preserve">A revolução tecnológica que vivemos hoje está moldando o mundo financeiro de maneira inédita. Em meio a isso, o advento das tecnologias de registro distribuído (DLTs – </w:t>
      </w:r>
      <w:r w:rsidRPr="00EC4CB9">
        <w:rPr>
          <w:rFonts w:cs="Times New Roman"/>
          <w:i/>
          <w:iCs/>
        </w:rPr>
        <w:t>Distributed Ledger Technologies</w:t>
      </w:r>
      <w:r w:rsidRPr="00853BF0">
        <w:rPr>
          <w:rFonts w:cs="Times New Roman"/>
        </w:rPr>
        <w:t>)</w:t>
      </w:r>
      <w:r w:rsidR="00EC4CB9">
        <w:rPr>
          <w:rFonts w:cs="Times New Roman"/>
        </w:rPr>
        <w:t xml:space="preserve"> -</w:t>
      </w:r>
      <w:r w:rsidRPr="00853BF0">
        <w:rPr>
          <w:rFonts w:cs="Times New Roman"/>
        </w:rPr>
        <w:t xml:space="preserve"> </w:t>
      </w:r>
      <w:r w:rsidR="00EC4CB9">
        <w:rPr>
          <w:rFonts w:cs="Times New Roman"/>
        </w:rPr>
        <w:t>entre as quais se incluem os protocolos e respectivas implementações de</w:t>
      </w:r>
      <w:r w:rsidRPr="00853BF0">
        <w:rPr>
          <w:rFonts w:cs="Times New Roman"/>
        </w:rPr>
        <w:t xml:space="preserve"> </w:t>
      </w:r>
      <w:r w:rsidR="00EC4CB9">
        <w:rPr>
          <w:rFonts w:cs="Times New Roman"/>
        </w:rPr>
        <w:t>b</w:t>
      </w:r>
      <w:r w:rsidRPr="00853BF0">
        <w:rPr>
          <w:rFonts w:cs="Times New Roman"/>
        </w:rPr>
        <w:t>lockchain</w:t>
      </w:r>
      <w:r w:rsidR="00EC4CB9">
        <w:rPr>
          <w:rFonts w:cs="Times New Roman"/>
        </w:rPr>
        <w:t xml:space="preserve"> -</w:t>
      </w:r>
      <w:r w:rsidRPr="00853BF0">
        <w:rPr>
          <w:rFonts w:cs="Times New Roman"/>
        </w:rPr>
        <w:t xml:space="preserve"> está trazendo novas perspectivas para a economia global. Nesse contexto, o </w:t>
      </w:r>
      <w:r w:rsidR="00710014">
        <w:rPr>
          <w:rFonts w:cs="Times New Roman"/>
        </w:rPr>
        <w:t>DREX</w:t>
      </w:r>
      <w:r w:rsidRPr="00853BF0">
        <w:rPr>
          <w:rFonts w:cs="Times New Roman"/>
        </w:rPr>
        <w:t xml:space="preserve"> surge como uma inovação disruptiva com potencial para ser o elemento motriz de uma economia tokenizada.</w:t>
      </w:r>
    </w:p>
    <w:p w14:paraId="7275C7C9" w14:textId="69CD3EC1" w:rsidR="00853BF0" w:rsidRPr="00853BF0" w:rsidRDefault="00853BF0" w:rsidP="00853BF0">
      <w:pPr>
        <w:rPr>
          <w:rFonts w:cs="Times New Roman"/>
        </w:rPr>
      </w:pPr>
      <w:r w:rsidRPr="00853BF0">
        <w:rPr>
          <w:rFonts w:cs="Times New Roman"/>
        </w:rPr>
        <w:t>DLTs são sistemas de registro de</w:t>
      </w:r>
      <w:r w:rsidR="00EC4CB9">
        <w:rPr>
          <w:rFonts w:cs="Times New Roman"/>
        </w:rPr>
        <w:t xml:space="preserve"> informações que</w:t>
      </w:r>
      <w:r w:rsidRPr="00853BF0">
        <w:rPr>
          <w:rFonts w:cs="Times New Roman"/>
        </w:rPr>
        <w:t xml:space="preserve"> permitem que os participantes </w:t>
      </w:r>
      <w:r w:rsidR="00EC4CB9">
        <w:rPr>
          <w:rFonts w:cs="Times New Roman"/>
        </w:rPr>
        <w:t xml:space="preserve">desse sistema </w:t>
      </w:r>
      <w:r w:rsidRPr="00853BF0">
        <w:rPr>
          <w:rFonts w:cs="Times New Roman"/>
        </w:rPr>
        <w:t xml:space="preserve">mantenham e atualizem cópias idênticas </w:t>
      </w:r>
      <w:r w:rsidR="00EC4CB9">
        <w:rPr>
          <w:rFonts w:cs="Times New Roman"/>
        </w:rPr>
        <w:t>do mesmo conjunto de informações organizado em um banco de dados, sem depender de um ente central para validar a segurança das informações trocadas e a veracidade das informações registradas</w:t>
      </w:r>
      <w:r w:rsidRPr="00853BF0">
        <w:rPr>
          <w:rFonts w:cs="Times New Roman"/>
        </w:rPr>
        <w:t xml:space="preserve">. </w:t>
      </w:r>
      <w:r w:rsidR="00EC4CB9">
        <w:rPr>
          <w:rFonts w:cs="Times New Roman"/>
        </w:rPr>
        <w:t>Por se tratar de um</w:t>
      </w:r>
      <w:r w:rsidRPr="00853BF0">
        <w:rPr>
          <w:rFonts w:cs="Times New Roman"/>
        </w:rPr>
        <w:t xml:space="preserve"> registro distribuído oferece maior transparência, eficiência e segurança, evitando </w:t>
      </w:r>
      <w:r w:rsidR="00EC4CB9">
        <w:rPr>
          <w:rFonts w:cs="Times New Roman"/>
        </w:rPr>
        <w:t>diversos casos de exploração de segurança e corrupção de informação por</w:t>
      </w:r>
      <w:r w:rsidRPr="00853BF0">
        <w:rPr>
          <w:rFonts w:cs="Times New Roman"/>
        </w:rPr>
        <w:t xml:space="preserve"> intermediários.</w:t>
      </w:r>
    </w:p>
    <w:p w14:paraId="2A50CECE" w14:textId="5B4C126E" w:rsidR="00853BF0" w:rsidRPr="00853BF0" w:rsidRDefault="00EC4CB9" w:rsidP="00853BF0">
      <w:pPr>
        <w:rPr>
          <w:rFonts w:cs="Times New Roman"/>
        </w:rPr>
      </w:pPr>
      <w:r>
        <w:rPr>
          <w:rFonts w:cs="Times New Roman"/>
        </w:rPr>
        <w:t>B</w:t>
      </w:r>
      <w:r w:rsidR="00853BF0" w:rsidRPr="00853BF0">
        <w:rPr>
          <w:rFonts w:cs="Times New Roman"/>
        </w:rPr>
        <w:t>lockchain, uma forma de DLT, é uma</w:t>
      </w:r>
      <w:r>
        <w:rPr>
          <w:rFonts w:cs="Times New Roman"/>
        </w:rPr>
        <w:t xml:space="preserve"> organização do registro de informações em</w:t>
      </w:r>
      <w:r w:rsidR="00853BF0" w:rsidRPr="00853BF0">
        <w:rPr>
          <w:rFonts w:cs="Times New Roman"/>
        </w:rPr>
        <w:t xml:space="preserve"> cadeia</w:t>
      </w:r>
      <w:r>
        <w:rPr>
          <w:rFonts w:cs="Times New Roman"/>
        </w:rPr>
        <w:t>s</w:t>
      </w:r>
      <w:r w:rsidR="00853BF0" w:rsidRPr="00853BF0">
        <w:rPr>
          <w:rFonts w:cs="Times New Roman"/>
        </w:rPr>
        <w:t xml:space="preserve"> de blocos que registra</w:t>
      </w:r>
      <w:r>
        <w:rPr>
          <w:rFonts w:cs="Times New Roman"/>
        </w:rPr>
        <w:t>m</w:t>
      </w:r>
      <w:r w:rsidR="00853BF0" w:rsidRPr="00853BF0">
        <w:rPr>
          <w:rFonts w:cs="Times New Roman"/>
        </w:rPr>
        <w:t xml:space="preserve"> transações </w:t>
      </w:r>
      <w:r>
        <w:rPr>
          <w:rFonts w:cs="Times New Roman"/>
        </w:rPr>
        <w:t>de forma</w:t>
      </w:r>
      <w:r w:rsidR="00853BF0" w:rsidRPr="00853BF0">
        <w:rPr>
          <w:rFonts w:cs="Times New Roman"/>
        </w:rPr>
        <w:t xml:space="preserve"> descentralizada</w:t>
      </w:r>
      <w:r>
        <w:rPr>
          <w:rFonts w:cs="Times New Roman"/>
        </w:rPr>
        <w:t xml:space="preserve">, em que novos blocos </w:t>
      </w:r>
      <w:r>
        <w:rPr>
          <w:rFonts w:cs="Times New Roman"/>
        </w:rPr>
        <w:lastRenderedPageBreak/>
        <w:t>dependem de um processo de validação que desincentiva a burla ao sistema, por meio da atribuição de custo computacional (proof-of-work) ou da perda de ativos digitais (proof-of-stake), ou de uma combinação de ambos</w:t>
      </w:r>
      <w:r w:rsidR="00853BF0" w:rsidRPr="00853BF0">
        <w:rPr>
          <w:rFonts w:cs="Times New Roman"/>
        </w:rPr>
        <w:t xml:space="preserve">. </w:t>
      </w:r>
      <w:r>
        <w:rPr>
          <w:rFonts w:cs="Times New Roman"/>
        </w:rPr>
        <w:t>Com relação ao ingresso de participantes no sistema, e</w:t>
      </w:r>
      <w:r w:rsidR="00853BF0" w:rsidRPr="00853BF0">
        <w:rPr>
          <w:rFonts w:cs="Times New Roman"/>
        </w:rPr>
        <w:t xml:space="preserve">xistem dois tipos de blockchain: públicas e permissionadas. As blockchains públicas, </w:t>
      </w:r>
      <w:r>
        <w:rPr>
          <w:rFonts w:cs="Times New Roman"/>
        </w:rPr>
        <w:t>de que é exemplo</w:t>
      </w:r>
      <w:r w:rsidR="00853BF0" w:rsidRPr="00853BF0">
        <w:rPr>
          <w:rFonts w:cs="Times New Roman"/>
        </w:rPr>
        <w:t xml:space="preserve"> o Bitcoin, são abertas para qualquer um participar, enquanto as blockchains permissionadas são restritas a entidades </w:t>
      </w:r>
      <w:r>
        <w:rPr>
          <w:rFonts w:cs="Times New Roman"/>
        </w:rPr>
        <w:t xml:space="preserve">previamente </w:t>
      </w:r>
      <w:r w:rsidR="00853BF0" w:rsidRPr="00853BF0">
        <w:rPr>
          <w:rFonts w:cs="Times New Roman"/>
        </w:rPr>
        <w:t xml:space="preserve">autorizadas. Ambas têm suas vantagens e desvantagens, mas para fins de implementação do Real Digital, </w:t>
      </w:r>
      <w:r>
        <w:rPr>
          <w:rFonts w:cs="Times New Roman"/>
        </w:rPr>
        <w:t>o Banco Central optou pela implementação, ainda em prova de conceito, de uma</w:t>
      </w:r>
      <w:r w:rsidR="00853BF0" w:rsidRPr="00853BF0">
        <w:rPr>
          <w:rFonts w:cs="Times New Roman"/>
        </w:rPr>
        <w:t xml:space="preserve"> blockchain permissionada</w:t>
      </w:r>
      <w:r>
        <w:rPr>
          <w:rFonts w:cs="Times New Roman"/>
        </w:rPr>
        <w:t xml:space="preserve">, por motivos </w:t>
      </w:r>
      <w:r w:rsidR="00853BF0" w:rsidRPr="00853BF0">
        <w:rPr>
          <w:rFonts w:cs="Times New Roman"/>
        </w:rPr>
        <w:t>de conformidade regulatória e controle.</w:t>
      </w:r>
    </w:p>
    <w:p w14:paraId="4CCB9DE4" w14:textId="736D3124" w:rsidR="009E1179" w:rsidRDefault="00D621EC" w:rsidP="00853BF0">
      <w:pPr>
        <w:rPr>
          <w:rFonts w:cs="Times New Roman"/>
        </w:rPr>
      </w:pPr>
      <w:r>
        <w:rPr>
          <w:rFonts w:cs="Times New Roman"/>
        </w:rPr>
        <w:t xml:space="preserve">Desde o surgimento do Protocolo Bitcoin, o principal caso de uso de uma blockchain é o registro descentralizado de informações que se referem a itens com valor econômico. O Bitcoin, com efeito, surgiu como uma proposta de moeda nativa digital, sem lastro e sem ter um estado-nação como garantidor de sua circulação, com a finalidade de habilitar transações financeiras na Internet sem a necessidade de intermediários (NAKAMOTO, 2008). </w:t>
      </w:r>
      <w:r w:rsidR="009E1179">
        <w:rPr>
          <w:rFonts w:cs="Times New Roman"/>
        </w:rPr>
        <w:t>Os processos de registro e validação de informações do Bitcoin se baseiam</w:t>
      </w:r>
      <w:r>
        <w:rPr>
          <w:rFonts w:cs="Times New Roman"/>
        </w:rPr>
        <w:t xml:space="preserve"> </w:t>
      </w:r>
      <w:r w:rsidR="009E1179">
        <w:rPr>
          <w:rFonts w:cs="Times New Roman"/>
        </w:rPr>
        <w:t xml:space="preserve">em ferramentas de </w:t>
      </w:r>
      <w:r w:rsidR="009E1179" w:rsidRPr="00853BF0">
        <w:rPr>
          <w:rFonts w:cs="Times New Roman"/>
        </w:rPr>
        <w:t>criptografia</w:t>
      </w:r>
      <w:r w:rsidR="009E1179">
        <w:rPr>
          <w:rFonts w:cs="Times New Roman"/>
        </w:rPr>
        <w:t xml:space="preserve"> (chaves assimétricas, </w:t>
      </w:r>
      <w:r w:rsidR="009E1179" w:rsidRPr="009E1179">
        <w:rPr>
          <w:rFonts w:cs="Times New Roman"/>
          <w:i/>
          <w:iCs/>
        </w:rPr>
        <w:t>hash</w:t>
      </w:r>
      <w:r w:rsidR="009E1179">
        <w:rPr>
          <w:rFonts w:cs="Times New Roman"/>
        </w:rPr>
        <w:t>)</w:t>
      </w:r>
      <w:r w:rsidR="009E1179" w:rsidRPr="00853BF0">
        <w:rPr>
          <w:rFonts w:cs="Times New Roman"/>
        </w:rPr>
        <w:t xml:space="preserve"> para garantir </w:t>
      </w:r>
      <w:r w:rsidR="009E1179">
        <w:rPr>
          <w:rFonts w:cs="Times New Roman"/>
        </w:rPr>
        <w:t xml:space="preserve">a idoneidade de informações, validar </w:t>
      </w:r>
      <w:r w:rsidR="009E1179" w:rsidRPr="00853BF0">
        <w:rPr>
          <w:rFonts w:cs="Times New Roman"/>
        </w:rPr>
        <w:t>transações, controlar a criação de unidades adicionais e verificar a transferência de</w:t>
      </w:r>
      <w:r w:rsidR="009E1179">
        <w:rPr>
          <w:rFonts w:cs="Times New Roman"/>
        </w:rPr>
        <w:t xml:space="preserve"> unidades do bitcoin</w:t>
      </w:r>
      <w:r w:rsidR="009E1179">
        <w:rPr>
          <w:rStyle w:val="Refdenotaderodap"/>
          <w:rFonts w:cs="Times New Roman"/>
        </w:rPr>
        <w:footnoteReference w:id="1"/>
      </w:r>
      <w:r w:rsidR="009E1179">
        <w:rPr>
          <w:rFonts w:cs="Times New Roman"/>
        </w:rPr>
        <w:t xml:space="preserve">. Por esse motivo, o bitcoin deu origem a um conjunto de ativos digitais baseados em blockchains que, no conjunto, são conhecidos pelo termo “criptomoeda” quando buscam implementar o caso de uso de meios de pagamento. Posteriormente, com o surgimento do Protocolo Ethereum, se popularizou o uso de blockchains para registro de outros valores de cunho econômico, o que deu origem ao termo “criptoativos” (primeiro usado em BURNISKE e TATAR, 2017).  </w:t>
      </w:r>
    </w:p>
    <w:p w14:paraId="5754E8A2" w14:textId="4C9F36EF" w:rsidR="00D84AFD" w:rsidRPr="00B86FAB" w:rsidRDefault="00D621EC" w:rsidP="00853BF0">
      <w:pPr>
        <w:rPr>
          <w:rFonts w:cs="Times New Roman"/>
        </w:rPr>
      </w:pPr>
      <w:r>
        <w:rPr>
          <w:rFonts w:cs="Times New Roman"/>
        </w:rPr>
        <w:t xml:space="preserve">  </w:t>
      </w:r>
      <w:r w:rsidR="00853BF0" w:rsidRPr="00853BF0">
        <w:rPr>
          <w:rFonts w:cs="Times New Roman"/>
        </w:rPr>
        <w:t xml:space="preserve"> </w:t>
      </w:r>
      <w:r w:rsidR="00D84AFD">
        <w:rPr>
          <w:rFonts w:cs="Times New Roman"/>
        </w:rPr>
        <w:t>Também por conta do Protocolo Ethereum, a implementação de</w:t>
      </w:r>
      <w:r w:rsidR="009E1179">
        <w:rPr>
          <w:rFonts w:cs="Times New Roman"/>
        </w:rPr>
        <w:t xml:space="preserve"> casos de uso ligados à implementação de meios de pagamento ou </w:t>
      </w:r>
      <w:r w:rsidR="00D84AFD">
        <w:rPr>
          <w:rFonts w:cs="Times New Roman"/>
        </w:rPr>
        <w:t xml:space="preserve">de mercados de ativos digitais passou a ser organizada em softwares (ou programas) chamados de </w:t>
      </w:r>
      <w:r w:rsidR="00D84AFD" w:rsidRPr="00D84AFD">
        <w:rPr>
          <w:rFonts w:cs="Times New Roman"/>
          <w:i/>
          <w:iCs/>
        </w:rPr>
        <w:t>smart contracts</w:t>
      </w:r>
      <w:r w:rsidR="00D84AFD">
        <w:rPr>
          <w:rFonts w:cs="Times New Roman"/>
        </w:rPr>
        <w:t>. A referência presta homenagem a Nick Szabo, que cunhou o termo (SZABO, 1997) para se referir à possibilidade de inserir cláusulas contratuais em hardware e software de forma automatizada.</w:t>
      </w:r>
      <w:r w:rsidR="00B86FAB">
        <w:rPr>
          <w:rFonts w:cs="Times New Roman"/>
        </w:rPr>
        <w:t xml:space="preserve"> Szabo cita como exemplo as </w:t>
      </w:r>
      <w:r w:rsidR="00B86FAB">
        <w:rPr>
          <w:rFonts w:cs="Times New Roman"/>
          <w:i/>
          <w:iCs/>
        </w:rPr>
        <w:t>vending machines</w:t>
      </w:r>
      <w:r w:rsidR="00B86FAB">
        <w:rPr>
          <w:rFonts w:cs="Times New Roman"/>
        </w:rPr>
        <w:t xml:space="preserve">, máquinas de venda de refrigerantes e outros itens de consumo, em que o contrato de compra e venda se dá mediante a inserção de uma ficha (em </w:t>
      </w:r>
      <w:r w:rsidR="00B86FAB">
        <w:rPr>
          <w:rFonts w:cs="Times New Roman"/>
        </w:rPr>
        <w:lastRenderedPageBreak/>
        <w:t xml:space="preserve">inglês, </w:t>
      </w:r>
      <w:r w:rsidR="00B86FAB" w:rsidRPr="00B86FAB">
        <w:rPr>
          <w:rFonts w:cs="Times New Roman"/>
          <w:i/>
          <w:iCs/>
        </w:rPr>
        <w:t>token</w:t>
      </w:r>
      <w:r w:rsidR="00B86FAB">
        <w:rPr>
          <w:rFonts w:cs="Times New Roman"/>
        </w:rPr>
        <w:t>) para que haja a liberação automática do item comprado. A estrutura dos programas em blockchains em geral opera de forma semelhante, em que um token digital serve de input para que o software execute as operações para que foi programado.</w:t>
      </w:r>
    </w:p>
    <w:p w14:paraId="08C10CF7" w14:textId="0443ECCA" w:rsidR="00853BF0" w:rsidRPr="006A468E" w:rsidRDefault="00B86FAB" w:rsidP="00B86FAB">
      <w:pPr>
        <w:rPr>
          <w:rFonts w:cs="Times New Roman"/>
        </w:rPr>
      </w:pPr>
      <w:r>
        <w:rPr>
          <w:rFonts w:cs="Times New Roman"/>
        </w:rPr>
        <w:t>Por esse motivo, “token’ é outra forma popular para se referir a unidades de alguma categoria de informação armazenada em blockchains. Como unidade discricionária, tokens</w:t>
      </w:r>
      <w:r w:rsidR="00853BF0" w:rsidRPr="00853BF0">
        <w:rPr>
          <w:rFonts w:cs="Times New Roman"/>
        </w:rPr>
        <w:t xml:space="preserve"> podem representar qualquer coisa, desde uma moeda até um ativo real, como imóveis ou obras de arte.</w:t>
      </w:r>
      <w:r>
        <w:rPr>
          <w:rFonts w:cs="Times New Roman"/>
        </w:rPr>
        <w:t xml:space="preserve"> As comunidades de desenvolvedores nos diversos protocolos de blockchain organizam padrões para implementação de tokens, e é popular a classificação entre tokens fungíveis (</w:t>
      </w:r>
      <w:r w:rsidRPr="00B86FAB">
        <w:rPr>
          <w:rFonts w:cs="Times New Roman"/>
          <w:i/>
          <w:iCs/>
        </w:rPr>
        <w:t>fungible</w:t>
      </w:r>
      <w:r>
        <w:rPr>
          <w:rFonts w:cs="Times New Roman"/>
          <w:i/>
          <w:iCs/>
        </w:rPr>
        <w:t xml:space="preserve"> tokens</w:t>
      </w:r>
      <w:r>
        <w:rPr>
          <w:rFonts w:cs="Times New Roman"/>
        </w:rPr>
        <w:t>) e infungíveis (</w:t>
      </w:r>
      <w:r w:rsidRPr="00B86FAB">
        <w:rPr>
          <w:rFonts w:cs="Times New Roman"/>
          <w:i/>
          <w:iCs/>
        </w:rPr>
        <w:t>non-fungible tokens</w:t>
      </w:r>
      <w:r>
        <w:rPr>
          <w:rFonts w:cs="Times New Roman"/>
        </w:rPr>
        <w:t>), em que os últimos se prestam a criar objetos ou representações digitais únicos (por isso, não-fungíveis), e os primeiros unidades intercambiáveis entre si pelo mesmo valor, características e utilidade.</w:t>
      </w:r>
      <w:r w:rsidR="006A468E">
        <w:rPr>
          <w:rFonts w:cs="Times New Roman"/>
        </w:rPr>
        <w:t xml:space="preserve"> Por conta do uso amplo do termo </w:t>
      </w:r>
      <w:r w:rsidR="006A468E">
        <w:rPr>
          <w:rFonts w:cs="Times New Roman"/>
          <w:i/>
          <w:iCs/>
        </w:rPr>
        <w:t>token</w:t>
      </w:r>
      <w:r w:rsidR="006A468E">
        <w:rPr>
          <w:rFonts w:cs="Times New Roman"/>
        </w:rPr>
        <w:t xml:space="preserve"> para representar unidades de informação registradas em blockchains, ganhou popularidade o uso do anglicismo “tokenizar” para se referir ao processo de representar e registrar informações em protocolos que usam blockchain. “Tokenização”, neste sentido, se refere usualmente tanto à representação de objetos nativamente digitais (indo desde arte digital, a fichas para jogos virtuais e objetos em realidade virtual sem equivalente no mundo físico), quanto à representação digital de objetos do mundo físico (indo desde imóveis a registros de identidade de pessoas naturais).</w:t>
      </w:r>
    </w:p>
    <w:p w14:paraId="14961DA3" w14:textId="77777777" w:rsidR="00E90D1C" w:rsidRDefault="00B86FAB" w:rsidP="00853BF0">
      <w:pPr>
        <w:rPr>
          <w:rFonts w:cs="Times New Roman"/>
        </w:rPr>
      </w:pPr>
      <w:r>
        <w:rPr>
          <w:rFonts w:cs="Times New Roman"/>
        </w:rPr>
        <w:t>Outro conceito operacional importante é o de</w:t>
      </w:r>
      <w:r w:rsidR="00853BF0" w:rsidRPr="00853BF0">
        <w:rPr>
          <w:rFonts w:cs="Times New Roman"/>
        </w:rPr>
        <w:t xml:space="preserve"> </w:t>
      </w:r>
      <w:r>
        <w:rPr>
          <w:rFonts w:cs="Times New Roman"/>
        </w:rPr>
        <w:t>“</w:t>
      </w:r>
      <w:r w:rsidR="00853BF0" w:rsidRPr="00853BF0">
        <w:rPr>
          <w:rFonts w:cs="Times New Roman"/>
        </w:rPr>
        <w:t>stablecoins</w:t>
      </w:r>
      <w:r>
        <w:rPr>
          <w:rFonts w:cs="Times New Roman"/>
        </w:rPr>
        <w:t>”:</w:t>
      </w:r>
      <w:r w:rsidR="00853BF0" w:rsidRPr="00853BF0">
        <w:rPr>
          <w:rFonts w:cs="Times New Roman"/>
        </w:rPr>
        <w:t xml:space="preserve"> um tipo de criptoativo que é projetado para ter um valor estável, geralmente sendo atrelado a uma moeda fiduciária, como o dólar americano. </w:t>
      </w:r>
      <w:r>
        <w:rPr>
          <w:rFonts w:cs="Times New Roman"/>
        </w:rPr>
        <w:t>Stablecoins surgiram para resolver um problema prático de volatilidade das criptomoedas – que,</w:t>
      </w:r>
      <w:r w:rsidR="006A468E">
        <w:rPr>
          <w:rFonts w:cs="Times New Roman"/>
        </w:rPr>
        <w:t xml:space="preserve"> carentes de uma estrutura central de regulação, operam com grande variação de preços e, por isso, se mostraram pouco eficientes como meio de pagamentos. As stablecoins</w:t>
      </w:r>
      <w:r w:rsidR="00853BF0" w:rsidRPr="00853BF0">
        <w:rPr>
          <w:rFonts w:cs="Times New Roman"/>
        </w:rPr>
        <w:t xml:space="preserve"> </w:t>
      </w:r>
      <w:r w:rsidR="006A468E">
        <w:rPr>
          <w:rFonts w:cs="Times New Roman"/>
        </w:rPr>
        <w:t>buscam se aproveitar das vantagens tecnológicas</w:t>
      </w:r>
      <w:r w:rsidR="00853BF0" w:rsidRPr="00853BF0">
        <w:rPr>
          <w:rFonts w:cs="Times New Roman"/>
        </w:rPr>
        <w:t xml:space="preserve"> das criptomoedas, mantendo</w:t>
      </w:r>
      <w:r w:rsidR="006A468E">
        <w:rPr>
          <w:rFonts w:cs="Times New Roman"/>
        </w:rPr>
        <w:t xml:space="preserve"> porém</w:t>
      </w:r>
      <w:r w:rsidR="00853BF0" w:rsidRPr="00853BF0">
        <w:rPr>
          <w:rFonts w:cs="Times New Roman"/>
        </w:rPr>
        <w:t xml:space="preserve"> a estabilidade da moeda fiduciária.</w:t>
      </w:r>
      <w:r w:rsidR="00E90D1C">
        <w:rPr>
          <w:rFonts w:cs="Times New Roman"/>
        </w:rPr>
        <w:t xml:space="preserve"> </w:t>
      </w:r>
      <w:r w:rsidR="006A468E">
        <w:rPr>
          <w:rFonts w:cs="Times New Roman"/>
        </w:rPr>
        <w:t>O sucesso das stablecoins deu origem, por sua vez, a diversos smart contracts que buscam emular o papel de instituições financeiras, viabilizando por exemplo empréstimos colateralizados,</w:t>
      </w:r>
      <w:r w:rsidR="00E90D1C">
        <w:rPr>
          <w:rFonts w:cs="Times New Roman"/>
        </w:rPr>
        <w:t xml:space="preserve"> financiamento a juros, operações de câmbio, entre outros, o que no conjunto passou a ser conhecido como</w:t>
      </w:r>
      <w:r w:rsidR="006A468E">
        <w:rPr>
          <w:rFonts w:cs="Times New Roman"/>
        </w:rPr>
        <w:t xml:space="preserve"> finanças descentralizadas (decentralized finance</w:t>
      </w:r>
      <w:r w:rsidR="00E90D1C">
        <w:rPr>
          <w:rFonts w:cs="Times New Roman"/>
        </w:rPr>
        <w:t xml:space="preserve"> - DeFi</w:t>
      </w:r>
      <w:r w:rsidR="006A468E">
        <w:rPr>
          <w:rFonts w:cs="Times New Roman"/>
        </w:rPr>
        <w:t>)</w:t>
      </w:r>
      <w:r w:rsidR="00E90D1C">
        <w:rPr>
          <w:rFonts w:cs="Times New Roman"/>
        </w:rPr>
        <w:t>.</w:t>
      </w:r>
      <w:r w:rsidR="006A468E">
        <w:rPr>
          <w:rFonts w:cs="Times New Roman"/>
        </w:rPr>
        <w:t xml:space="preserve"> </w:t>
      </w:r>
    </w:p>
    <w:p w14:paraId="721C020C" w14:textId="3F2197EE" w:rsidR="00853BF0" w:rsidRPr="00853BF0" w:rsidRDefault="00E90D1C" w:rsidP="00853BF0">
      <w:pPr>
        <w:rPr>
          <w:rFonts w:cs="Times New Roman"/>
        </w:rPr>
      </w:pPr>
      <w:r>
        <w:rPr>
          <w:rFonts w:cs="Times New Roman"/>
        </w:rPr>
        <w:t xml:space="preserve">As aplicações de DeFi chamaram a atenção de agentes públicos, que passaram a explorar a possibilidade de emissão de moeda fiduciária de estados-nações em blockchains.  Essa aplicação ganhou </w:t>
      </w:r>
      <w:r w:rsidR="00D5569C">
        <w:rPr>
          <w:rFonts w:cs="Times New Roman"/>
        </w:rPr>
        <w:t>a denominação</w:t>
      </w:r>
      <w:r>
        <w:rPr>
          <w:rFonts w:cs="Times New Roman"/>
        </w:rPr>
        <w:t xml:space="preserve"> de</w:t>
      </w:r>
      <w:r w:rsidR="00853BF0" w:rsidRPr="00853BF0">
        <w:rPr>
          <w:rFonts w:cs="Times New Roman"/>
        </w:rPr>
        <w:t xml:space="preserve"> CBDCs (Central Bank Digital Currencies), </w:t>
      </w:r>
      <w:r>
        <w:rPr>
          <w:rFonts w:cs="Times New Roman"/>
        </w:rPr>
        <w:t xml:space="preserve">que fazem </w:t>
      </w:r>
      <w:r>
        <w:rPr>
          <w:rFonts w:cs="Times New Roman"/>
        </w:rPr>
        <w:lastRenderedPageBreak/>
        <w:t>referência ao papel usualmente reservado aos bancos centrais na emissão e regulação de moedas fiduciárias</w:t>
      </w:r>
      <w:r w:rsidR="00853BF0" w:rsidRPr="00853BF0">
        <w:rPr>
          <w:rFonts w:cs="Times New Roman"/>
        </w:rPr>
        <w:t>. Diferentemente das stablecoins, que são emitidas por entidades privadas, as CBDCs são emitidas por uma autoridade monetária central.</w:t>
      </w:r>
      <w:r>
        <w:rPr>
          <w:rFonts w:cs="Times New Roman"/>
        </w:rPr>
        <w:t xml:space="preserve"> Enquanto as stablecoin se assemelham a títulos de crédito, por terem seu valor escorado em uma moeda nacional, as CBDCs são a própria moeda.</w:t>
      </w:r>
    </w:p>
    <w:p w14:paraId="7D0BD81B" w14:textId="1E0A736C" w:rsidR="00853BF0" w:rsidRPr="00853BF0" w:rsidRDefault="00853BF0" w:rsidP="00853BF0">
      <w:pPr>
        <w:rPr>
          <w:rFonts w:cs="Times New Roman"/>
        </w:rPr>
      </w:pPr>
      <w:r w:rsidRPr="00853BF0">
        <w:rPr>
          <w:rFonts w:cs="Times New Roman"/>
        </w:rPr>
        <w:t xml:space="preserve">O Real Digital, proposto pelo Banco Central do Brasil, é uma </w:t>
      </w:r>
      <w:r w:rsidR="00E90D1C">
        <w:rPr>
          <w:rFonts w:cs="Times New Roman"/>
        </w:rPr>
        <w:t>implementação proposta</w:t>
      </w:r>
      <w:r w:rsidRPr="00853BF0">
        <w:rPr>
          <w:rFonts w:cs="Times New Roman"/>
        </w:rPr>
        <w:t xml:space="preserve"> de CBDC que busca combinar as vantagens de uma moeda digital com a confiabilidade de uma moeda emitida por uma autoridade monetária. Com características como programabilidade e interoperabilidade, o Real Digital pretende ser mais do que apenas uma versão digital da moeda física, mas uma nova forma de dinheiro que pode melhorar a eficiência e a inclusão financeira</w:t>
      </w:r>
      <w:r w:rsidR="00E90D1C">
        <w:rPr>
          <w:rFonts w:cs="Times New Roman"/>
        </w:rPr>
        <w:t xml:space="preserve"> (Banco Central do Brasil, 2021)</w:t>
      </w:r>
      <w:r w:rsidRPr="00853BF0">
        <w:rPr>
          <w:rFonts w:cs="Times New Roman"/>
        </w:rPr>
        <w:t>.</w:t>
      </w:r>
      <w:r w:rsidR="00E90D1C">
        <w:rPr>
          <w:rFonts w:cs="Times New Roman"/>
        </w:rPr>
        <w:t xml:space="preserve"> </w:t>
      </w:r>
      <w:r w:rsidRPr="00853BF0">
        <w:rPr>
          <w:rFonts w:cs="Times New Roman"/>
        </w:rPr>
        <w:t>O Real Digital funciona</w:t>
      </w:r>
      <w:r w:rsidR="00E90D1C">
        <w:rPr>
          <w:rFonts w:cs="Times New Roman"/>
        </w:rPr>
        <w:t>rá</w:t>
      </w:r>
      <w:r w:rsidRPr="00853BF0">
        <w:rPr>
          <w:rFonts w:cs="Times New Roman"/>
        </w:rPr>
        <w:t xml:space="preserve"> como uma representação digital do real, </w:t>
      </w:r>
      <w:r w:rsidR="00E90D1C">
        <w:rPr>
          <w:rFonts w:cs="Times New Roman"/>
        </w:rPr>
        <w:t>sendo, em verdade, uma nova forma de escrituração da moeda fiduciária do Brasil</w:t>
      </w:r>
      <w:r w:rsidRPr="00853BF0">
        <w:rPr>
          <w:rFonts w:cs="Times New Roman"/>
        </w:rPr>
        <w:t xml:space="preserve">. </w:t>
      </w:r>
      <w:r w:rsidR="00E90D1C">
        <w:rPr>
          <w:rFonts w:cs="Times New Roman"/>
        </w:rPr>
        <w:t>Como tal, será</w:t>
      </w:r>
      <w:r w:rsidRPr="00853BF0">
        <w:rPr>
          <w:rFonts w:cs="Times New Roman"/>
        </w:rPr>
        <w:t xml:space="preserve"> emitido e regulado pelo Banco Central do Brasil e pode</w:t>
      </w:r>
      <w:r w:rsidR="00E90D1C">
        <w:rPr>
          <w:rFonts w:cs="Times New Roman"/>
        </w:rPr>
        <w:t>rá</w:t>
      </w:r>
      <w:r w:rsidRPr="00853BF0">
        <w:rPr>
          <w:rFonts w:cs="Times New Roman"/>
        </w:rPr>
        <w:t xml:space="preserve"> ser usado para realizar transações da mesma maneira que o real</w:t>
      </w:r>
      <w:r w:rsidR="00E90D1C">
        <w:rPr>
          <w:rFonts w:cs="Times New Roman"/>
        </w:rPr>
        <w:t xml:space="preserve"> em papel moeda e escriturado por bancos e instituições financeiras</w:t>
      </w:r>
      <w:r w:rsidRPr="00853BF0">
        <w:rPr>
          <w:rFonts w:cs="Times New Roman"/>
        </w:rPr>
        <w:t>.</w:t>
      </w:r>
    </w:p>
    <w:p w14:paraId="0D2FD463" w14:textId="19B7410D" w:rsidR="00853BF0" w:rsidRPr="00853BF0" w:rsidRDefault="00E90D1C" w:rsidP="00853BF0">
      <w:pPr>
        <w:rPr>
          <w:rFonts w:cs="Times New Roman"/>
        </w:rPr>
      </w:pPr>
      <w:r>
        <w:rPr>
          <w:rFonts w:cs="Times New Roman"/>
        </w:rPr>
        <w:t xml:space="preserve">Conforme </w:t>
      </w:r>
      <w:r w:rsidR="0026308F">
        <w:rPr>
          <w:rFonts w:cs="Times New Roman"/>
        </w:rPr>
        <w:t>os planos de trabalho divulgados em seu sítio (</w:t>
      </w:r>
      <w:r w:rsidR="0026308F" w:rsidRPr="0026308F">
        <w:rPr>
          <w:rFonts w:cs="Times New Roman"/>
        </w:rPr>
        <w:t>https://www.bcb.gov.br/estabilidadefinanceira/real_digital</w:t>
      </w:r>
      <w:r w:rsidR="0026308F">
        <w:rPr>
          <w:rFonts w:cs="Times New Roman"/>
        </w:rPr>
        <w:t>),</w:t>
      </w:r>
      <w:r w:rsidR="0026308F" w:rsidRPr="0026308F">
        <w:rPr>
          <w:rFonts w:cs="Times New Roman"/>
        </w:rPr>
        <w:t xml:space="preserve"> </w:t>
      </w:r>
      <w:r w:rsidR="00853BF0" w:rsidRPr="00853BF0">
        <w:rPr>
          <w:rFonts w:cs="Times New Roman"/>
        </w:rPr>
        <w:t xml:space="preserve">o Banco Central </w:t>
      </w:r>
      <w:r w:rsidR="0026308F">
        <w:rPr>
          <w:rFonts w:cs="Times New Roman"/>
        </w:rPr>
        <w:t>pretende implementar</w:t>
      </w:r>
      <w:r w:rsidR="00853BF0" w:rsidRPr="00853BF0">
        <w:rPr>
          <w:rFonts w:cs="Times New Roman"/>
        </w:rPr>
        <w:t xml:space="preserve"> um ecossistema digital multiativos</w:t>
      </w:r>
      <w:r w:rsidR="0026308F">
        <w:rPr>
          <w:rFonts w:cs="Times New Roman"/>
        </w:rPr>
        <w:t>, em que não apenas o real poderá ser escriturado na blockchain permissionada que está em prova de conceito, mas também valores mobiliários e outros ativos passíveis de negociação pública ou privada</w:t>
      </w:r>
      <w:r w:rsidR="00853BF0" w:rsidRPr="00853BF0">
        <w:rPr>
          <w:rFonts w:cs="Times New Roman"/>
        </w:rPr>
        <w:t xml:space="preserve">. </w:t>
      </w:r>
      <w:r w:rsidR="0026308F">
        <w:rPr>
          <w:rFonts w:cs="Times New Roman"/>
        </w:rPr>
        <w:t>Com isso pretende-se</w:t>
      </w:r>
      <w:r w:rsidR="00853BF0" w:rsidRPr="00853BF0">
        <w:rPr>
          <w:rFonts w:cs="Times New Roman"/>
        </w:rPr>
        <w:t xml:space="preserve"> que</w:t>
      </w:r>
      <w:r w:rsidR="0026308F">
        <w:rPr>
          <w:rFonts w:cs="Times New Roman"/>
        </w:rPr>
        <w:t xml:space="preserve"> </w:t>
      </w:r>
      <w:r w:rsidR="00853BF0" w:rsidRPr="00853BF0">
        <w:rPr>
          <w:rFonts w:cs="Times New Roman"/>
        </w:rPr>
        <w:t xml:space="preserve">o Real Digital </w:t>
      </w:r>
      <w:r w:rsidR="0026308F">
        <w:rPr>
          <w:rFonts w:cs="Times New Roman"/>
        </w:rPr>
        <w:t>possa ser programado para agregar utilidade a esses ativos, criando novas formas de</w:t>
      </w:r>
      <w:r w:rsidR="00853BF0" w:rsidRPr="00853BF0">
        <w:rPr>
          <w:rFonts w:cs="Times New Roman"/>
        </w:rPr>
        <w:t xml:space="preserve"> emitir, transferir e liquidar ativos digitais. Essa visão é o primeiro passo para a criação </w:t>
      </w:r>
      <w:r w:rsidR="0026308F">
        <w:rPr>
          <w:rFonts w:cs="Times New Roman"/>
        </w:rPr>
        <w:t>daquilo que o próprio Banco Central chama de</w:t>
      </w:r>
      <w:r w:rsidR="00853BF0" w:rsidRPr="00853BF0">
        <w:rPr>
          <w:rFonts w:cs="Times New Roman"/>
        </w:rPr>
        <w:t xml:space="preserve"> </w:t>
      </w:r>
      <w:r w:rsidR="0026308F">
        <w:rPr>
          <w:rFonts w:cs="Times New Roman"/>
        </w:rPr>
        <w:t>“</w:t>
      </w:r>
      <w:r w:rsidR="00853BF0" w:rsidRPr="00853BF0">
        <w:rPr>
          <w:rFonts w:cs="Times New Roman"/>
        </w:rPr>
        <w:t>economia tokenizada</w:t>
      </w:r>
      <w:r w:rsidR="0026308F">
        <w:rPr>
          <w:rFonts w:cs="Times New Roman"/>
        </w:rPr>
        <w:t>”</w:t>
      </w:r>
      <w:r w:rsidR="00853BF0" w:rsidRPr="00853BF0">
        <w:rPr>
          <w:rFonts w:cs="Times New Roman"/>
        </w:rPr>
        <w:t>.</w:t>
      </w:r>
    </w:p>
    <w:p w14:paraId="43D4096C" w14:textId="63B130DF" w:rsidR="00DF53B8" w:rsidRDefault="0026308F" w:rsidP="0026308F">
      <w:pPr>
        <w:rPr>
          <w:rFonts w:cs="Times New Roman"/>
        </w:rPr>
      </w:pPr>
      <w:r>
        <w:rPr>
          <w:rFonts w:cs="Times New Roman"/>
        </w:rPr>
        <w:t>Essa</w:t>
      </w:r>
      <w:r w:rsidR="00853BF0" w:rsidRPr="00853BF0">
        <w:rPr>
          <w:rFonts w:cs="Times New Roman"/>
        </w:rPr>
        <w:t xml:space="preserve"> economia tokenizada</w:t>
      </w:r>
      <w:r>
        <w:rPr>
          <w:rFonts w:cs="Times New Roman"/>
        </w:rPr>
        <w:t>, assim,</w:t>
      </w:r>
      <w:r w:rsidR="00853BF0" w:rsidRPr="00853BF0">
        <w:rPr>
          <w:rFonts w:cs="Times New Roman"/>
        </w:rPr>
        <w:t xml:space="preserve"> </w:t>
      </w:r>
      <w:r>
        <w:rPr>
          <w:rFonts w:cs="Times New Roman"/>
        </w:rPr>
        <w:t>será caracterizada por</w:t>
      </w:r>
      <w:r w:rsidR="00853BF0" w:rsidRPr="00853BF0">
        <w:rPr>
          <w:rFonts w:cs="Times New Roman"/>
        </w:rPr>
        <w:t xml:space="preserve"> ativos representados por tokens digitais</w:t>
      </w:r>
      <w:r>
        <w:rPr>
          <w:rFonts w:cs="Times New Roman"/>
        </w:rPr>
        <w:t>,</w:t>
      </w:r>
      <w:r w:rsidR="00853BF0" w:rsidRPr="00853BF0">
        <w:rPr>
          <w:rFonts w:cs="Times New Roman"/>
        </w:rPr>
        <w:t xml:space="preserve"> que podem ser negociados</w:t>
      </w:r>
      <w:r>
        <w:rPr>
          <w:rFonts w:cs="Times New Roman"/>
        </w:rPr>
        <w:t xml:space="preserve"> em um ambiente em que a guarda e a validação das informações poderá ser feita em tempo real por todos os agentes habilitados a fazer parte da blockchain pública do Real Digital</w:t>
      </w:r>
      <w:r w:rsidR="00853BF0" w:rsidRPr="00853BF0">
        <w:rPr>
          <w:rFonts w:cs="Times New Roman"/>
        </w:rPr>
        <w:t>. Isso inclui não apenas moedas digitais, mas também outros tipos de ativos, como ações, imóveis e até mesmo ativos intangíveis, como propriedade intelectual. A tokenização oferece</w:t>
      </w:r>
      <w:r>
        <w:rPr>
          <w:rFonts w:cs="Times New Roman"/>
        </w:rPr>
        <w:t xml:space="preserve"> em tese</w:t>
      </w:r>
      <w:r w:rsidR="00853BF0" w:rsidRPr="00853BF0">
        <w:rPr>
          <w:rFonts w:cs="Times New Roman"/>
        </w:rPr>
        <w:t xml:space="preserve"> várias vantagens, como maior liquidez, menor custo de transação e maior inclusão financeira</w:t>
      </w:r>
      <w:r>
        <w:rPr>
          <w:rFonts w:cs="Times New Roman"/>
        </w:rPr>
        <w:t>, em que a política de desenvolvimento econômico e social poderá ser programa diretamente nos ativos que compõem a base das relações econômicas</w:t>
      </w:r>
      <w:r w:rsidR="00853BF0" w:rsidRPr="00853BF0">
        <w:rPr>
          <w:rFonts w:cs="Times New Roman"/>
        </w:rPr>
        <w:t>.</w:t>
      </w:r>
      <w:r>
        <w:rPr>
          <w:rFonts w:cs="Times New Roman"/>
        </w:rPr>
        <w:t xml:space="preserve"> O</w:t>
      </w:r>
      <w:r w:rsidR="00853BF0" w:rsidRPr="00853BF0">
        <w:rPr>
          <w:rFonts w:cs="Times New Roman"/>
        </w:rPr>
        <w:t xml:space="preserve"> Real Digital, como uma moeda digital programável, tem o potencial de </w:t>
      </w:r>
      <w:r w:rsidR="00853BF0" w:rsidRPr="00853BF0">
        <w:rPr>
          <w:rFonts w:cs="Times New Roman"/>
        </w:rPr>
        <w:lastRenderedPageBreak/>
        <w:t xml:space="preserve">transformar a economia brasileira e lançar as bases para </w:t>
      </w:r>
      <w:r>
        <w:rPr>
          <w:rFonts w:cs="Times New Roman"/>
        </w:rPr>
        <w:t>essa</w:t>
      </w:r>
      <w:r w:rsidR="00853BF0" w:rsidRPr="00853BF0">
        <w:rPr>
          <w:rFonts w:cs="Times New Roman"/>
        </w:rPr>
        <w:t xml:space="preserve"> economia tokenizada. Ao fazer isso, ele pode oferecer novas oportunidades para o desenvolvimento econômico e a inclusão financeira, ao mesmo tempo em que reforça</w:t>
      </w:r>
      <w:r>
        <w:rPr>
          <w:rFonts w:cs="Times New Roman"/>
        </w:rPr>
        <w:t xml:space="preserve">ria o papel da </w:t>
      </w:r>
      <w:r w:rsidR="00853BF0" w:rsidRPr="00853BF0">
        <w:rPr>
          <w:rFonts w:cs="Times New Roman"/>
        </w:rPr>
        <w:t>confiança na moeda e no Estado.</w:t>
      </w:r>
    </w:p>
    <w:p w14:paraId="48D86379" w14:textId="77777777" w:rsidR="00853BF0" w:rsidRDefault="00853BF0" w:rsidP="00853BF0">
      <w:pPr>
        <w:rPr>
          <w:rFonts w:cs="Times New Roman"/>
        </w:rPr>
      </w:pPr>
    </w:p>
    <w:p w14:paraId="37A53005" w14:textId="42C7BCA8" w:rsidR="00853BF0" w:rsidRPr="00853BF0" w:rsidRDefault="00853BF0" w:rsidP="00853BF0">
      <w:pPr>
        <w:pStyle w:val="Ttulo2"/>
      </w:pPr>
      <w:r w:rsidRPr="00853BF0">
        <w:t>Como uma economia tokenizada pode beneficiar o Estado e os credores de dívidas contra a Fazenda Pública oriundas de condenações judiciais</w:t>
      </w:r>
    </w:p>
    <w:p w14:paraId="572FFB7E" w14:textId="77777777" w:rsidR="00853BF0" w:rsidRPr="00853BF0" w:rsidRDefault="00853BF0" w:rsidP="00853BF0">
      <w:pPr>
        <w:rPr>
          <w:rFonts w:cs="Times New Roman"/>
        </w:rPr>
      </w:pPr>
    </w:p>
    <w:p w14:paraId="66CFFC25" w14:textId="77777777" w:rsidR="00853BF0" w:rsidRPr="00853BF0" w:rsidRDefault="00853BF0" w:rsidP="00853BF0">
      <w:pPr>
        <w:rPr>
          <w:rFonts w:cs="Times New Roman"/>
        </w:rPr>
      </w:pPr>
      <w:r w:rsidRPr="00853BF0">
        <w:rPr>
          <w:rFonts w:cs="Times New Roman"/>
        </w:rPr>
        <w:t>O papel das novas tecnologias financeiras na gestão da dívida pública é um tema de crescente interesse. A tokenização de dívidas contra a Fazenda Pública, como precatórios e requisições de pagamento, pode oferecer um novo paradigma para a maneira como lidamos com as obrigações do Estado. Neste capítulo, exploraremos a ideia de tokenização dessas dívidas e os benefícios potenciais que ela pode trazer para o Estado e os credores.</w:t>
      </w:r>
    </w:p>
    <w:p w14:paraId="77C9758E" w14:textId="72F68CC6" w:rsidR="00853BF0" w:rsidRDefault="00853BF0" w:rsidP="00853BF0">
      <w:pPr>
        <w:rPr>
          <w:rFonts w:cs="Times New Roman"/>
        </w:rPr>
      </w:pPr>
      <w:r w:rsidRPr="00853BF0">
        <w:rPr>
          <w:rFonts w:cs="Times New Roman"/>
        </w:rPr>
        <w:t>Precatórios são requisições de pagamento decorrentes de condenações judiciais proferidas contra a Fazenda Pública, seja em nível federal, estadual ou municipal. Essas dívidas surgem quando o Estado é condenado pela Justiça a pagar uma determinada quantia, normalmente relacionada a casos de desapropriações, salários atrasados, indenizações por danos morais, entre outros. Essas dívidas são então organizadas em listas cronológicas de pagamento, respeitando a ordem de apresentação dos precatórios.</w:t>
      </w:r>
    </w:p>
    <w:p w14:paraId="226C3E73" w14:textId="63ED74BB" w:rsidR="00AF3B0C" w:rsidRPr="00952F0F" w:rsidRDefault="00AF3B0C" w:rsidP="00853BF0">
      <w:pPr>
        <w:rPr>
          <w:rFonts w:cs="Times New Roman"/>
          <w:color w:val="000000" w:themeColor="text1"/>
        </w:rPr>
      </w:pPr>
      <w:r w:rsidRPr="00952F0F">
        <w:rPr>
          <w:rFonts w:cs="Times New Roman"/>
          <w:color w:val="000000" w:themeColor="text1"/>
        </w:rPr>
        <w:t xml:space="preserve">O pagamento por meio de precatórios está regulado no artigo 100 da Constituição Federal. A </w:t>
      </w:r>
      <w:r w:rsidR="00F841FF" w:rsidRPr="00952F0F">
        <w:rPr>
          <w:rFonts w:cs="Times New Roman"/>
          <w:color w:val="000000" w:themeColor="text1"/>
        </w:rPr>
        <w:t>norma pretende garantir a previsibilidade d</w:t>
      </w:r>
      <w:r w:rsidRPr="00952F0F">
        <w:rPr>
          <w:rFonts w:cs="Times New Roman"/>
          <w:color w:val="000000" w:themeColor="text1"/>
        </w:rPr>
        <w:t xml:space="preserve">os pagamentos e adequação orçamentária, de modo que os entes federativos possam incluir estes pagamentos dentro do seu planejamento anual, por meio das leis orçamentárias. </w:t>
      </w:r>
    </w:p>
    <w:p w14:paraId="3E4CC24B" w14:textId="22772D00" w:rsidR="00AF3B0C" w:rsidRPr="00952F0F" w:rsidRDefault="00AF3B0C" w:rsidP="00853BF0">
      <w:pPr>
        <w:rPr>
          <w:rFonts w:cs="Times New Roman"/>
          <w:color w:val="000000" w:themeColor="text1"/>
        </w:rPr>
      </w:pPr>
      <w:r w:rsidRPr="00952F0F">
        <w:rPr>
          <w:rFonts w:cs="Times New Roman"/>
          <w:color w:val="000000" w:themeColor="text1"/>
        </w:rPr>
        <w:t xml:space="preserve">Ao lado do regime dos precatórios, </w:t>
      </w:r>
      <w:r w:rsidR="007B0FE0">
        <w:rPr>
          <w:rFonts w:cs="Times New Roman"/>
          <w:color w:val="000000" w:themeColor="text1"/>
        </w:rPr>
        <w:t>há</w:t>
      </w:r>
      <w:r w:rsidRPr="00952F0F">
        <w:rPr>
          <w:rFonts w:cs="Times New Roman"/>
          <w:color w:val="000000" w:themeColor="text1"/>
        </w:rPr>
        <w:t xml:space="preserve"> o das obrigações de pequeno valor, que </w:t>
      </w:r>
      <w:r w:rsidR="007B0FE0">
        <w:rPr>
          <w:rFonts w:cs="Times New Roman"/>
          <w:color w:val="000000" w:themeColor="text1"/>
        </w:rPr>
        <w:t>seguem</w:t>
      </w:r>
      <w:r w:rsidRPr="00952F0F">
        <w:rPr>
          <w:rFonts w:cs="Times New Roman"/>
          <w:color w:val="000000" w:themeColor="text1"/>
        </w:rPr>
        <w:t xml:space="preserve"> rito de pagamento </w:t>
      </w:r>
      <w:r w:rsidR="007B0FE0">
        <w:rPr>
          <w:rFonts w:cs="Times New Roman"/>
          <w:color w:val="000000" w:themeColor="text1"/>
        </w:rPr>
        <w:t>mais célere</w:t>
      </w:r>
      <w:r w:rsidRPr="00952F0F">
        <w:rPr>
          <w:rFonts w:cs="Times New Roman"/>
          <w:color w:val="000000" w:themeColor="text1"/>
        </w:rPr>
        <w:t>, por meio de requisições de pequeno valor (§3º do artigo 100 da Constituição Federal).</w:t>
      </w:r>
    </w:p>
    <w:p w14:paraId="06AFC81E" w14:textId="7B18CDC4" w:rsidR="00853BF0" w:rsidRPr="00952F0F" w:rsidRDefault="00D5569C" w:rsidP="00853BF0">
      <w:pPr>
        <w:rPr>
          <w:rFonts w:cs="Times New Roman"/>
          <w:color w:val="000000" w:themeColor="text1"/>
        </w:rPr>
      </w:pPr>
      <w:r>
        <w:rPr>
          <w:rFonts w:cs="Times New Roman"/>
          <w:color w:val="000000" w:themeColor="text1"/>
        </w:rPr>
        <w:t>Em linhas gerais</w:t>
      </w:r>
      <w:r w:rsidR="00AF3B0C" w:rsidRPr="00952F0F">
        <w:rPr>
          <w:rFonts w:cs="Times New Roman"/>
          <w:color w:val="000000" w:themeColor="text1"/>
        </w:rPr>
        <w:t xml:space="preserve">, a adoção por um regime ou outro se faz em razão do valor do crédito. As </w:t>
      </w:r>
      <w:r w:rsidR="00072F20" w:rsidRPr="00952F0F">
        <w:rPr>
          <w:rFonts w:cs="Times New Roman"/>
          <w:color w:val="000000" w:themeColor="text1"/>
        </w:rPr>
        <w:t>obrigações de pequeno valor, cujo regime é simplificado, devem ser paga</w:t>
      </w:r>
      <w:r w:rsidR="007B0FE0">
        <w:rPr>
          <w:rFonts w:cs="Times New Roman"/>
          <w:color w:val="000000" w:themeColor="text1"/>
        </w:rPr>
        <w:t>s</w:t>
      </w:r>
      <w:r w:rsidR="00072F20" w:rsidRPr="00952F0F">
        <w:rPr>
          <w:rFonts w:cs="Times New Roman"/>
          <w:color w:val="000000" w:themeColor="text1"/>
        </w:rPr>
        <w:t xml:space="preserve"> em até sessenta dias pela Fazenda Pública, a contar do recebimento da respectiva requisição, sob pena de sequestro. </w:t>
      </w:r>
      <w:r w:rsidR="0051331C" w:rsidRPr="00952F0F">
        <w:rPr>
          <w:rFonts w:cs="Times New Roman"/>
          <w:color w:val="000000" w:themeColor="text1"/>
        </w:rPr>
        <w:t xml:space="preserve">Já o pagamento via precatório é realizado por procedimento administrativo aberto pelo respectivo tribunal do ente federativo, sendo </w:t>
      </w:r>
      <w:r w:rsidR="00F841FF" w:rsidRPr="00952F0F">
        <w:rPr>
          <w:rFonts w:cs="Times New Roman"/>
          <w:color w:val="000000" w:themeColor="text1"/>
        </w:rPr>
        <w:t xml:space="preserve">o crédito </w:t>
      </w:r>
      <w:r w:rsidR="007B0FE0" w:rsidRPr="00952F0F">
        <w:rPr>
          <w:rFonts w:cs="Times New Roman"/>
          <w:color w:val="000000" w:themeColor="text1"/>
        </w:rPr>
        <w:t>indicado</w:t>
      </w:r>
      <w:r w:rsidR="0051331C" w:rsidRPr="00952F0F">
        <w:rPr>
          <w:rFonts w:cs="Times New Roman"/>
          <w:color w:val="000000" w:themeColor="text1"/>
        </w:rPr>
        <w:t xml:space="preserve"> em lista encaminhada ao </w:t>
      </w:r>
      <w:r w:rsidR="007B0FE0">
        <w:rPr>
          <w:rFonts w:cs="Times New Roman"/>
          <w:color w:val="000000" w:themeColor="text1"/>
        </w:rPr>
        <w:lastRenderedPageBreak/>
        <w:t>E</w:t>
      </w:r>
      <w:r w:rsidR="0051331C" w:rsidRPr="00952F0F">
        <w:rPr>
          <w:rFonts w:cs="Times New Roman"/>
          <w:color w:val="000000" w:themeColor="text1"/>
        </w:rPr>
        <w:t xml:space="preserve">xecutivo para inclusão na lei orçamentária vindoura. Os precatórios encaminhados até 2 de abril devem ser pagos no ano </w:t>
      </w:r>
      <w:r w:rsidR="00F841FF" w:rsidRPr="00952F0F">
        <w:rPr>
          <w:rFonts w:cs="Times New Roman"/>
          <w:color w:val="000000" w:themeColor="text1"/>
        </w:rPr>
        <w:t>seguinte</w:t>
      </w:r>
      <w:r w:rsidR="0051331C" w:rsidRPr="00952F0F">
        <w:rPr>
          <w:rFonts w:cs="Times New Roman"/>
          <w:color w:val="000000" w:themeColor="text1"/>
        </w:rPr>
        <w:t xml:space="preserve">. E aqueles encaminhados após, somente serão pagos com o orçamento do segundo ano </w:t>
      </w:r>
      <w:r w:rsidR="00F841FF" w:rsidRPr="00952F0F">
        <w:rPr>
          <w:rFonts w:cs="Times New Roman"/>
          <w:color w:val="000000" w:themeColor="text1"/>
        </w:rPr>
        <w:t>subsequente</w:t>
      </w:r>
      <w:r w:rsidR="0051331C" w:rsidRPr="00952F0F">
        <w:rPr>
          <w:rFonts w:cs="Times New Roman"/>
          <w:color w:val="000000" w:themeColor="text1"/>
        </w:rPr>
        <w:t>.</w:t>
      </w:r>
    </w:p>
    <w:p w14:paraId="209CE05F" w14:textId="3B1BF3F2" w:rsidR="00853BF0" w:rsidRPr="00952F0F" w:rsidRDefault="00853BF0" w:rsidP="00853BF0">
      <w:pPr>
        <w:rPr>
          <w:rFonts w:cs="Times New Roman"/>
          <w:color w:val="000000" w:themeColor="text1"/>
        </w:rPr>
      </w:pPr>
      <w:r w:rsidRPr="00952F0F">
        <w:rPr>
          <w:rFonts w:cs="Times New Roman"/>
          <w:color w:val="000000" w:themeColor="text1"/>
        </w:rPr>
        <w:t xml:space="preserve">A atualização monetária e a aplicação de juros são partes fundamentais do processo de pagamento dessas dívidas. Independentemente da </w:t>
      </w:r>
      <w:r w:rsidR="00D5569C">
        <w:rPr>
          <w:rFonts w:cs="Times New Roman"/>
          <w:color w:val="000000" w:themeColor="text1"/>
        </w:rPr>
        <w:t>origem ou forma</w:t>
      </w:r>
      <w:r w:rsidRPr="00952F0F">
        <w:rPr>
          <w:rFonts w:cs="Times New Roman"/>
          <w:color w:val="000000" w:themeColor="text1"/>
        </w:rPr>
        <w:t xml:space="preserve"> da dívida, ela sofre correção monetária e juros moratórios que, dependendo do tempo de espera, podem </w:t>
      </w:r>
      <w:r w:rsidR="007B0FE0">
        <w:rPr>
          <w:rFonts w:cs="Times New Roman"/>
          <w:color w:val="000000" w:themeColor="text1"/>
        </w:rPr>
        <w:t>alcançar</w:t>
      </w:r>
      <w:r w:rsidRPr="00952F0F">
        <w:rPr>
          <w:rFonts w:cs="Times New Roman"/>
          <w:color w:val="000000" w:themeColor="text1"/>
        </w:rPr>
        <w:t xml:space="preserve"> grande </w:t>
      </w:r>
      <w:r w:rsidR="007B0FE0">
        <w:rPr>
          <w:rFonts w:cs="Times New Roman"/>
          <w:color w:val="000000" w:themeColor="text1"/>
        </w:rPr>
        <w:t>monta.</w:t>
      </w:r>
    </w:p>
    <w:p w14:paraId="3D585C34" w14:textId="56B85AA8" w:rsidR="00853BF0" w:rsidRPr="00952F0F" w:rsidRDefault="0051331C" w:rsidP="00853BF0">
      <w:pPr>
        <w:rPr>
          <w:rFonts w:cs="Times New Roman"/>
          <w:color w:val="000000" w:themeColor="text1"/>
        </w:rPr>
      </w:pPr>
      <w:r w:rsidRPr="00952F0F">
        <w:rPr>
          <w:rFonts w:cs="Times New Roman"/>
          <w:color w:val="000000" w:themeColor="text1"/>
        </w:rPr>
        <w:t>Como já dito, a</w:t>
      </w:r>
      <w:r w:rsidR="00483B7C" w:rsidRPr="00952F0F">
        <w:rPr>
          <w:rFonts w:cs="Times New Roman"/>
          <w:color w:val="000000" w:themeColor="text1"/>
        </w:rPr>
        <w:t xml:space="preserve"> Constituição Federal determina que os créditos constituídos em precatório sejam atualizados até o pagamento (§5º do art. 100). A norma dita o prazo para pagamento, determinando que aqueles precatórios apresentados até 2 de abril sejam pagos até o final do ano subsequente. Este interregno é chamado período de graça, no qual não há incidência de juros de mora. </w:t>
      </w:r>
    </w:p>
    <w:p w14:paraId="5D1EB212" w14:textId="01E22AD9" w:rsidR="009C2A93" w:rsidRPr="00952F0F" w:rsidRDefault="009C2A93" w:rsidP="00853BF0">
      <w:pPr>
        <w:rPr>
          <w:rFonts w:cs="Times New Roman"/>
          <w:color w:val="000000" w:themeColor="text1"/>
        </w:rPr>
      </w:pPr>
      <w:r w:rsidRPr="00952F0F">
        <w:rPr>
          <w:rFonts w:cs="Times New Roman"/>
          <w:color w:val="000000" w:themeColor="text1"/>
        </w:rPr>
        <w:t>Com a introdução da Emenda Constitucional nº 113 em 2021, os créditos passaram a sofrer a incidência da SELIC, que congrega atualização</w:t>
      </w:r>
      <w:r w:rsidR="007B0FE0">
        <w:rPr>
          <w:rFonts w:cs="Times New Roman"/>
          <w:color w:val="000000" w:themeColor="text1"/>
        </w:rPr>
        <w:t xml:space="preserve"> monetária</w:t>
      </w:r>
      <w:r w:rsidRPr="00952F0F">
        <w:rPr>
          <w:rFonts w:cs="Times New Roman"/>
          <w:color w:val="000000" w:themeColor="text1"/>
        </w:rPr>
        <w:t xml:space="preserve"> e juros. </w:t>
      </w:r>
      <w:r w:rsidR="00075553" w:rsidRPr="00952F0F">
        <w:rPr>
          <w:rFonts w:cs="Times New Roman"/>
          <w:color w:val="000000" w:themeColor="text1"/>
        </w:rPr>
        <w:t xml:space="preserve">As regras e </w:t>
      </w:r>
      <w:r w:rsidR="00F841FF" w:rsidRPr="00952F0F">
        <w:rPr>
          <w:rFonts w:cs="Times New Roman"/>
          <w:color w:val="000000" w:themeColor="text1"/>
        </w:rPr>
        <w:t xml:space="preserve">os </w:t>
      </w:r>
      <w:r w:rsidR="00075553" w:rsidRPr="00952F0F">
        <w:rPr>
          <w:rFonts w:cs="Times New Roman"/>
          <w:color w:val="000000" w:themeColor="text1"/>
        </w:rPr>
        <w:t>í</w:t>
      </w:r>
      <w:r w:rsidR="0051331C" w:rsidRPr="00952F0F">
        <w:rPr>
          <w:rFonts w:cs="Times New Roman"/>
          <w:color w:val="000000" w:themeColor="text1"/>
        </w:rPr>
        <w:t xml:space="preserve">ndices de atualização estão </w:t>
      </w:r>
      <w:r w:rsidR="00075553" w:rsidRPr="00952F0F">
        <w:rPr>
          <w:rFonts w:cs="Times New Roman"/>
          <w:color w:val="000000" w:themeColor="text1"/>
        </w:rPr>
        <w:t>dispostos nos artigos 21 e seguintes da Resolução 303 do CNJ.</w:t>
      </w:r>
    </w:p>
    <w:p w14:paraId="3C1B57B7" w14:textId="6F32980A" w:rsidR="006C7866" w:rsidRPr="00952F0F" w:rsidRDefault="006C7866" w:rsidP="00853BF0">
      <w:pPr>
        <w:rPr>
          <w:rFonts w:cs="Times New Roman"/>
          <w:color w:val="000000" w:themeColor="text1"/>
        </w:rPr>
      </w:pPr>
      <w:r w:rsidRPr="00952F0F">
        <w:rPr>
          <w:rFonts w:cs="Times New Roman"/>
          <w:color w:val="000000" w:themeColor="text1"/>
        </w:rPr>
        <w:t xml:space="preserve">De maneira geral, hoje os precatórios são atualizados quase que manualmente por meio de encaminhamento do respectivo processo </w:t>
      </w:r>
      <w:r w:rsidR="004C64FE" w:rsidRPr="00952F0F">
        <w:rPr>
          <w:rFonts w:cs="Times New Roman"/>
          <w:color w:val="000000" w:themeColor="text1"/>
        </w:rPr>
        <w:t xml:space="preserve">ao setor contábil. </w:t>
      </w:r>
      <w:r w:rsidR="007B0FE0">
        <w:rPr>
          <w:rFonts w:cs="Times New Roman"/>
          <w:color w:val="000000" w:themeColor="text1"/>
        </w:rPr>
        <w:t>N</w:t>
      </w:r>
      <w:r w:rsidR="004C64FE" w:rsidRPr="00952F0F">
        <w:rPr>
          <w:rFonts w:cs="Times New Roman"/>
          <w:color w:val="000000" w:themeColor="text1"/>
        </w:rPr>
        <w:t>o</w:t>
      </w:r>
      <w:r w:rsidR="007B0FE0">
        <w:rPr>
          <w:rFonts w:cs="Times New Roman"/>
          <w:color w:val="000000" w:themeColor="text1"/>
        </w:rPr>
        <w:t xml:space="preserve"> Estado do</w:t>
      </w:r>
      <w:r w:rsidR="004C64FE" w:rsidRPr="00952F0F">
        <w:rPr>
          <w:rFonts w:cs="Times New Roman"/>
          <w:color w:val="000000" w:themeColor="text1"/>
        </w:rPr>
        <w:t xml:space="preserve"> Espírito Santo,</w:t>
      </w:r>
      <w:r w:rsidR="007B0FE0">
        <w:rPr>
          <w:rFonts w:cs="Times New Roman"/>
          <w:color w:val="000000" w:themeColor="text1"/>
        </w:rPr>
        <w:t xml:space="preserve"> ente a que estão vinculados os autores deste artigo,</w:t>
      </w:r>
      <w:r w:rsidR="004C64FE" w:rsidRPr="00952F0F">
        <w:rPr>
          <w:rFonts w:cs="Times New Roman"/>
          <w:color w:val="000000" w:themeColor="text1"/>
        </w:rPr>
        <w:t xml:space="preserve"> as requisições de precatório são enviadas ao tribunal pelo juiz da causa e </w:t>
      </w:r>
      <w:r w:rsidR="007B0FE0">
        <w:rPr>
          <w:rFonts w:cs="Times New Roman"/>
          <w:color w:val="000000" w:themeColor="text1"/>
        </w:rPr>
        <w:t>naquele</w:t>
      </w:r>
      <w:r w:rsidR="004C64FE" w:rsidRPr="00952F0F">
        <w:rPr>
          <w:rFonts w:cs="Times New Roman"/>
          <w:color w:val="000000" w:themeColor="text1"/>
        </w:rPr>
        <w:t xml:space="preserve"> é aberto processo administrativo, ainda processado por meio de autos físicos. </w:t>
      </w:r>
      <w:r w:rsidR="00F841FF" w:rsidRPr="00952F0F">
        <w:rPr>
          <w:rFonts w:cs="Times New Roman"/>
          <w:color w:val="000000" w:themeColor="text1"/>
        </w:rPr>
        <w:t>Sendo assim</w:t>
      </w:r>
      <w:r w:rsidR="007B0FE0">
        <w:rPr>
          <w:rFonts w:cs="Times New Roman"/>
          <w:color w:val="000000" w:themeColor="text1"/>
        </w:rPr>
        <w:t>,</w:t>
      </w:r>
      <w:r w:rsidR="004C64FE" w:rsidRPr="00952F0F">
        <w:rPr>
          <w:rFonts w:cs="Times New Roman"/>
          <w:color w:val="000000" w:themeColor="text1"/>
        </w:rPr>
        <w:t xml:space="preserve"> a Fazenda Pública para ter acesso ao conteúdo do precatório </w:t>
      </w:r>
      <w:r w:rsidR="007B0FE0">
        <w:rPr>
          <w:rFonts w:cs="Times New Roman"/>
          <w:color w:val="000000" w:themeColor="text1"/>
        </w:rPr>
        <w:t xml:space="preserve">e às atualizações de cálculos, </w:t>
      </w:r>
      <w:r w:rsidR="004C64FE" w:rsidRPr="00952F0F">
        <w:rPr>
          <w:rFonts w:cs="Times New Roman"/>
          <w:color w:val="000000" w:themeColor="text1"/>
        </w:rPr>
        <w:t>necessita pedir vistas, fazer carga física</w:t>
      </w:r>
      <w:r w:rsidR="007B0FE0">
        <w:rPr>
          <w:rFonts w:cs="Times New Roman"/>
          <w:color w:val="000000" w:themeColor="text1"/>
        </w:rPr>
        <w:t xml:space="preserve"> e lidar com todos os pormenores bem conhecidos de quem lida com o dia-a-dia da prática jurídica</w:t>
      </w:r>
      <w:r w:rsidR="004C64FE" w:rsidRPr="00952F0F">
        <w:rPr>
          <w:rFonts w:cs="Times New Roman"/>
          <w:color w:val="000000" w:themeColor="text1"/>
        </w:rPr>
        <w:t>.</w:t>
      </w:r>
    </w:p>
    <w:p w14:paraId="5678D618" w14:textId="694C53F3" w:rsidR="00F357F6" w:rsidRPr="00952F0F" w:rsidRDefault="00853BF0" w:rsidP="00853BF0">
      <w:pPr>
        <w:rPr>
          <w:rFonts w:cs="Times New Roman"/>
          <w:color w:val="000000" w:themeColor="text1"/>
        </w:rPr>
      </w:pPr>
      <w:r w:rsidRPr="00952F0F">
        <w:rPr>
          <w:rFonts w:cs="Times New Roman"/>
          <w:color w:val="000000" w:themeColor="text1"/>
        </w:rPr>
        <w:t xml:space="preserve">A introdução de uma blockchain permissionada na gestão de precatórios pode trazer uma série de benefícios. Primeiramente, </w:t>
      </w:r>
      <w:r w:rsidR="00D5569C">
        <w:rPr>
          <w:rFonts w:cs="Times New Roman"/>
          <w:color w:val="000000" w:themeColor="text1"/>
        </w:rPr>
        <w:t>pode</w:t>
      </w:r>
      <w:r w:rsidRPr="00952F0F">
        <w:rPr>
          <w:rFonts w:cs="Times New Roman"/>
          <w:color w:val="000000" w:themeColor="text1"/>
        </w:rPr>
        <w:t xml:space="preserve"> aumenta</w:t>
      </w:r>
      <w:r w:rsidR="00D5569C">
        <w:rPr>
          <w:rFonts w:cs="Times New Roman"/>
          <w:color w:val="000000" w:themeColor="text1"/>
        </w:rPr>
        <w:t>r</w:t>
      </w:r>
      <w:r w:rsidRPr="00952F0F">
        <w:rPr>
          <w:rFonts w:cs="Times New Roman"/>
          <w:color w:val="000000" w:themeColor="text1"/>
        </w:rPr>
        <w:t xml:space="preserve"> a transparência do processo. Todos os dados são registrados de forma imutável na blockchain, garantindo a veracidade e a imutabilidade das informações. Isso dá aos credores uma maior confiança de que seus direitos estão sendo respeitados e de que os cálculos são feitos de maneira correta.</w:t>
      </w:r>
      <w:r w:rsidR="00D5569C">
        <w:rPr>
          <w:rFonts w:cs="Times New Roman"/>
          <w:color w:val="000000" w:themeColor="text1"/>
        </w:rPr>
        <w:t xml:space="preserve"> </w:t>
      </w:r>
      <w:r w:rsidR="00F357F6" w:rsidRPr="00952F0F">
        <w:rPr>
          <w:rFonts w:cs="Times New Roman"/>
          <w:color w:val="000000" w:themeColor="text1"/>
        </w:rPr>
        <w:t>O acesso à informação é mais simples</w:t>
      </w:r>
      <w:r w:rsidR="00F250E1" w:rsidRPr="00952F0F">
        <w:rPr>
          <w:rFonts w:cs="Times New Roman"/>
          <w:color w:val="000000" w:themeColor="text1"/>
        </w:rPr>
        <w:t>,</w:t>
      </w:r>
      <w:r w:rsidR="00F357F6" w:rsidRPr="00952F0F">
        <w:rPr>
          <w:rFonts w:cs="Times New Roman"/>
          <w:color w:val="000000" w:themeColor="text1"/>
        </w:rPr>
        <w:t xml:space="preserve"> direto e seguro, considerando que </w:t>
      </w:r>
      <w:r w:rsidR="00D5569C">
        <w:rPr>
          <w:rFonts w:cs="Times New Roman"/>
          <w:color w:val="000000" w:themeColor="text1"/>
        </w:rPr>
        <w:t>aquela</w:t>
      </w:r>
      <w:r w:rsidR="00F357F6" w:rsidRPr="00952F0F">
        <w:rPr>
          <w:rFonts w:cs="Times New Roman"/>
          <w:color w:val="000000" w:themeColor="text1"/>
        </w:rPr>
        <w:t xml:space="preserve"> estará </w:t>
      </w:r>
      <w:r w:rsidR="00D5569C">
        <w:rPr>
          <w:rFonts w:cs="Times New Roman"/>
          <w:color w:val="000000" w:themeColor="text1"/>
        </w:rPr>
        <w:t>armazenada de forma descentralizada e passível de consulta em tempo real</w:t>
      </w:r>
      <w:r w:rsidR="00F357F6" w:rsidRPr="00952F0F">
        <w:rPr>
          <w:rFonts w:cs="Times New Roman"/>
          <w:color w:val="000000" w:themeColor="text1"/>
        </w:rPr>
        <w:t xml:space="preserve">, o que representaria ganhos em relação a simplesmente transformar </w:t>
      </w:r>
      <w:r w:rsidR="007B0FE0">
        <w:rPr>
          <w:rFonts w:cs="Times New Roman"/>
          <w:color w:val="000000" w:themeColor="text1"/>
        </w:rPr>
        <w:t xml:space="preserve">o processo administrativo </w:t>
      </w:r>
      <w:r w:rsidR="00F250E1" w:rsidRPr="00952F0F">
        <w:rPr>
          <w:rFonts w:cs="Times New Roman"/>
          <w:color w:val="000000" w:themeColor="text1"/>
        </w:rPr>
        <w:t>d</w:t>
      </w:r>
      <w:r w:rsidR="00F357F6" w:rsidRPr="00952F0F">
        <w:rPr>
          <w:rFonts w:cs="Times New Roman"/>
          <w:color w:val="000000" w:themeColor="text1"/>
        </w:rPr>
        <w:t xml:space="preserve">o precatório em um processo </w:t>
      </w:r>
      <w:r w:rsidR="00D5569C">
        <w:rPr>
          <w:rFonts w:cs="Times New Roman"/>
          <w:color w:val="000000" w:themeColor="text1"/>
        </w:rPr>
        <w:t>em que apenas os documentos são digitalizados, mas não a informação</w:t>
      </w:r>
      <w:r w:rsidR="00F357F6" w:rsidRPr="00952F0F">
        <w:rPr>
          <w:rFonts w:cs="Times New Roman"/>
          <w:color w:val="000000" w:themeColor="text1"/>
        </w:rPr>
        <w:t xml:space="preserve">. </w:t>
      </w:r>
    </w:p>
    <w:p w14:paraId="29ECC407" w14:textId="231053C8" w:rsidR="00F250E1" w:rsidRPr="00952F0F" w:rsidRDefault="00D5569C" w:rsidP="00853BF0">
      <w:pPr>
        <w:rPr>
          <w:rFonts w:cs="Times New Roman"/>
          <w:color w:val="000000" w:themeColor="text1"/>
        </w:rPr>
      </w:pPr>
      <w:r>
        <w:rPr>
          <w:rFonts w:cs="Times New Roman"/>
          <w:color w:val="000000" w:themeColor="text1"/>
        </w:rPr>
        <w:lastRenderedPageBreak/>
        <w:t>Em segundo lugar, usar uma blockchain para armazenar e gerir precatórios teria grande impacto na eficiência. Quando se fala</w:t>
      </w:r>
      <w:r w:rsidR="00F250E1" w:rsidRPr="00952F0F">
        <w:rPr>
          <w:rFonts w:cs="Times New Roman"/>
          <w:color w:val="000000" w:themeColor="text1"/>
        </w:rPr>
        <w:t xml:space="preserve"> em processo digital, o que vemos, como regra, é a pura </w:t>
      </w:r>
      <w:r>
        <w:rPr>
          <w:rFonts w:cs="Times New Roman"/>
          <w:color w:val="000000" w:themeColor="text1"/>
        </w:rPr>
        <w:t>conversão</w:t>
      </w:r>
      <w:r w:rsidR="00F250E1" w:rsidRPr="00952F0F">
        <w:rPr>
          <w:rFonts w:cs="Times New Roman"/>
          <w:color w:val="000000" w:themeColor="text1"/>
        </w:rPr>
        <w:t xml:space="preserve"> do processo físico em um espelho digital</w:t>
      </w:r>
      <w:r>
        <w:rPr>
          <w:rFonts w:cs="Times New Roman"/>
          <w:color w:val="000000" w:themeColor="text1"/>
        </w:rPr>
        <w:t>izado</w:t>
      </w:r>
      <w:r w:rsidR="00F250E1" w:rsidRPr="00952F0F">
        <w:rPr>
          <w:rFonts w:cs="Times New Roman"/>
          <w:color w:val="000000" w:themeColor="text1"/>
        </w:rPr>
        <w:t>. A estrutura</w:t>
      </w:r>
      <w:r>
        <w:rPr>
          <w:rFonts w:cs="Times New Roman"/>
          <w:color w:val="000000" w:themeColor="text1"/>
        </w:rPr>
        <w:t xml:space="preserve"> de documentos</w:t>
      </w:r>
      <w:r w:rsidR="00F250E1" w:rsidRPr="00952F0F">
        <w:rPr>
          <w:rFonts w:cs="Times New Roman"/>
          <w:color w:val="000000" w:themeColor="text1"/>
        </w:rPr>
        <w:t xml:space="preserve"> continua a mesma, apenas transmudada para </w:t>
      </w:r>
      <w:r>
        <w:rPr>
          <w:rFonts w:cs="Times New Roman"/>
          <w:color w:val="000000" w:themeColor="text1"/>
        </w:rPr>
        <w:t>arquivos digitais em sequência</w:t>
      </w:r>
      <w:r w:rsidR="00F250E1" w:rsidRPr="00952F0F">
        <w:rPr>
          <w:rFonts w:cs="Times New Roman"/>
          <w:color w:val="000000" w:themeColor="text1"/>
        </w:rPr>
        <w:t xml:space="preserve">. Até a visualização do processo em fases é </w:t>
      </w:r>
      <w:r w:rsidR="00F841FF" w:rsidRPr="00952F0F">
        <w:rPr>
          <w:rFonts w:cs="Times New Roman"/>
          <w:color w:val="000000" w:themeColor="text1"/>
        </w:rPr>
        <w:t>a</w:t>
      </w:r>
      <w:r w:rsidR="00F250E1" w:rsidRPr="00952F0F">
        <w:rPr>
          <w:rFonts w:cs="Times New Roman"/>
          <w:color w:val="000000" w:themeColor="text1"/>
        </w:rPr>
        <w:t xml:space="preserve"> mesm</w:t>
      </w:r>
      <w:r w:rsidR="00F841FF" w:rsidRPr="00952F0F">
        <w:rPr>
          <w:rFonts w:cs="Times New Roman"/>
          <w:color w:val="000000" w:themeColor="text1"/>
        </w:rPr>
        <w:t>a</w:t>
      </w:r>
      <w:r w:rsidR="00F250E1" w:rsidRPr="00952F0F">
        <w:rPr>
          <w:rFonts w:cs="Times New Roman"/>
          <w:color w:val="000000" w:themeColor="text1"/>
        </w:rPr>
        <w:t>. Pensar os precatórios como</w:t>
      </w:r>
      <w:r>
        <w:rPr>
          <w:rFonts w:cs="Times New Roman"/>
          <w:color w:val="000000" w:themeColor="text1"/>
        </w:rPr>
        <w:t xml:space="preserve"> informações em</w:t>
      </w:r>
      <w:r w:rsidR="00F250E1" w:rsidRPr="00952F0F">
        <w:rPr>
          <w:rFonts w:cs="Times New Roman"/>
          <w:color w:val="000000" w:themeColor="text1"/>
        </w:rPr>
        <w:t xml:space="preserve"> uma blockchain é ir além, pois abre a possibilidade de </w:t>
      </w:r>
      <w:r>
        <w:rPr>
          <w:rFonts w:cs="Times New Roman"/>
          <w:color w:val="000000" w:themeColor="text1"/>
        </w:rPr>
        <w:t>transformar</w:t>
      </w:r>
      <w:r w:rsidR="00F250E1" w:rsidRPr="00952F0F">
        <w:rPr>
          <w:rFonts w:cs="Times New Roman"/>
          <w:color w:val="000000" w:themeColor="text1"/>
        </w:rPr>
        <w:t xml:space="preserve"> a estrutura puramente procedimental de um processo físico/virtual para um compilador de dados, a serem apresentados, disponibilizados, visualizados, alterados e atualizados de modo mais funcional e automático.</w:t>
      </w:r>
      <w:r>
        <w:rPr>
          <w:rFonts w:cs="Times New Roman"/>
          <w:color w:val="000000" w:themeColor="text1"/>
        </w:rPr>
        <w:t xml:space="preserve"> Ao invés de documentos digitalizados, teríamos a informação organizada e processada de uma maneira nativamente digital.</w:t>
      </w:r>
    </w:p>
    <w:p w14:paraId="66866088" w14:textId="27E53C13" w:rsidR="00262DCC" w:rsidRPr="00952F0F" w:rsidRDefault="00853BF0" w:rsidP="00262DCC">
      <w:pPr>
        <w:rPr>
          <w:rFonts w:cs="Times New Roman"/>
          <w:color w:val="000000" w:themeColor="text1"/>
        </w:rPr>
      </w:pPr>
      <w:r w:rsidRPr="00952F0F">
        <w:rPr>
          <w:rFonts w:cs="Times New Roman"/>
          <w:color w:val="000000" w:themeColor="text1"/>
        </w:rPr>
        <w:t xml:space="preserve">Em </w:t>
      </w:r>
      <w:r w:rsidR="00D5569C">
        <w:rPr>
          <w:rFonts w:cs="Times New Roman"/>
          <w:color w:val="000000" w:themeColor="text1"/>
        </w:rPr>
        <w:t>terceiro</w:t>
      </w:r>
      <w:r w:rsidRPr="00952F0F">
        <w:rPr>
          <w:rFonts w:cs="Times New Roman"/>
          <w:color w:val="000000" w:themeColor="text1"/>
        </w:rPr>
        <w:t xml:space="preserve"> lugar, </w:t>
      </w:r>
      <w:r w:rsidR="00D5569C">
        <w:rPr>
          <w:rFonts w:cs="Times New Roman"/>
          <w:color w:val="000000" w:themeColor="text1"/>
        </w:rPr>
        <w:t>usar um</w:t>
      </w:r>
      <w:r w:rsidRPr="00952F0F">
        <w:rPr>
          <w:rFonts w:cs="Times New Roman"/>
          <w:color w:val="000000" w:themeColor="text1"/>
        </w:rPr>
        <w:t>a blockchain permit</w:t>
      </w:r>
      <w:r w:rsidR="00D5569C">
        <w:rPr>
          <w:rFonts w:cs="Times New Roman"/>
          <w:color w:val="000000" w:themeColor="text1"/>
        </w:rPr>
        <w:t>iria</w:t>
      </w:r>
      <w:r w:rsidRPr="00952F0F">
        <w:rPr>
          <w:rFonts w:cs="Times New Roman"/>
          <w:color w:val="000000" w:themeColor="text1"/>
        </w:rPr>
        <w:t xml:space="preserve"> maior controle sobre os precatórios e as requisições de pagamento. Cada transação pode</w:t>
      </w:r>
      <w:r w:rsidR="00D5569C">
        <w:rPr>
          <w:rFonts w:cs="Times New Roman"/>
          <w:color w:val="000000" w:themeColor="text1"/>
        </w:rPr>
        <w:t>ria</w:t>
      </w:r>
      <w:r w:rsidRPr="00952F0F">
        <w:rPr>
          <w:rFonts w:cs="Times New Roman"/>
          <w:color w:val="000000" w:themeColor="text1"/>
        </w:rPr>
        <w:t xml:space="preserve"> ser rastreada</w:t>
      </w:r>
      <w:r w:rsidR="00D5569C">
        <w:rPr>
          <w:rFonts w:cs="Times New Roman"/>
          <w:color w:val="000000" w:themeColor="text1"/>
        </w:rPr>
        <w:t xml:space="preserve"> e auditada em tempo real</w:t>
      </w:r>
      <w:r w:rsidRPr="00952F0F">
        <w:rPr>
          <w:rFonts w:cs="Times New Roman"/>
          <w:color w:val="000000" w:themeColor="text1"/>
        </w:rPr>
        <w:t>, fornecendo uma visão clara e completa do estado de cada precatório. Isso pode ajudar</w:t>
      </w:r>
      <w:r w:rsidR="00D5569C">
        <w:rPr>
          <w:rFonts w:cs="Times New Roman"/>
          <w:color w:val="000000" w:themeColor="text1"/>
        </w:rPr>
        <w:t>ia</w:t>
      </w:r>
      <w:r w:rsidRPr="00952F0F">
        <w:rPr>
          <w:rFonts w:cs="Times New Roman"/>
          <w:color w:val="000000" w:themeColor="text1"/>
        </w:rPr>
        <w:t xml:space="preserve"> a evitar atrasos e erros que podem ocorrer no processo atual.</w:t>
      </w:r>
      <w:r w:rsidR="00D5569C">
        <w:rPr>
          <w:rFonts w:cs="Times New Roman"/>
          <w:color w:val="000000" w:themeColor="text1"/>
        </w:rPr>
        <w:t xml:space="preserve"> Por exemplo, h</w:t>
      </w:r>
      <w:r w:rsidR="00A95D53" w:rsidRPr="00952F0F">
        <w:rPr>
          <w:rFonts w:cs="Times New Roman"/>
          <w:color w:val="000000" w:themeColor="text1"/>
        </w:rPr>
        <w:t>oje em dia a Constituição Federal já permite a negociação de precatórios via cessão de crédito, a transmissão do crédito a seus sucessores, a utilização do valor para pagamento de dívidas, dentre outras</w:t>
      </w:r>
      <w:r w:rsidR="00F841FF" w:rsidRPr="00952F0F">
        <w:rPr>
          <w:rFonts w:cs="Times New Roman"/>
          <w:color w:val="000000" w:themeColor="text1"/>
        </w:rPr>
        <w:t xml:space="preserve"> hipóteses</w:t>
      </w:r>
      <w:r w:rsidR="00A95D53" w:rsidRPr="00952F0F">
        <w:rPr>
          <w:rFonts w:cs="Times New Roman"/>
          <w:color w:val="000000" w:themeColor="text1"/>
        </w:rPr>
        <w:t xml:space="preserve"> (vide §§ </w:t>
      </w:r>
      <w:r w:rsidR="00262DCC" w:rsidRPr="00952F0F">
        <w:rPr>
          <w:rFonts w:cs="Times New Roman"/>
          <w:color w:val="000000" w:themeColor="text1"/>
        </w:rPr>
        <w:t>9º, 11 e 13).</w:t>
      </w:r>
      <w:r w:rsidR="00D5569C">
        <w:rPr>
          <w:rFonts w:cs="Times New Roman"/>
          <w:color w:val="000000" w:themeColor="text1"/>
        </w:rPr>
        <w:t xml:space="preserve"> </w:t>
      </w:r>
      <w:r w:rsidR="00262DCC" w:rsidRPr="00952F0F">
        <w:rPr>
          <w:rFonts w:cs="Times New Roman"/>
          <w:color w:val="000000" w:themeColor="text1"/>
        </w:rPr>
        <w:t>Alguém que hoje pretenda adquirir um crédito de precatório de terceiros necessita realizar uma incursão nos autos do respectivo processo (físico ou digital, no ES, o primeiro caso), verificar quando houve a última atualização, se já houve alguma cessão, se o crédito ainda é aquele, etc. Imagine o benefício que uma estrutura de blockchain representaria. Ter acesso real e atual das</w:t>
      </w:r>
      <w:r w:rsidR="00F841FF" w:rsidRPr="00952F0F">
        <w:rPr>
          <w:rFonts w:cs="Times New Roman"/>
          <w:color w:val="000000" w:themeColor="text1"/>
        </w:rPr>
        <w:t xml:space="preserve"> principais e fundamentais</w:t>
      </w:r>
      <w:r w:rsidR="00262DCC" w:rsidRPr="00952F0F">
        <w:rPr>
          <w:rFonts w:cs="Times New Roman"/>
          <w:color w:val="000000" w:themeColor="text1"/>
        </w:rPr>
        <w:t xml:space="preserve"> informações do precatório: o credor do título, a data prevista para pagamento, seu valor, dentre outros.</w:t>
      </w:r>
      <w:r w:rsidR="00755E36" w:rsidRPr="00952F0F">
        <w:rPr>
          <w:rFonts w:cs="Times New Roman"/>
          <w:color w:val="000000" w:themeColor="text1"/>
        </w:rPr>
        <w:t xml:space="preserve"> </w:t>
      </w:r>
    </w:p>
    <w:p w14:paraId="3A608443" w14:textId="663EFA75" w:rsidR="00853BF0" w:rsidRPr="00952F0F" w:rsidRDefault="00D5569C" w:rsidP="00853BF0">
      <w:pPr>
        <w:rPr>
          <w:rFonts w:cs="Times New Roman"/>
          <w:color w:val="000000" w:themeColor="text1"/>
        </w:rPr>
      </w:pPr>
      <w:r>
        <w:rPr>
          <w:rFonts w:cs="Times New Roman"/>
          <w:color w:val="000000" w:themeColor="text1"/>
        </w:rPr>
        <w:t xml:space="preserve">Finalmente, </w:t>
      </w:r>
      <w:r w:rsidR="004B4236">
        <w:rPr>
          <w:rFonts w:cs="Times New Roman"/>
          <w:color w:val="000000" w:themeColor="text1"/>
        </w:rPr>
        <w:t xml:space="preserve">a possibilidade de programabilidade de recebimentos com o </w:t>
      </w:r>
      <w:r w:rsidR="00853BF0" w:rsidRPr="00952F0F">
        <w:rPr>
          <w:rFonts w:cs="Times New Roman"/>
          <w:color w:val="000000" w:themeColor="text1"/>
        </w:rPr>
        <w:t>uso de smart contracts</w:t>
      </w:r>
      <w:r w:rsidR="004B4236">
        <w:rPr>
          <w:rFonts w:cs="Times New Roman"/>
          <w:color w:val="000000" w:themeColor="text1"/>
        </w:rPr>
        <w:t xml:space="preserve"> e de</w:t>
      </w:r>
      <w:r w:rsidR="00853BF0" w:rsidRPr="00952F0F">
        <w:rPr>
          <w:rFonts w:cs="Times New Roman"/>
          <w:color w:val="000000" w:themeColor="text1"/>
        </w:rPr>
        <w:t xml:space="preserve"> oráculos</w:t>
      </w:r>
      <w:r w:rsidR="004B4236">
        <w:rPr>
          <w:rFonts w:cs="Times New Roman"/>
          <w:color w:val="000000" w:themeColor="text1"/>
        </w:rPr>
        <w:t xml:space="preserve"> abre as portas para formas jurídicas absolutamente novas, com casos de usos ainda inexplorados. </w:t>
      </w:r>
      <w:r w:rsidR="00853BF0" w:rsidRPr="00952F0F">
        <w:rPr>
          <w:rFonts w:cs="Times New Roman"/>
          <w:color w:val="000000" w:themeColor="text1"/>
        </w:rPr>
        <w:t xml:space="preserve">Smart contracts são </w:t>
      </w:r>
      <w:r w:rsidR="004B4236">
        <w:rPr>
          <w:rFonts w:cs="Times New Roman"/>
          <w:color w:val="000000" w:themeColor="text1"/>
        </w:rPr>
        <w:t>os programas que rodam em uma blockchain, e seu uso permite automatizar diversas funções que hoje são executadas manualmente. O</w:t>
      </w:r>
      <w:r w:rsidR="00853BF0" w:rsidRPr="00952F0F">
        <w:rPr>
          <w:rFonts w:cs="Times New Roman"/>
          <w:color w:val="000000" w:themeColor="text1"/>
        </w:rPr>
        <w:t>ráculos</w:t>
      </w:r>
      <w:r w:rsidR="004B4236">
        <w:rPr>
          <w:rFonts w:cs="Times New Roman"/>
          <w:color w:val="000000" w:themeColor="text1"/>
        </w:rPr>
        <w:t>, por sua vez,</w:t>
      </w:r>
      <w:r w:rsidR="00853BF0" w:rsidRPr="00952F0F">
        <w:rPr>
          <w:rFonts w:cs="Times New Roman"/>
          <w:color w:val="000000" w:themeColor="text1"/>
        </w:rPr>
        <w:t xml:space="preserve"> são mecanismos que fornecem dados do mundo real para </w:t>
      </w:r>
      <w:r w:rsidR="004B4236">
        <w:rPr>
          <w:rFonts w:cs="Times New Roman"/>
          <w:color w:val="000000" w:themeColor="text1"/>
        </w:rPr>
        <w:t>smart contracts</w:t>
      </w:r>
      <w:r w:rsidR="00853BF0" w:rsidRPr="00952F0F">
        <w:rPr>
          <w:rFonts w:cs="Times New Roman"/>
          <w:color w:val="000000" w:themeColor="text1"/>
        </w:rPr>
        <w:t xml:space="preserve">. </w:t>
      </w:r>
      <w:r w:rsidR="004B4236">
        <w:rPr>
          <w:rFonts w:cs="Times New Roman"/>
          <w:color w:val="000000" w:themeColor="text1"/>
        </w:rPr>
        <w:t>A combinação entre ambos permite, por exemplo, a negociação em blockchains públicas de tokens atrelados ao valor de ativos negociados em bolsa de valores (chamados de ativos sintéticos), mesmo que os dados de negociação da bolsa não estejam originalmente disponíveis na blockchain. Essa combinação poderia, no caso de precatórios, ser utilizada para, por meio de oráculos, ter acesso em tempo real aos índices de juros e correção (por exemplo, às tabelas de aplicação da Selic mês-a-mês), o que</w:t>
      </w:r>
      <w:r w:rsidR="00853BF0" w:rsidRPr="00952F0F">
        <w:rPr>
          <w:rFonts w:cs="Times New Roman"/>
          <w:color w:val="000000" w:themeColor="text1"/>
        </w:rPr>
        <w:t xml:space="preserve"> pode</w:t>
      </w:r>
      <w:r w:rsidR="004B4236">
        <w:rPr>
          <w:rFonts w:cs="Times New Roman"/>
          <w:color w:val="000000" w:themeColor="text1"/>
        </w:rPr>
        <w:t>ria</w:t>
      </w:r>
      <w:r w:rsidR="00853BF0" w:rsidRPr="00952F0F">
        <w:rPr>
          <w:rFonts w:cs="Times New Roman"/>
          <w:color w:val="000000" w:themeColor="text1"/>
        </w:rPr>
        <w:t xml:space="preserve"> permitir </w:t>
      </w:r>
      <w:r w:rsidR="004B4236">
        <w:rPr>
          <w:rFonts w:cs="Times New Roman"/>
          <w:color w:val="000000" w:themeColor="text1"/>
        </w:rPr>
        <w:t xml:space="preserve">a smart contracts realizar </w:t>
      </w:r>
      <w:r w:rsidR="00853BF0" w:rsidRPr="00952F0F">
        <w:rPr>
          <w:rFonts w:cs="Times New Roman"/>
          <w:color w:val="000000" w:themeColor="text1"/>
        </w:rPr>
        <w:t xml:space="preserve">a </w:t>
      </w:r>
      <w:r w:rsidR="00853BF0" w:rsidRPr="00952F0F">
        <w:rPr>
          <w:rFonts w:cs="Times New Roman"/>
          <w:color w:val="000000" w:themeColor="text1"/>
        </w:rPr>
        <w:lastRenderedPageBreak/>
        <w:t>atualização em tempo real da dívida pública. Ao invés de precisar fazer cálculos manuais e revisões constantes, a atualização monetária e a aplicação de juros pode</w:t>
      </w:r>
      <w:r w:rsidR="004B4236">
        <w:rPr>
          <w:rFonts w:cs="Times New Roman"/>
          <w:color w:val="000000" w:themeColor="text1"/>
        </w:rPr>
        <w:t>ria</w:t>
      </w:r>
      <w:r w:rsidR="00853BF0" w:rsidRPr="00952F0F">
        <w:rPr>
          <w:rFonts w:cs="Times New Roman"/>
          <w:color w:val="000000" w:themeColor="text1"/>
        </w:rPr>
        <w:t>m ser feitas automaticamente. Isso elimina</w:t>
      </w:r>
      <w:r w:rsidR="004B4236">
        <w:rPr>
          <w:rFonts w:cs="Times New Roman"/>
          <w:color w:val="000000" w:themeColor="text1"/>
        </w:rPr>
        <w:t>ria</w:t>
      </w:r>
      <w:r w:rsidR="00853BF0" w:rsidRPr="00952F0F">
        <w:rPr>
          <w:rFonts w:cs="Times New Roman"/>
          <w:color w:val="000000" w:themeColor="text1"/>
        </w:rPr>
        <w:t xml:space="preserve"> a necessidade de procedimentos de revisão de cálculos, economiza</w:t>
      </w:r>
      <w:r w:rsidR="004B4236">
        <w:rPr>
          <w:rFonts w:cs="Times New Roman"/>
          <w:color w:val="000000" w:themeColor="text1"/>
        </w:rPr>
        <w:t>ria</w:t>
      </w:r>
      <w:r w:rsidR="00853BF0" w:rsidRPr="00952F0F">
        <w:rPr>
          <w:rFonts w:cs="Times New Roman"/>
          <w:color w:val="000000" w:themeColor="text1"/>
        </w:rPr>
        <w:t xml:space="preserve"> tempo e recursos e aumenta</w:t>
      </w:r>
      <w:r w:rsidR="004B4236">
        <w:rPr>
          <w:rFonts w:cs="Times New Roman"/>
          <w:color w:val="000000" w:themeColor="text1"/>
        </w:rPr>
        <w:t>ria</w:t>
      </w:r>
      <w:r w:rsidR="00853BF0" w:rsidRPr="00952F0F">
        <w:rPr>
          <w:rFonts w:cs="Times New Roman"/>
          <w:color w:val="000000" w:themeColor="text1"/>
        </w:rPr>
        <w:t xml:space="preserve"> a precisão dos cálculos.</w:t>
      </w:r>
    </w:p>
    <w:p w14:paraId="40F32D21" w14:textId="577B647A" w:rsidR="00755E36" w:rsidRPr="00952F0F" w:rsidRDefault="004B4236" w:rsidP="00853BF0">
      <w:pPr>
        <w:rPr>
          <w:rFonts w:cs="Times New Roman"/>
          <w:color w:val="000000" w:themeColor="text1"/>
        </w:rPr>
      </w:pPr>
      <w:r>
        <w:rPr>
          <w:rFonts w:cs="Times New Roman"/>
          <w:color w:val="000000" w:themeColor="text1"/>
        </w:rPr>
        <w:t>Todas essas características combinadas dariam ao</w:t>
      </w:r>
      <w:r w:rsidR="00755E36" w:rsidRPr="00952F0F">
        <w:rPr>
          <w:rFonts w:cs="Times New Roman"/>
          <w:color w:val="000000" w:themeColor="text1"/>
        </w:rPr>
        <w:t xml:space="preserve"> Poder Público acesso imediato ao montante atual da sua dívida em precatório, sem precisar calcular um a um cada um dos créditos. Os ganhos em planejamento </w:t>
      </w:r>
      <w:r>
        <w:rPr>
          <w:rFonts w:cs="Times New Roman"/>
          <w:color w:val="000000" w:themeColor="text1"/>
        </w:rPr>
        <w:t>seriam</w:t>
      </w:r>
      <w:r w:rsidR="00755E36" w:rsidRPr="00952F0F">
        <w:rPr>
          <w:rFonts w:cs="Times New Roman"/>
          <w:color w:val="000000" w:themeColor="text1"/>
        </w:rPr>
        <w:t xml:space="preserve"> imensos. Os credores também seriam beneficiados, assim como eventuais terceiros interessados. </w:t>
      </w:r>
    </w:p>
    <w:p w14:paraId="2E5CA17E" w14:textId="7CE17E70" w:rsidR="00755E36" w:rsidRPr="00952F0F" w:rsidRDefault="00C20C71" w:rsidP="00EC0A53">
      <w:pPr>
        <w:rPr>
          <w:rFonts w:cs="Times New Roman"/>
          <w:color w:val="000000" w:themeColor="text1"/>
        </w:rPr>
      </w:pPr>
      <w:r w:rsidRPr="00952F0F">
        <w:rPr>
          <w:rFonts w:cs="Times New Roman"/>
          <w:color w:val="000000" w:themeColor="text1"/>
        </w:rPr>
        <w:t xml:space="preserve">A automatização da atualização dos créditos </w:t>
      </w:r>
      <w:r w:rsidR="004B4236">
        <w:rPr>
          <w:rFonts w:cs="Times New Roman"/>
          <w:color w:val="000000" w:themeColor="text1"/>
        </w:rPr>
        <w:t>traria</w:t>
      </w:r>
      <w:r w:rsidRPr="00952F0F">
        <w:rPr>
          <w:rFonts w:cs="Times New Roman"/>
          <w:color w:val="000000" w:themeColor="text1"/>
        </w:rPr>
        <w:t xml:space="preserve"> simplificação e segurança. Os critérios </w:t>
      </w:r>
      <w:r w:rsidR="00F841FF" w:rsidRPr="00952F0F">
        <w:rPr>
          <w:rFonts w:cs="Times New Roman"/>
          <w:color w:val="000000" w:themeColor="text1"/>
        </w:rPr>
        <w:t>deveriam estar</w:t>
      </w:r>
      <w:r w:rsidRPr="00952F0F">
        <w:rPr>
          <w:rFonts w:cs="Times New Roman"/>
          <w:color w:val="000000" w:themeColor="text1"/>
        </w:rPr>
        <w:t xml:space="preserve"> previamente definidos e indicados para acesso a todas as partes. Os valores uma vez lançados seriam revisados pelo próprio sistema</w:t>
      </w:r>
      <w:r w:rsidR="004B4236">
        <w:rPr>
          <w:rFonts w:cs="Times New Roman"/>
          <w:color w:val="000000" w:themeColor="text1"/>
        </w:rPr>
        <w:t xml:space="preserve"> (por exemplo, smart contracts no DREX)</w:t>
      </w:r>
      <w:r w:rsidRPr="00952F0F">
        <w:rPr>
          <w:rFonts w:cs="Times New Roman"/>
          <w:color w:val="000000" w:themeColor="text1"/>
        </w:rPr>
        <w:t>, poupando enviar o processo para recalculo no setor contábil, com o risco de alteração dos critérios de cálculo.</w:t>
      </w:r>
      <w:r w:rsidR="00EC0A53" w:rsidRPr="00952F0F">
        <w:rPr>
          <w:rFonts w:cs="Times New Roman"/>
          <w:color w:val="000000" w:themeColor="text1"/>
        </w:rPr>
        <w:t xml:space="preserve"> As hipóteses de incidências de juros, os índices desses e de atualização </w:t>
      </w:r>
      <w:r w:rsidR="004B4236">
        <w:rPr>
          <w:rFonts w:cs="Times New Roman"/>
          <w:color w:val="000000" w:themeColor="text1"/>
        </w:rPr>
        <w:t xml:space="preserve">seriam informações digitais que </w:t>
      </w:r>
      <w:r w:rsidR="00EC0A53" w:rsidRPr="00952F0F">
        <w:rPr>
          <w:rFonts w:cs="Times New Roman"/>
          <w:color w:val="000000" w:themeColor="text1"/>
        </w:rPr>
        <w:t>já constariam no instrumento</w:t>
      </w:r>
      <w:r w:rsidR="004B4236">
        <w:rPr>
          <w:rFonts w:cs="Times New Roman"/>
          <w:color w:val="000000" w:themeColor="text1"/>
        </w:rPr>
        <w:t xml:space="preserve"> em si da dívida. Cada precatório poderia ser implementado por meio de um NFT em que os atributos necessários ao cumprimento da dívida </w:t>
      </w:r>
      <w:r w:rsidR="00A41FC8">
        <w:rPr>
          <w:rFonts w:cs="Times New Roman"/>
          <w:color w:val="000000" w:themeColor="text1"/>
        </w:rPr>
        <w:t>seriam atualizados em tempo real, e auditáveis de forma automática. Precatórios em NFTs</w:t>
      </w:r>
      <w:r w:rsidR="00EC0A53" w:rsidRPr="00952F0F">
        <w:rPr>
          <w:rFonts w:cs="Times New Roman"/>
          <w:color w:val="000000" w:themeColor="text1"/>
        </w:rPr>
        <w:t xml:space="preserve"> </w:t>
      </w:r>
      <w:r w:rsidR="00A41FC8">
        <w:rPr>
          <w:rFonts w:cs="Times New Roman"/>
          <w:color w:val="000000" w:themeColor="text1"/>
        </w:rPr>
        <w:t>estariam à</w:t>
      </w:r>
      <w:r w:rsidR="00EC0A53" w:rsidRPr="00952F0F">
        <w:rPr>
          <w:rFonts w:cs="Times New Roman"/>
          <w:color w:val="000000" w:themeColor="text1"/>
        </w:rPr>
        <w:t xml:space="preserve"> disposição de partes e terceiros interessados</w:t>
      </w:r>
      <w:r w:rsidR="00A41FC8">
        <w:rPr>
          <w:rFonts w:cs="Times New Roman"/>
          <w:color w:val="000000" w:themeColor="text1"/>
        </w:rPr>
        <w:t xml:space="preserve"> e poderiam ser facilmente transacionados, o que aumentaria o benefício aos cidadãos, sem que isso impactasse a capacidade de planejamento e execução orçamentária do Estado</w:t>
      </w:r>
      <w:r w:rsidR="00EC0A53" w:rsidRPr="00952F0F">
        <w:rPr>
          <w:rFonts w:cs="Times New Roman"/>
          <w:color w:val="000000" w:themeColor="text1"/>
        </w:rPr>
        <w:t xml:space="preserve">. </w:t>
      </w:r>
      <w:r w:rsidR="00A41FC8">
        <w:rPr>
          <w:rFonts w:cs="Times New Roman"/>
          <w:color w:val="000000" w:themeColor="text1"/>
        </w:rPr>
        <w:t>Para tanto, as</w:t>
      </w:r>
      <w:r w:rsidR="00266007" w:rsidRPr="00952F0F">
        <w:rPr>
          <w:rFonts w:cs="Times New Roman"/>
          <w:color w:val="000000" w:themeColor="text1"/>
        </w:rPr>
        <w:t xml:space="preserve"> fontes que alimentariam os oráculos </w:t>
      </w:r>
      <w:r w:rsidR="00A41FC8">
        <w:rPr>
          <w:rFonts w:cs="Times New Roman"/>
          <w:color w:val="000000" w:themeColor="text1"/>
        </w:rPr>
        <w:t>poderiam já serem</w:t>
      </w:r>
      <w:r w:rsidR="00266007" w:rsidRPr="00952F0F">
        <w:rPr>
          <w:rFonts w:cs="Times New Roman"/>
          <w:color w:val="000000" w:themeColor="text1"/>
        </w:rPr>
        <w:t xml:space="preserve"> pré-definida</w:t>
      </w:r>
      <w:r w:rsidR="00A41FC8">
        <w:rPr>
          <w:rFonts w:cs="Times New Roman"/>
          <w:color w:val="000000" w:themeColor="text1"/>
        </w:rPr>
        <w:t xml:space="preserve">s </w:t>
      </w:r>
      <w:r w:rsidR="00266007" w:rsidRPr="00952F0F">
        <w:rPr>
          <w:rFonts w:cs="Times New Roman"/>
          <w:color w:val="000000" w:themeColor="text1"/>
        </w:rPr>
        <w:t>por ato normativo do tribunal ou do CNJ</w:t>
      </w:r>
      <w:r w:rsidR="00A41FC8">
        <w:rPr>
          <w:rFonts w:cs="Times New Roman"/>
          <w:color w:val="000000" w:themeColor="text1"/>
        </w:rPr>
        <w:t>, e as hipóteses de cessão de crédito poderiam ser já algoritimicamente inseridas nos smart contracts que gerenciassem as NFTs de precatório.</w:t>
      </w:r>
    </w:p>
    <w:p w14:paraId="6C192723" w14:textId="04054D93" w:rsidR="00853BF0" w:rsidRPr="00952F0F" w:rsidRDefault="00A41FC8" w:rsidP="00853BF0">
      <w:pPr>
        <w:rPr>
          <w:rFonts w:cs="Times New Roman"/>
          <w:color w:val="000000" w:themeColor="text1"/>
        </w:rPr>
      </w:pPr>
      <w:r>
        <w:rPr>
          <w:rFonts w:cs="Times New Roman"/>
          <w:color w:val="000000" w:themeColor="text1"/>
        </w:rPr>
        <w:t>Outra possibilidade com</w:t>
      </w:r>
      <w:r w:rsidR="00853BF0" w:rsidRPr="00952F0F">
        <w:rPr>
          <w:rFonts w:cs="Times New Roman"/>
          <w:color w:val="000000" w:themeColor="text1"/>
        </w:rPr>
        <w:t xml:space="preserve"> a tokenização da dívida</w:t>
      </w:r>
      <w:r>
        <w:rPr>
          <w:rFonts w:cs="Times New Roman"/>
          <w:color w:val="000000" w:themeColor="text1"/>
        </w:rPr>
        <w:t xml:space="preserve"> pública judiciária seria a criação de</w:t>
      </w:r>
      <w:r w:rsidR="00853BF0" w:rsidRPr="00952F0F">
        <w:rPr>
          <w:rFonts w:cs="Times New Roman"/>
          <w:color w:val="000000" w:themeColor="text1"/>
        </w:rPr>
        <w:t xml:space="preserve"> um mercado secundário público de títulos lastreados em precatórios.</w:t>
      </w:r>
      <w:r>
        <w:rPr>
          <w:rFonts w:cs="Times New Roman"/>
          <w:color w:val="000000" w:themeColor="text1"/>
        </w:rPr>
        <w:t xml:space="preserve"> Uma vez que os atributos de precatórios estejam em uma blockchain, essa informação poderia servir de lastro para títulos fungíveis de negociação ampla. Ao invés de titulares de precatórios terem de esperar o período de graça, ou terem que negociar – com elevado desconto – a cessão de seus créditos, títulos derivados da dívida poderiam viabilizar a cessão parcial ou total do crédito por meio de acesso a mecanismos mais sofisticados de negociação a mercado ou em balcões.</w:t>
      </w:r>
      <w:r w:rsidR="00853BF0" w:rsidRPr="00952F0F">
        <w:rPr>
          <w:rFonts w:cs="Times New Roman"/>
          <w:color w:val="000000" w:themeColor="text1"/>
        </w:rPr>
        <w:t xml:space="preserve"> Essa tokenização </w:t>
      </w:r>
      <w:r>
        <w:rPr>
          <w:rFonts w:cs="Times New Roman"/>
          <w:color w:val="000000" w:themeColor="text1"/>
        </w:rPr>
        <w:t>permitiria assim</w:t>
      </w:r>
      <w:r w:rsidR="00853BF0" w:rsidRPr="00952F0F">
        <w:rPr>
          <w:rFonts w:cs="Times New Roman"/>
          <w:color w:val="000000" w:themeColor="text1"/>
        </w:rPr>
        <w:t xml:space="preserve"> que os precatórios </w:t>
      </w:r>
      <w:r>
        <w:rPr>
          <w:rFonts w:cs="Times New Roman"/>
          <w:color w:val="000000" w:themeColor="text1"/>
        </w:rPr>
        <w:t>fossem</w:t>
      </w:r>
      <w:r w:rsidR="00853BF0" w:rsidRPr="00952F0F">
        <w:rPr>
          <w:rFonts w:cs="Times New Roman"/>
          <w:color w:val="000000" w:themeColor="text1"/>
        </w:rPr>
        <w:t xml:space="preserve"> facilmente negociados e transferidos, aumentando a liquidez para os credores. Além disso, </w:t>
      </w:r>
      <w:r>
        <w:rPr>
          <w:rFonts w:cs="Times New Roman"/>
          <w:color w:val="000000" w:themeColor="text1"/>
        </w:rPr>
        <w:t>poderia</w:t>
      </w:r>
      <w:r w:rsidR="00853BF0" w:rsidRPr="00952F0F">
        <w:rPr>
          <w:rFonts w:cs="Times New Roman"/>
          <w:color w:val="000000" w:themeColor="text1"/>
        </w:rPr>
        <w:t xml:space="preserve"> também permitir novos mecanismos de financiamento da dívida pública. Por exemplo, o Estado poderia emitir </w:t>
      </w:r>
      <w:r>
        <w:rPr>
          <w:rFonts w:cs="Times New Roman"/>
          <w:color w:val="000000" w:themeColor="text1"/>
        </w:rPr>
        <w:lastRenderedPageBreak/>
        <w:t xml:space="preserve">precatórios lastreados em </w:t>
      </w:r>
      <w:r w:rsidR="00853BF0" w:rsidRPr="00952F0F">
        <w:rPr>
          <w:rFonts w:cs="Times New Roman"/>
          <w:color w:val="000000" w:themeColor="text1"/>
        </w:rPr>
        <w:t xml:space="preserve">títulos </w:t>
      </w:r>
      <w:r>
        <w:rPr>
          <w:rFonts w:cs="Times New Roman"/>
          <w:color w:val="000000" w:themeColor="text1"/>
        </w:rPr>
        <w:t>tokenizados, em que a arrecadação destes fosse lastro do pagamento daqueles.</w:t>
      </w:r>
    </w:p>
    <w:p w14:paraId="672BCFF0" w14:textId="06E5404E" w:rsidR="00266007" w:rsidRPr="00952F0F" w:rsidRDefault="00A41FC8" w:rsidP="00853BF0">
      <w:pPr>
        <w:rPr>
          <w:rFonts w:cs="Times New Roman"/>
          <w:color w:val="000000" w:themeColor="text1"/>
        </w:rPr>
      </w:pPr>
      <w:r>
        <w:rPr>
          <w:rFonts w:cs="Times New Roman"/>
          <w:color w:val="000000" w:themeColor="text1"/>
        </w:rPr>
        <w:t>Esses casos de uso são extrapolações de mecanismos de negociação já utilizados hoje em dia.</w:t>
      </w:r>
      <w:r w:rsidR="00266007" w:rsidRPr="00952F0F">
        <w:rPr>
          <w:rFonts w:cs="Times New Roman"/>
          <w:color w:val="000000" w:themeColor="text1"/>
        </w:rPr>
        <w:t xml:space="preserve"> </w:t>
      </w:r>
      <w:r>
        <w:rPr>
          <w:rFonts w:cs="Times New Roman"/>
          <w:color w:val="000000" w:themeColor="text1"/>
        </w:rPr>
        <w:t>I</w:t>
      </w:r>
      <w:r w:rsidR="00266007" w:rsidRPr="00952F0F">
        <w:rPr>
          <w:rFonts w:cs="Times New Roman"/>
          <w:color w:val="000000" w:themeColor="text1"/>
        </w:rPr>
        <w:t>nstituições privadas já se utilizam da tokenização de créditos lastreados em precatório e os comercializa</w:t>
      </w:r>
      <w:r>
        <w:rPr>
          <w:rFonts w:cs="Times New Roman"/>
          <w:color w:val="000000" w:themeColor="text1"/>
        </w:rPr>
        <w:t>m</w:t>
      </w:r>
      <w:r w:rsidR="00266007" w:rsidRPr="00952F0F">
        <w:rPr>
          <w:rFonts w:cs="Times New Roman"/>
          <w:color w:val="000000" w:themeColor="text1"/>
        </w:rPr>
        <w:t xml:space="preserve"> como ativos digitais.</w:t>
      </w:r>
      <w:r w:rsidR="00266007" w:rsidRPr="00952F0F">
        <w:rPr>
          <w:rStyle w:val="Refdenotaderodap"/>
          <w:rFonts w:cs="Times New Roman"/>
          <w:color w:val="000000" w:themeColor="text1"/>
        </w:rPr>
        <w:footnoteReference w:id="2"/>
      </w:r>
      <w:r w:rsidR="00266007" w:rsidRPr="00952F0F">
        <w:rPr>
          <w:rFonts w:cs="Times New Roman"/>
          <w:color w:val="000000" w:themeColor="text1"/>
        </w:rPr>
        <w:t xml:space="preserve"> </w:t>
      </w:r>
      <w:r>
        <w:rPr>
          <w:rFonts w:cs="Times New Roman"/>
          <w:color w:val="000000" w:themeColor="text1"/>
        </w:rPr>
        <w:t>Se hoje esse tipo de negociação já gera interesse comercial, haveria ainda benefício maior</w:t>
      </w:r>
      <w:r w:rsidR="00266007" w:rsidRPr="00952F0F">
        <w:rPr>
          <w:rFonts w:cs="Times New Roman"/>
          <w:color w:val="000000" w:themeColor="text1"/>
        </w:rPr>
        <w:t xml:space="preserve"> ao se transformar o próprio precatório em um token digital</w:t>
      </w:r>
      <w:r>
        <w:rPr>
          <w:rFonts w:cs="Times New Roman"/>
          <w:color w:val="000000" w:themeColor="text1"/>
        </w:rPr>
        <w:t xml:space="preserve"> em que todas as suas informações de pagamento e atualização financeira pudessem ser verificadas e audi</w:t>
      </w:r>
      <w:r w:rsidR="007C2E9B">
        <w:rPr>
          <w:rFonts w:cs="Times New Roman"/>
          <w:color w:val="000000" w:themeColor="text1"/>
        </w:rPr>
        <w:t>tadas em tempo real</w:t>
      </w:r>
      <w:r w:rsidR="00266007" w:rsidRPr="00952F0F">
        <w:rPr>
          <w:rFonts w:cs="Times New Roman"/>
          <w:color w:val="000000" w:themeColor="text1"/>
        </w:rPr>
        <w:t>.</w:t>
      </w:r>
      <w:r w:rsidR="00D01638">
        <w:rPr>
          <w:rFonts w:cs="Times New Roman"/>
          <w:color w:val="000000" w:themeColor="text1"/>
        </w:rPr>
        <w:t xml:space="preserve"> O precatório</w:t>
      </w:r>
      <w:r w:rsidR="00266007" w:rsidRPr="00952F0F">
        <w:rPr>
          <w:rFonts w:cs="Times New Roman"/>
          <w:color w:val="000000" w:themeColor="text1"/>
        </w:rPr>
        <w:t xml:space="preserve"> token</w:t>
      </w:r>
      <w:r w:rsidR="00D01638">
        <w:rPr>
          <w:rFonts w:cs="Times New Roman"/>
          <w:color w:val="000000" w:themeColor="text1"/>
        </w:rPr>
        <w:t>izado, implementado no</w:t>
      </w:r>
      <w:r w:rsidR="00266007" w:rsidRPr="00952F0F">
        <w:rPr>
          <w:rFonts w:cs="Times New Roman"/>
          <w:color w:val="000000" w:themeColor="text1"/>
        </w:rPr>
        <w:t xml:space="preserve"> </w:t>
      </w:r>
      <w:r w:rsidR="00D01638">
        <w:rPr>
          <w:rFonts w:cs="Times New Roman"/>
          <w:color w:val="000000" w:themeColor="text1"/>
        </w:rPr>
        <w:t>DREX,</w:t>
      </w:r>
      <w:r w:rsidR="00266007" w:rsidRPr="00952F0F">
        <w:rPr>
          <w:rFonts w:cs="Times New Roman"/>
          <w:color w:val="000000" w:themeColor="text1"/>
        </w:rPr>
        <w:t xml:space="preserve"> poderia</w:t>
      </w:r>
      <w:r w:rsidR="00D01638">
        <w:rPr>
          <w:rFonts w:cs="Times New Roman"/>
          <w:color w:val="000000" w:themeColor="text1"/>
        </w:rPr>
        <w:t xml:space="preserve"> ter seu valor de liquidação apurado em</w:t>
      </w:r>
      <w:r w:rsidR="00266007" w:rsidRPr="00952F0F">
        <w:rPr>
          <w:rFonts w:cs="Times New Roman"/>
          <w:color w:val="000000" w:themeColor="text1"/>
        </w:rPr>
        <w:t xml:space="preserve"> moeda virtual</w:t>
      </w:r>
      <w:r w:rsidR="00D01638">
        <w:rPr>
          <w:rFonts w:cs="Times New Roman"/>
          <w:color w:val="000000" w:themeColor="text1"/>
        </w:rPr>
        <w:t>, em tempo real e atualizado monetariamente. N</w:t>
      </w:r>
      <w:r w:rsidR="00266007" w:rsidRPr="00952F0F">
        <w:rPr>
          <w:rFonts w:cs="Times New Roman"/>
          <w:color w:val="000000" w:themeColor="text1"/>
        </w:rPr>
        <w:t xml:space="preserve">o seu pagamento, </w:t>
      </w:r>
      <w:r w:rsidR="00D01638">
        <w:rPr>
          <w:rFonts w:cs="Times New Roman"/>
          <w:color w:val="000000" w:themeColor="text1"/>
        </w:rPr>
        <w:t xml:space="preserve">esse valor poderia </w:t>
      </w:r>
      <w:r w:rsidR="00266007" w:rsidRPr="00952F0F">
        <w:rPr>
          <w:rFonts w:cs="Times New Roman"/>
          <w:color w:val="000000" w:themeColor="text1"/>
        </w:rPr>
        <w:t>de modo automático</w:t>
      </w:r>
      <w:r w:rsidR="00D01638">
        <w:rPr>
          <w:rFonts w:cs="Times New Roman"/>
          <w:color w:val="000000" w:themeColor="text1"/>
        </w:rPr>
        <w:t xml:space="preserve"> estar vinculado à execução orçamentária, de modo que a quantia a ser paga já poderia estar lastreada na conta do ente público respectivo, com sua execução garantida pelos mesmos smart contracts   que regulassem a execução orçamentária em geral. Nessa hipótese, o atraso ou não-pagamento seria virtualmente impossível, o que tornaria qualquer negociação de precatório mais benéfica para seus titulares, e daria mecanismos novos e mais efetivos de financiamento da dívida judiciária pelos próprios entes públicos. Além disso, haveria melhor alocação de todos os recursos humanos e materiais hoje envolvidos com o complexo e custoso</w:t>
      </w:r>
      <w:r w:rsidR="00266007" w:rsidRPr="00952F0F">
        <w:rPr>
          <w:rFonts w:cs="Times New Roman"/>
          <w:color w:val="000000" w:themeColor="text1"/>
        </w:rPr>
        <w:t xml:space="preserve"> procedimento de pagamento </w:t>
      </w:r>
      <w:r w:rsidR="00D01638">
        <w:rPr>
          <w:rFonts w:cs="Times New Roman"/>
          <w:color w:val="000000" w:themeColor="text1"/>
        </w:rPr>
        <w:t>de precatórios e requisições de pagamento</w:t>
      </w:r>
      <w:r w:rsidR="00266007" w:rsidRPr="00952F0F">
        <w:rPr>
          <w:rFonts w:cs="Times New Roman"/>
          <w:color w:val="000000" w:themeColor="text1"/>
        </w:rPr>
        <w:t>.</w:t>
      </w:r>
    </w:p>
    <w:p w14:paraId="5E049548" w14:textId="0426F362" w:rsidR="00853BF0" w:rsidRPr="00952F0F" w:rsidRDefault="00853BF0" w:rsidP="00853BF0">
      <w:pPr>
        <w:rPr>
          <w:rFonts w:cs="Times New Roman"/>
          <w:color w:val="000000" w:themeColor="text1"/>
        </w:rPr>
      </w:pPr>
      <w:r w:rsidRPr="00952F0F">
        <w:rPr>
          <w:rFonts w:cs="Times New Roman"/>
          <w:color w:val="000000" w:themeColor="text1"/>
        </w:rPr>
        <w:t>Em resumo, a implementação</w:t>
      </w:r>
      <w:r w:rsidR="00D01638">
        <w:rPr>
          <w:rFonts w:cs="Times New Roman"/>
          <w:color w:val="000000" w:themeColor="text1"/>
        </w:rPr>
        <w:t xml:space="preserve"> do pagamento da dívida pública judiciária no DREX</w:t>
      </w:r>
      <w:r w:rsidRPr="00952F0F">
        <w:rPr>
          <w:rFonts w:cs="Times New Roman"/>
          <w:color w:val="000000" w:themeColor="text1"/>
        </w:rPr>
        <w:t xml:space="preserve"> pode trazer benefícios significativos para o Estado e os credores de dívidas contra a Fazenda Pública oriundas de condenações judiciais. Aumenta a transparência, o controle e a eficiência do processo de pagamento de precatórios e requisições de pagamento, ao mesmo tempo em que abre novas possibilidades para a gestão da dívida pública.</w:t>
      </w:r>
    </w:p>
    <w:p w14:paraId="68497422" w14:textId="6A7D8C33" w:rsidR="0079310C" w:rsidRPr="00952F0F" w:rsidRDefault="00F841FF" w:rsidP="00853BF0">
      <w:pPr>
        <w:rPr>
          <w:rFonts w:cs="Times New Roman"/>
          <w:color w:val="000000" w:themeColor="text1"/>
        </w:rPr>
      </w:pPr>
      <w:r w:rsidRPr="00952F0F">
        <w:rPr>
          <w:rFonts w:cs="Times New Roman"/>
          <w:color w:val="000000" w:themeColor="text1"/>
        </w:rPr>
        <w:t xml:space="preserve">Não </w:t>
      </w:r>
      <w:r w:rsidR="00D01638">
        <w:rPr>
          <w:rFonts w:cs="Times New Roman"/>
          <w:color w:val="000000" w:themeColor="text1"/>
        </w:rPr>
        <w:t>é escopo deste trabalho investigar quais</w:t>
      </w:r>
      <w:r w:rsidRPr="00952F0F">
        <w:rPr>
          <w:rFonts w:cs="Times New Roman"/>
          <w:color w:val="000000" w:themeColor="text1"/>
        </w:rPr>
        <w:t xml:space="preserve"> instrumentos normativos que seriam necessários para a tokenização dos precatórios</w:t>
      </w:r>
      <w:r w:rsidR="00D01638">
        <w:rPr>
          <w:rFonts w:cs="Times New Roman"/>
          <w:color w:val="000000" w:themeColor="text1"/>
        </w:rPr>
        <w:t>. Neste momento, o o</w:t>
      </w:r>
      <w:r w:rsidRPr="00952F0F">
        <w:rPr>
          <w:rFonts w:cs="Times New Roman"/>
          <w:color w:val="000000" w:themeColor="text1"/>
        </w:rPr>
        <w:t>bjetivo é apenas</w:t>
      </w:r>
      <w:r w:rsidR="00D01638">
        <w:rPr>
          <w:rFonts w:cs="Times New Roman"/>
          <w:color w:val="000000" w:themeColor="text1"/>
        </w:rPr>
        <w:t xml:space="preserve"> l</w:t>
      </w:r>
      <w:r w:rsidRPr="00952F0F">
        <w:rPr>
          <w:rFonts w:cs="Times New Roman"/>
          <w:color w:val="000000" w:themeColor="text1"/>
        </w:rPr>
        <w:t xml:space="preserve">ançar luz e defender os benefícios que esta adoção pode trazer para todo o sistema de pagamentos judiciais realizados pelo Poder Público. </w:t>
      </w:r>
      <w:r w:rsidR="00D01638">
        <w:rPr>
          <w:rFonts w:cs="Times New Roman"/>
          <w:color w:val="000000" w:themeColor="text1"/>
        </w:rPr>
        <w:t>Não obstante, e sem pretender formar</w:t>
      </w:r>
      <w:r w:rsidRPr="00952F0F">
        <w:rPr>
          <w:rFonts w:cs="Times New Roman"/>
          <w:color w:val="000000" w:themeColor="text1"/>
        </w:rPr>
        <w:t xml:space="preserve">  posição final quanto ao tema, nos parece que o uso de blockchain </w:t>
      </w:r>
      <w:r w:rsidR="000B007B" w:rsidRPr="00952F0F">
        <w:rPr>
          <w:rFonts w:cs="Times New Roman"/>
          <w:color w:val="000000" w:themeColor="text1"/>
        </w:rPr>
        <w:t xml:space="preserve">estaria autorizado pelo reconhecimento da </w:t>
      </w:r>
      <w:r w:rsidR="000B007B" w:rsidRPr="00952F0F">
        <w:rPr>
          <w:rFonts w:cs="Times New Roman"/>
          <w:color w:val="000000" w:themeColor="text1"/>
        </w:rPr>
        <w:lastRenderedPageBreak/>
        <w:t>via do processo digital e dos mecanismos de informatização já autorizados pela legislação federal</w:t>
      </w:r>
      <w:r w:rsidR="0079310C" w:rsidRPr="00952F0F">
        <w:rPr>
          <w:rFonts w:cs="Times New Roman"/>
          <w:color w:val="000000" w:themeColor="text1"/>
        </w:rPr>
        <w:t xml:space="preserve">. </w:t>
      </w:r>
    </w:p>
    <w:p w14:paraId="1FA844A6" w14:textId="64F93A9B" w:rsidR="0079310C" w:rsidRPr="00952F0F" w:rsidRDefault="0079310C" w:rsidP="00853BF0">
      <w:pPr>
        <w:rPr>
          <w:rFonts w:cs="Times New Roman"/>
          <w:color w:val="000000" w:themeColor="text1"/>
        </w:rPr>
      </w:pPr>
      <w:r w:rsidRPr="00952F0F">
        <w:rPr>
          <w:rFonts w:cs="Times New Roman"/>
          <w:color w:val="000000" w:themeColor="text1"/>
        </w:rPr>
        <w:t>A lei 11.417/2006, no seu artigo 1º assegura o uso de meio eletrônico para tramitação de processos judiciais. Ainda que o precatório seja um processo administrativo, vemos que a norma pode ser interpretada em sentido mais amplo, para admitir o precatório virtual.</w:t>
      </w:r>
    </w:p>
    <w:p w14:paraId="33B79081" w14:textId="126A7F89" w:rsidR="00F841FF" w:rsidRPr="00952F0F" w:rsidRDefault="0079310C" w:rsidP="00D01638">
      <w:pPr>
        <w:pStyle w:val="Citao"/>
      </w:pPr>
      <w:r w:rsidRPr="00952F0F">
        <w:t>Art. 1º O uso de meio eletrônico na tramitação de processos judiciais, comunicação de atos e transmissão de peças processuais será admitido nos termos desta Lei.</w:t>
      </w:r>
      <w:r w:rsidR="000B007B" w:rsidRPr="00952F0F">
        <w:t xml:space="preserve"> </w:t>
      </w:r>
    </w:p>
    <w:p w14:paraId="3E8D52E4" w14:textId="45166371" w:rsidR="0079310C" w:rsidRPr="00952F0F" w:rsidRDefault="0079310C" w:rsidP="0079310C">
      <w:pPr>
        <w:rPr>
          <w:rFonts w:eastAsia="Times New Roman" w:cs="Times New Roman"/>
          <w:color w:val="000000" w:themeColor="text1"/>
          <w:lang w:eastAsia="pt-BR" w:bidi="ar-SA"/>
        </w:rPr>
      </w:pPr>
      <w:r w:rsidRPr="00952F0F">
        <w:rPr>
          <w:rFonts w:cs="Times New Roman"/>
          <w:color w:val="000000" w:themeColor="text1"/>
        </w:rPr>
        <w:t>Essa mesma lei diz no §2º do artigo primeiro que meio eletrônico é “</w:t>
      </w:r>
      <w:bookmarkStart w:id="0" w:name="art1§2i"/>
      <w:bookmarkEnd w:id="0"/>
      <w:r w:rsidRPr="00952F0F">
        <w:rPr>
          <w:rFonts w:eastAsia="Times New Roman" w:cs="Times New Roman"/>
          <w:color w:val="000000" w:themeColor="text1"/>
          <w:lang w:eastAsia="pt-BR" w:bidi="ar-SA"/>
        </w:rPr>
        <w:t xml:space="preserve">qualquer forma de armazenamento ou tráfego de documentos e arquivos digitais;” Portanto, a blockchain encontra-se dentro do conceito de meio eletrônico de armazenamento e tráfego de dados. </w:t>
      </w:r>
    </w:p>
    <w:p w14:paraId="32C21BA2" w14:textId="77777777" w:rsidR="00603907" w:rsidRDefault="009F229D" w:rsidP="0079310C">
      <w:pPr>
        <w:rPr>
          <w:rFonts w:eastAsia="Times New Roman" w:cs="Times New Roman"/>
          <w:color w:val="000000" w:themeColor="text1"/>
          <w:lang w:eastAsia="pt-BR" w:bidi="ar-SA"/>
        </w:rPr>
      </w:pPr>
      <w:r w:rsidRPr="00952F0F">
        <w:rPr>
          <w:rFonts w:eastAsia="Times New Roman" w:cs="Times New Roman"/>
          <w:color w:val="000000" w:themeColor="text1"/>
          <w:lang w:eastAsia="pt-BR" w:bidi="ar-SA"/>
        </w:rPr>
        <w:t xml:space="preserve">O Código de Processo Civil atual dispõe também sobre a prática de atos processuais por meio eletrônico em seus artigos 193 e seguintes. </w:t>
      </w:r>
      <w:r w:rsidR="00F475CE" w:rsidRPr="00952F0F">
        <w:rPr>
          <w:rFonts w:eastAsia="Times New Roman" w:cs="Times New Roman"/>
          <w:color w:val="000000" w:themeColor="text1"/>
          <w:lang w:eastAsia="pt-BR" w:bidi="ar-SA"/>
        </w:rPr>
        <w:t xml:space="preserve">Diz </w:t>
      </w:r>
      <w:r w:rsidR="00603907">
        <w:rPr>
          <w:rFonts w:eastAsia="Times New Roman" w:cs="Times New Roman"/>
          <w:color w:val="000000" w:themeColor="text1"/>
          <w:lang w:eastAsia="pt-BR" w:bidi="ar-SA"/>
        </w:rPr>
        <w:t>o</w:t>
      </w:r>
      <w:r w:rsidR="00F475CE" w:rsidRPr="00952F0F">
        <w:rPr>
          <w:rFonts w:eastAsia="Times New Roman" w:cs="Times New Roman"/>
          <w:color w:val="000000" w:themeColor="text1"/>
          <w:lang w:eastAsia="pt-BR" w:bidi="ar-SA"/>
        </w:rPr>
        <w:t xml:space="preserve"> artigo 196</w:t>
      </w:r>
      <w:r w:rsidR="00603907">
        <w:rPr>
          <w:rFonts w:eastAsia="Times New Roman" w:cs="Times New Roman"/>
          <w:color w:val="000000" w:themeColor="text1"/>
          <w:lang w:eastAsia="pt-BR" w:bidi="ar-SA"/>
        </w:rPr>
        <w:t>:</w:t>
      </w:r>
    </w:p>
    <w:p w14:paraId="47683D8D" w14:textId="5DA282E6" w:rsidR="00F475CE" w:rsidRPr="00952F0F" w:rsidRDefault="00603907" w:rsidP="00603907">
      <w:pPr>
        <w:pStyle w:val="Citao"/>
        <w:rPr>
          <w:rFonts w:eastAsia="Times New Roman"/>
          <w:lang w:eastAsia="pt-BR" w:bidi="ar-SA"/>
        </w:rPr>
      </w:pPr>
      <w:r>
        <w:rPr>
          <w:rFonts w:eastAsia="Times New Roman"/>
          <w:lang w:eastAsia="pt-BR" w:bidi="ar-SA"/>
        </w:rPr>
        <w:t xml:space="preserve">Art. 196. </w:t>
      </w:r>
      <w:r w:rsidR="00F475CE" w:rsidRPr="00952F0F">
        <w:t>Compete ao Conselho Nacional de Justiça e, supletivamente, aos tribunais, regulamentar a prática e a comunicação oficial de atos processuais por meio eletrônico e velar pela compatibilidade dos sistemas, disciplinando a incorporação progressiva de novos avanços tecnológicos e editando, para esse fim, os atos que forem necessários, respeitadas as normas fundamentais deste Código.</w:t>
      </w:r>
    </w:p>
    <w:p w14:paraId="366C9EF8" w14:textId="7A8A9ECB" w:rsidR="00D27932" w:rsidRPr="00952F0F" w:rsidRDefault="00603907" w:rsidP="00853BF0">
      <w:pPr>
        <w:rPr>
          <w:rFonts w:cs="Times New Roman"/>
          <w:color w:val="000000" w:themeColor="text1"/>
        </w:rPr>
      </w:pPr>
      <w:r>
        <w:rPr>
          <w:rFonts w:cs="Times New Roman"/>
          <w:color w:val="000000" w:themeColor="text1"/>
        </w:rPr>
        <w:t>Nessa linha, o</w:t>
      </w:r>
      <w:r w:rsidR="00D27932" w:rsidRPr="00952F0F">
        <w:rPr>
          <w:rFonts w:cs="Times New Roman"/>
          <w:color w:val="000000" w:themeColor="text1"/>
        </w:rPr>
        <w:t xml:space="preserve"> CNJ possui a </w:t>
      </w:r>
      <w:r>
        <w:rPr>
          <w:rFonts w:cs="Times New Roman"/>
          <w:color w:val="000000" w:themeColor="text1"/>
        </w:rPr>
        <w:t>R</w:t>
      </w:r>
      <w:r w:rsidR="00D27932" w:rsidRPr="00952F0F">
        <w:rPr>
          <w:rFonts w:cs="Times New Roman"/>
          <w:color w:val="000000" w:themeColor="text1"/>
        </w:rPr>
        <w:t>esolução nº 185, de 2013, que regula o funcionamento do PJE nos órgãos destacados no art. no art. 92, incisos I-A a VII, da Constituição Federal.</w:t>
      </w:r>
      <w:r>
        <w:rPr>
          <w:rFonts w:cs="Times New Roman"/>
          <w:color w:val="000000" w:themeColor="text1"/>
        </w:rPr>
        <w:t xml:space="preserve"> </w:t>
      </w:r>
      <w:r w:rsidR="00D27932" w:rsidRPr="00952F0F">
        <w:rPr>
          <w:rFonts w:cs="Times New Roman"/>
          <w:color w:val="000000" w:themeColor="text1"/>
        </w:rPr>
        <w:t xml:space="preserve">Em matéria de precatório, </w:t>
      </w:r>
      <w:r>
        <w:rPr>
          <w:rFonts w:cs="Times New Roman"/>
          <w:color w:val="000000" w:themeColor="text1"/>
        </w:rPr>
        <w:t>há</w:t>
      </w:r>
      <w:r w:rsidR="00D27932" w:rsidRPr="00952F0F">
        <w:rPr>
          <w:rFonts w:cs="Times New Roman"/>
          <w:color w:val="000000" w:themeColor="text1"/>
        </w:rPr>
        <w:t xml:space="preserve"> ainda a Resolução </w:t>
      </w:r>
      <w:r>
        <w:rPr>
          <w:rFonts w:cs="Times New Roman"/>
          <w:color w:val="000000" w:themeColor="text1"/>
        </w:rPr>
        <w:t xml:space="preserve">nº </w:t>
      </w:r>
      <w:r w:rsidR="00D27932" w:rsidRPr="00952F0F">
        <w:rPr>
          <w:rFonts w:cs="Times New Roman"/>
          <w:color w:val="000000" w:themeColor="text1"/>
        </w:rPr>
        <w:t>303 do mesmo CNJ</w:t>
      </w:r>
      <w:r>
        <w:rPr>
          <w:rFonts w:cs="Times New Roman"/>
          <w:color w:val="000000" w:themeColor="text1"/>
        </w:rPr>
        <w:t>,</w:t>
      </w:r>
      <w:r w:rsidR="00D27932" w:rsidRPr="00952F0F">
        <w:rPr>
          <w:rFonts w:cs="Times New Roman"/>
          <w:color w:val="000000" w:themeColor="text1"/>
        </w:rPr>
        <w:t xml:space="preserve"> que disciplina esse regime de pagamento. </w:t>
      </w:r>
      <w:r w:rsidR="005135C7" w:rsidRPr="00952F0F">
        <w:rPr>
          <w:rFonts w:cs="Times New Roman"/>
          <w:color w:val="000000" w:themeColor="text1"/>
        </w:rPr>
        <w:t>A norma já disciplina que os tribunais devem possuir sistema eletrônico para encaminhamento dos ofícios de precatório</w:t>
      </w:r>
      <w:r>
        <w:rPr>
          <w:rFonts w:cs="Times New Roman"/>
          <w:color w:val="000000" w:themeColor="text1"/>
        </w:rPr>
        <w:t>:</w:t>
      </w:r>
      <w:r w:rsidR="005135C7" w:rsidRPr="00952F0F">
        <w:rPr>
          <w:rFonts w:cs="Times New Roman"/>
          <w:color w:val="000000" w:themeColor="text1"/>
        </w:rPr>
        <w:t xml:space="preserve"> </w:t>
      </w:r>
    </w:p>
    <w:p w14:paraId="2327B3CC" w14:textId="62FA5657" w:rsidR="005135C7" w:rsidRPr="00952F0F" w:rsidRDefault="005135C7" w:rsidP="00603907">
      <w:pPr>
        <w:pStyle w:val="Citao"/>
      </w:pPr>
      <w:r w:rsidRPr="00952F0F">
        <w:t>Art. 5</w:t>
      </w:r>
      <w:r w:rsidR="00603907">
        <w:t>º</w:t>
      </w:r>
      <w:r w:rsidRPr="00952F0F">
        <w:t xml:space="preserve"> O ofício precatório será expedido pelo juízo da execução ao tribunal, de forma padronizada e contendo elementos que permitam aferir o momento de sua apresentação, recebendo numeração única própria, conforme disciplina a Resolução do CNJ no 65/2008. </w:t>
      </w:r>
    </w:p>
    <w:p w14:paraId="4D988B1A" w14:textId="10A7EA56" w:rsidR="005135C7" w:rsidRPr="00952F0F" w:rsidRDefault="005135C7" w:rsidP="00603907">
      <w:pPr>
        <w:pStyle w:val="Citao"/>
      </w:pPr>
      <w:r w:rsidRPr="00952F0F">
        <w:t>Parágrafo único. Os tribunais deverão adotar sistema eletrônico para os fins do disposto no caput deste artigo.</w:t>
      </w:r>
    </w:p>
    <w:p w14:paraId="14D59F51" w14:textId="0AB3731B" w:rsidR="005135C7" w:rsidRPr="00952F0F" w:rsidRDefault="005135C7" w:rsidP="00853BF0">
      <w:pPr>
        <w:rPr>
          <w:rFonts w:cs="Times New Roman"/>
          <w:color w:val="000000" w:themeColor="text1"/>
        </w:rPr>
      </w:pPr>
      <w:r w:rsidRPr="00952F0F">
        <w:rPr>
          <w:rFonts w:cs="Times New Roman"/>
          <w:color w:val="000000" w:themeColor="text1"/>
        </w:rPr>
        <w:lastRenderedPageBreak/>
        <w:t>De tal modo</w:t>
      </w:r>
      <w:r w:rsidR="00C94547" w:rsidRPr="00952F0F">
        <w:rPr>
          <w:rFonts w:cs="Times New Roman"/>
          <w:color w:val="000000" w:themeColor="text1"/>
        </w:rPr>
        <w:t>, acreditamos que utilização da tecnologia blockchain, bem como, de smart contracts e oráculos podem ser regulamentadas via resolução do CNJ, adicionalmente</w:t>
      </w:r>
      <w:r w:rsidR="00603907">
        <w:rPr>
          <w:rFonts w:cs="Times New Roman"/>
          <w:color w:val="000000" w:themeColor="text1"/>
        </w:rPr>
        <w:t xml:space="preserve"> às formas já</w:t>
      </w:r>
      <w:r w:rsidR="00C94547" w:rsidRPr="00952F0F">
        <w:rPr>
          <w:rFonts w:cs="Times New Roman"/>
          <w:color w:val="000000" w:themeColor="text1"/>
        </w:rPr>
        <w:t xml:space="preserve"> previstas na</w:t>
      </w:r>
      <w:r w:rsidR="00603907">
        <w:rPr>
          <w:rFonts w:cs="Times New Roman"/>
          <w:color w:val="000000" w:themeColor="text1"/>
        </w:rPr>
        <w:t xml:space="preserve"> atual</w:t>
      </w:r>
      <w:r w:rsidR="00C94547" w:rsidRPr="00952F0F">
        <w:rPr>
          <w:rFonts w:cs="Times New Roman"/>
          <w:color w:val="000000" w:themeColor="text1"/>
        </w:rPr>
        <w:t xml:space="preserve"> Resolução 303.</w:t>
      </w:r>
    </w:p>
    <w:p w14:paraId="06161727" w14:textId="6F89C89B" w:rsidR="0006158C" w:rsidRPr="00952F0F" w:rsidRDefault="0006158C" w:rsidP="00853BF0">
      <w:pPr>
        <w:rPr>
          <w:rFonts w:cs="Times New Roman"/>
          <w:color w:val="000000" w:themeColor="text1"/>
        </w:rPr>
      </w:pPr>
      <w:r w:rsidRPr="00952F0F">
        <w:rPr>
          <w:rFonts w:cs="Times New Roman"/>
          <w:color w:val="000000" w:themeColor="text1"/>
        </w:rPr>
        <w:t xml:space="preserve">Quanto </w:t>
      </w:r>
      <w:r w:rsidR="00603907">
        <w:rPr>
          <w:rFonts w:cs="Times New Roman"/>
          <w:color w:val="000000" w:themeColor="text1"/>
        </w:rPr>
        <w:t>à</w:t>
      </w:r>
      <w:r w:rsidRPr="00952F0F">
        <w:rPr>
          <w:rFonts w:cs="Times New Roman"/>
          <w:color w:val="000000" w:themeColor="text1"/>
        </w:rPr>
        <w:t xml:space="preserve"> integração ao </w:t>
      </w:r>
      <w:r w:rsidR="00603907">
        <w:rPr>
          <w:rFonts w:cs="Times New Roman"/>
          <w:color w:val="000000" w:themeColor="text1"/>
        </w:rPr>
        <w:t>DREX,</w:t>
      </w:r>
      <w:r w:rsidRPr="00952F0F">
        <w:rPr>
          <w:rFonts w:cs="Times New Roman"/>
          <w:color w:val="000000" w:themeColor="text1"/>
        </w:rPr>
        <w:t xml:space="preserve"> seria necessário construir esse caminho junto ao Banco Central, certamente, por meio de instrumento de convênio entre as instituições responsáveis, Poder Público, CNJ, tribunais locais e Banco Central. Os instrumentos regulatórios necessários</w:t>
      </w:r>
      <w:r w:rsidR="00603907">
        <w:rPr>
          <w:rFonts w:cs="Times New Roman"/>
          <w:color w:val="000000" w:themeColor="text1"/>
        </w:rPr>
        <w:t xml:space="preserve"> para tanto não estão no escopo deste trabalho, porém, diante do que já existe na legislação, é possível concluir que a abertura legal já existente autorizaria </w:t>
      </w:r>
      <w:r w:rsidRPr="00952F0F">
        <w:rPr>
          <w:rFonts w:cs="Times New Roman"/>
          <w:color w:val="000000" w:themeColor="text1"/>
        </w:rPr>
        <w:t xml:space="preserve"> </w:t>
      </w:r>
      <w:r w:rsidR="00603907">
        <w:rPr>
          <w:rFonts w:cs="Times New Roman"/>
          <w:color w:val="000000" w:themeColor="text1"/>
        </w:rPr>
        <w:t>a implementação de precatórios tokenizados no DREX por normas regulamentares, sem a necessidade de alteração de lei em sentido formal.</w:t>
      </w:r>
    </w:p>
    <w:p w14:paraId="54C5B3B8" w14:textId="77777777" w:rsidR="005135C7" w:rsidRDefault="005135C7" w:rsidP="00853BF0">
      <w:pPr>
        <w:rPr>
          <w:rFonts w:cs="Times New Roman"/>
        </w:rPr>
      </w:pPr>
    </w:p>
    <w:p w14:paraId="67FEA759" w14:textId="27853CEB" w:rsidR="00853BF0" w:rsidRPr="00853BF0" w:rsidRDefault="00853BF0" w:rsidP="00853BF0">
      <w:pPr>
        <w:pStyle w:val="Ttulo2"/>
      </w:pPr>
      <w:r w:rsidRPr="00853BF0">
        <w:t>Conclusão</w:t>
      </w:r>
    </w:p>
    <w:p w14:paraId="2F66E776" w14:textId="77777777" w:rsidR="00853BF0" w:rsidRPr="00853BF0" w:rsidRDefault="00853BF0" w:rsidP="00853BF0">
      <w:pPr>
        <w:rPr>
          <w:rFonts w:cs="Times New Roman"/>
        </w:rPr>
      </w:pPr>
    </w:p>
    <w:p w14:paraId="19CA6373" w14:textId="7012AB28" w:rsidR="00853BF0" w:rsidRPr="00853BF0" w:rsidRDefault="00853BF0" w:rsidP="00853BF0">
      <w:pPr>
        <w:rPr>
          <w:rFonts w:cs="Times New Roman"/>
        </w:rPr>
      </w:pPr>
      <w:r w:rsidRPr="00853BF0">
        <w:rPr>
          <w:rFonts w:cs="Times New Roman"/>
        </w:rPr>
        <w:t xml:space="preserve">Em meio a uma revolução digital, o campo financeiro não tem se poupado de adaptações e inovações. Nesse cenário, o </w:t>
      </w:r>
      <w:r w:rsidR="00603907">
        <w:rPr>
          <w:rFonts w:cs="Times New Roman"/>
        </w:rPr>
        <w:t>DREX</w:t>
      </w:r>
      <w:r w:rsidRPr="00853BF0">
        <w:rPr>
          <w:rFonts w:cs="Times New Roman"/>
        </w:rPr>
        <w:t xml:space="preserve"> surge como uma proposta significativa, almejando trazer modernidade e eficiência ao sistema financeiro brasileiro. Este trabalho explorou a tese de que, com a implementação do </w:t>
      </w:r>
      <w:r w:rsidR="00603907">
        <w:rPr>
          <w:rFonts w:cs="Times New Roman"/>
        </w:rPr>
        <w:t>DREX</w:t>
      </w:r>
      <w:r w:rsidRPr="00853BF0">
        <w:rPr>
          <w:rFonts w:cs="Times New Roman"/>
        </w:rPr>
        <w:t>, a tokenização de precatórios e obrigações de pagamento contra a Fazenda Pública se torna possível, o que poderia gerar benefícios substanciais.</w:t>
      </w:r>
    </w:p>
    <w:p w14:paraId="709144B6" w14:textId="77777777" w:rsidR="00853BF0" w:rsidRPr="00853BF0" w:rsidRDefault="00853BF0" w:rsidP="00853BF0">
      <w:pPr>
        <w:rPr>
          <w:rFonts w:cs="Times New Roman"/>
        </w:rPr>
      </w:pPr>
      <w:r w:rsidRPr="00853BF0">
        <w:rPr>
          <w:rFonts w:cs="Times New Roman"/>
        </w:rPr>
        <w:t>No primeiro capítulo, discutimos a necessidade de mecanismos financeiros mais eficazes no contexto do Estado moderno. Exploramos o papel da moeda na construção da confiança, tendo como referência o pensamento de estudiosos como Giddens, Simmel e Hirschmann. Concluímos que a promessa de valor de uma moeda programável poderia beneficiar a relação dialética entre o Estado e o poder econômico, potencializando a confiança mútua.</w:t>
      </w:r>
    </w:p>
    <w:p w14:paraId="4DF40978" w14:textId="1163CD0C" w:rsidR="00853BF0" w:rsidRPr="00853BF0" w:rsidRDefault="00853BF0" w:rsidP="00853BF0">
      <w:pPr>
        <w:rPr>
          <w:rFonts w:cs="Times New Roman"/>
        </w:rPr>
      </w:pPr>
      <w:r w:rsidRPr="00853BF0">
        <w:rPr>
          <w:rFonts w:cs="Times New Roman"/>
        </w:rPr>
        <w:t xml:space="preserve">No segundo capítulo, analisamos o </w:t>
      </w:r>
      <w:r w:rsidR="00603907">
        <w:rPr>
          <w:rFonts w:cs="Times New Roman"/>
        </w:rPr>
        <w:t>DREX</w:t>
      </w:r>
      <w:r w:rsidRPr="00853BF0">
        <w:rPr>
          <w:rFonts w:cs="Times New Roman"/>
        </w:rPr>
        <w:t xml:space="preserve"> como um catalisador para a economia tokenizada. Abordamos a relevância e as características das tecnologias de registro distribuído (DLTs) e distinguimos entre blockchains públicas e permissionadas. Além disso, discorremos sobre a estrutura e o funcionamento do </w:t>
      </w:r>
      <w:r w:rsidR="00603907">
        <w:rPr>
          <w:rFonts w:cs="Times New Roman"/>
        </w:rPr>
        <w:t>DREX</w:t>
      </w:r>
      <w:r w:rsidRPr="00853BF0">
        <w:rPr>
          <w:rFonts w:cs="Times New Roman"/>
        </w:rPr>
        <w:t xml:space="preserve"> e como o Banco Central do Brasil visa construir um ecossistema multiativos digitais para suportar uma economia tokenizada.</w:t>
      </w:r>
    </w:p>
    <w:p w14:paraId="2153ED4C" w14:textId="77777777" w:rsidR="00853BF0" w:rsidRPr="00853BF0" w:rsidRDefault="00853BF0" w:rsidP="00853BF0">
      <w:pPr>
        <w:rPr>
          <w:rFonts w:cs="Times New Roman"/>
        </w:rPr>
      </w:pPr>
      <w:r w:rsidRPr="00853BF0">
        <w:rPr>
          <w:rFonts w:cs="Times New Roman"/>
        </w:rPr>
        <w:lastRenderedPageBreak/>
        <w:t>No terceiro capítulo, consideramos como uma economia tokenizada pode beneficiar o Estado e os credores de dívidas contra a Fazenda Pública decorrentes de condenações judiciais. Exploramos os precatórios e requisições de pagamento contra a Fazenda Pública, bem como a maneira pela qual essas dívidas são processadas. Apontamos os benefícios do uso da blockchain permissionada e de smart contracts aliados a oráculos para atualização em tempo real da dívida pública. E, finalmente, abordamos a possibilidade da tokenização da dívida e a criação de um mercado secundário de títulos lastreados em precatórios.</w:t>
      </w:r>
    </w:p>
    <w:p w14:paraId="20092309" w14:textId="1A331903" w:rsidR="00853BF0" w:rsidRDefault="00853BF0" w:rsidP="00853BF0">
      <w:pPr>
        <w:rPr>
          <w:rFonts w:cs="Times New Roman"/>
        </w:rPr>
      </w:pPr>
      <w:r w:rsidRPr="00853BF0">
        <w:rPr>
          <w:rFonts w:cs="Times New Roman"/>
        </w:rPr>
        <w:t xml:space="preserve">Em síntese, defendemos que a introdução do </w:t>
      </w:r>
      <w:r w:rsidR="00603907">
        <w:rPr>
          <w:rFonts w:cs="Times New Roman"/>
        </w:rPr>
        <w:t>DREX</w:t>
      </w:r>
      <w:r w:rsidRPr="00853BF0">
        <w:rPr>
          <w:rFonts w:cs="Times New Roman"/>
        </w:rPr>
        <w:t xml:space="preserve"> pode proporcionar uma modernização no gerenciamento da dívida pública. A tokenização dos precatórios e demais obrigações de pagamento contra a Fazenda Pública permitiria um maior controle e transparência, além de potencialmente criar novos mecanismos de financiamento. Assim, acredita-se que o </w:t>
      </w:r>
      <w:r w:rsidR="00603907">
        <w:rPr>
          <w:rFonts w:cs="Times New Roman"/>
        </w:rPr>
        <w:t>DREX</w:t>
      </w:r>
      <w:r w:rsidRPr="00853BF0">
        <w:rPr>
          <w:rFonts w:cs="Times New Roman"/>
        </w:rPr>
        <w:t xml:space="preserve"> tem o potencial de trazer eficiência e confiabilidade ao Estado e aos credores, ao mesmo tempo em que estimula o desenvolvimento de uma economia cada vez mais digital e integrada.</w:t>
      </w:r>
    </w:p>
    <w:p w14:paraId="08D87F02" w14:textId="77777777" w:rsidR="00853BF0" w:rsidRDefault="00853BF0" w:rsidP="00853BF0">
      <w:pPr>
        <w:rPr>
          <w:rFonts w:cs="Times New Roman"/>
        </w:rPr>
      </w:pPr>
    </w:p>
    <w:p w14:paraId="48681182" w14:textId="77777777" w:rsidR="000828BA" w:rsidRPr="00E0650D" w:rsidRDefault="000828BA" w:rsidP="000828BA">
      <w:pPr>
        <w:pStyle w:val="Ttulo2"/>
        <w:rPr>
          <w:rFonts w:cs="Times New Roman"/>
        </w:rPr>
      </w:pPr>
      <w:r w:rsidRPr="00E0650D">
        <w:rPr>
          <w:rFonts w:cs="Times New Roman"/>
        </w:rPr>
        <w:t>Referências bibliográficas</w:t>
      </w:r>
    </w:p>
    <w:p w14:paraId="68BFB95D" w14:textId="77777777" w:rsidR="00BA1E99" w:rsidRDefault="00BA1E99" w:rsidP="00BA1E99">
      <w:pPr>
        <w:ind w:firstLine="0"/>
        <w:rPr>
          <w:rFonts w:cs="Times New Roman"/>
          <w:lang w:val="en-US"/>
        </w:rPr>
      </w:pPr>
    </w:p>
    <w:p w14:paraId="6C7C4887" w14:textId="6C926BD8" w:rsidR="00BA1E99" w:rsidRPr="00BA1E99" w:rsidRDefault="00BA1E99" w:rsidP="00BA1E99">
      <w:pPr>
        <w:spacing w:after="0" w:line="240" w:lineRule="auto"/>
        <w:ind w:firstLine="0"/>
        <w:rPr>
          <w:rFonts w:cs="Times New Roman"/>
          <w:lang w:val="en-US"/>
        </w:rPr>
      </w:pPr>
      <w:r w:rsidRPr="00BA1E99">
        <w:rPr>
          <w:rFonts w:cs="Times New Roman"/>
          <w:lang w:val="en-US"/>
        </w:rPr>
        <w:t>ARENDT, H. (1963). On Revolution. Penguin Classics</w:t>
      </w:r>
      <w:r>
        <w:rPr>
          <w:rFonts w:cs="Times New Roman"/>
          <w:lang w:val="en-US"/>
        </w:rPr>
        <w:t>.</w:t>
      </w:r>
    </w:p>
    <w:p w14:paraId="7830EC83" w14:textId="77777777" w:rsidR="00E90D1C" w:rsidRPr="00C23AF0" w:rsidRDefault="00E90D1C" w:rsidP="00BA1E99">
      <w:pPr>
        <w:spacing w:after="0" w:line="240" w:lineRule="auto"/>
        <w:ind w:firstLine="0"/>
        <w:rPr>
          <w:rFonts w:cs="Times New Roman"/>
          <w:lang w:val="en-US"/>
        </w:rPr>
      </w:pPr>
    </w:p>
    <w:p w14:paraId="77728F9E" w14:textId="1F51F9A3" w:rsidR="00E90D1C" w:rsidRPr="00E90D1C" w:rsidRDefault="00853BF0" w:rsidP="00E90D1C">
      <w:pPr>
        <w:spacing w:after="0" w:line="240" w:lineRule="auto"/>
        <w:ind w:firstLine="0"/>
        <w:rPr>
          <w:rFonts w:cs="Times New Roman"/>
          <w:b/>
          <w:bCs/>
          <w:lang w:bidi="ar-SA"/>
        </w:rPr>
      </w:pPr>
      <w:r w:rsidRPr="00E90D1C">
        <w:rPr>
          <w:rFonts w:cs="Times New Roman"/>
        </w:rPr>
        <w:t xml:space="preserve">Banco Central do Brasil. (2021). </w:t>
      </w:r>
      <w:r w:rsidR="00E90D1C" w:rsidRPr="00E90D1C">
        <w:rPr>
          <w:rFonts w:cs="Times New Roman"/>
          <w:lang w:bidi="ar-SA"/>
        </w:rPr>
        <w:t>Banco Central divulga as diretrizes gerais de uma moeda digital para o Brasil. https://www.bcb.gov.br/detalhenoticia/17398/nota</w:t>
      </w:r>
    </w:p>
    <w:p w14:paraId="4B9A3E4B" w14:textId="00FC8EC6" w:rsidR="00853BF0" w:rsidRPr="00853BF0" w:rsidRDefault="00853BF0" w:rsidP="00BA1E99">
      <w:pPr>
        <w:spacing w:after="0" w:line="240" w:lineRule="auto"/>
        <w:ind w:firstLine="0"/>
        <w:rPr>
          <w:rFonts w:cs="Times New Roman"/>
        </w:rPr>
      </w:pPr>
    </w:p>
    <w:p w14:paraId="28906302" w14:textId="20A34DF4" w:rsidR="00BA1E99" w:rsidRDefault="00BA1E99" w:rsidP="00BA1E99">
      <w:pPr>
        <w:spacing w:after="0" w:line="240" w:lineRule="auto"/>
        <w:ind w:firstLine="0"/>
        <w:rPr>
          <w:rFonts w:cs="Times New Roman"/>
          <w:lang w:val="en-US"/>
        </w:rPr>
      </w:pPr>
      <w:r w:rsidRPr="00BA1E99">
        <w:rPr>
          <w:lang w:val="en-US"/>
        </w:rPr>
        <w:t xml:space="preserve">BENKLER, Yochai. </w:t>
      </w:r>
      <w:r w:rsidRPr="00BA1E99">
        <w:rPr>
          <w:i/>
          <w:lang w:val="en-US"/>
        </w:rPr>
        <w:t>Law, Policy, and Cooperation.</w:t>
      </w:r>
      <w:r w:rsidRPr="00BA1E99">
        <w:rPr>
          <w:lang w:val="en-US"/>
        </w:rPr>
        <w:t xml:space="preserve"> In: BALLEISEN, Edward J. e MOSS, David A. </w:t>
      </w:r>
      <w:r w:rsidRPr="00BA1E99">
        <w:rPr>
          <w:b/>
          <w:lang w:val="en-US"/>
        </w:rPr>
        <w:t xml:space="preserve">Governments and Markets: Toward a New Theory of Regulation. </w:t>
      </w:r>
      <w:r w:rsidRPr="00BA1E99">
        <w:rPr>
          <w:lang w:val="en-US"/>
        </w:rPr>
        <w:t>Kindle edition. New York: Cambridge University Press, 2010, pp. 13-51</w:t>
      </w:r>
    </w:p>
    <w:p w14:paraId="1D6FAABF" w14:textId="77777777" w:rsidR="00BA1E99" w:rsidRPr="00C23AF0" w:rsidRDefault="00BA1E99" w:rsidP="00BA1E99">
      <w:pPr>
        <w:pBdr>
          <w:top w:val="nil"/>
          <w:left w:val="nil"/>
          <w:bottom w:val="nil"/>
          <w:right w:val="nil"/>
          <w:between w:val="nil"/>
        </w:pBdr>
        <w:spacing w:after="0" w:line="240" w:lineRule="auto"/>
        <w:ind w:firstLine="0"/>
        <w:rPr>
          <w:lang w:val="en-US"/>
        </w:rPr>
      </w:pPr>
    </w:p>
    <w:p w14:paraId="2E9B7A9F" w14:textId="73C22C91" w:rsidR="00D621EC" w:rsidRDefault="00D621EC" w:rsidP="00BA1E99">
      <w:pPr>
        <w:pBdr>
          <w:top w:val="nil"/>
          <w:left w:val="nil"/>
          <w:bottom w:val="nil"/>
          <w:right w:val="nil"/>
          <w:between w:val="nil"/>
        </w:pBdr>
        <w:spacing w:after="0" w:line="240" w:lineRule="auto"/>
        <w:ind w:firstLine="0"/>
      </w:pPr>
      <w:r w:rsidRPr="00D621EC">
        <w:rPr>
          <w:lang w:val="en-US"/>
        </w:rPr>
        <w:t xml:space="preserve">BURNISKE, C., &amp; TATAR, J. (2017). </w:t>
      </w:r>
      <w:r w:rsidRPr="00D621EC">
        <w:rPr>
          <w:b/>
          <w:bCs/>
          <w:lang w:val="en-US"/>
        </w:rPr>
        <w:t>Cryptoassets: The Innovative Investor's Guide to Bitcoin and Beyond.</w:t>
      </w:r>
      <w:r w:rsidRPr="00D621EC">
        <w:rPr>
          <w:lang w:val="en-US"/>
        </w:rPr>
        <w:t xml:space="preserve"> </w:t>
      </w:r>
      <w:r w:rsidRPr="00D621EC">
        <w:t>McGraw-Hill Education.</w:t>
      </w:r>
    </w:p>
    <w:p w14:paraId="1D1CC4A2" w14:textId="77777777" w:rsidR="00D621EC" w:rsidRDefault="00D621EC" w:rsidP="00BA1E99">
      <w:pPr>
        <w:pBdr>
          <w:top w:val="nil"/>
          <w:left w:val="nil"/>
          <w:bottom w:val="nil"/>
          <w:right w:val="nil"/>
          <w:between w:val="nil"/>
        </w:pBdr>
        <w:spacing w:after="0" w:line="240" w:lineRule="auto"/>
        <w:ind w:firstLine="0"/>
      </w:pPr>
    </w:p>
    <w:p w14:paraId="28A1ADB8" w14:textId="5327880F" w:rsidR="00BA1E99" w:rsidRPr="004C21E9" w:rsidRDefault="00BA1E99" w:rsidP="00BA1E99">
      <w:pPr>
        <w:pBdr>
          <w:top w:val="nil"/>
          <w:left w:val="nil"/>
          <w:bottom w:val="nil"/>
          <w:right w:val="nil"/>
          <w:between w:val="nil"/>
        </w:pBdr>
        <w:spacing w:after="0" w:line="240" w:lineRule="auto"/>
        <w:ind w:firstLine="0"/>
      </w:pPr>
      <w:r w:rsidRPr="004C21E9">
        <w:t xml:space="preserve">CASTELLS, Manuel. </w:t>
      </w:r>
      <w:r w:rsidRPr="004C21E9">
        <w:rPr>
          <w:b/>
        </w:rPr>
        <w:t xml:space="preserve">A sociedade em rede. </w:t>
      </w:r>
      <w:r w:rsidRPr="004C21E9">
        <w:t>São Paulo: Paz e Terra, 1999.</w:t>
      </w:r>
    </w:p>
    <w:p w14:paraId="077E26E6" w14:textId="77777777" w:rsidR="00BA1E99" w:rsidRPr="00C23AF0" w:rsidRDefault="00BA1E99" w:rsidP="00BA1E99">
      <w:pPr>
        <w:pBdr>
          <w:top w:val="nil"/>
          <w:left w:val="nil"/>
          <w:bottom w:val="nil"/>
          <w:right w:val="nil"/>
          <w:between w:val="nil"/>
        </w:pBdr>
        <w:spacing w:after="0" w:line="240" w:lineRule="auto"/>
        <w:ind w:firstLine="0"/>
      </w:pPr>
    </w:p>
    <w:p w14:paraId="5D923A38" w14:textId="67D23D14" w:rsidR="00BA1E99" w:rsidRPr="00C23AF0" w:rsidRDefault="00BA1E99" w:rsidP="00BA1E99">
      <w:pPr>
        <w:pBdr>
          <w:top w:val="nil"/>
          <w:left w:val="nil"/>
          <w:bottom w:val="nil"/>
          <w:right w:val="nil"/>
          <w:between w:val="nil"/>
        </w:pBdr>
        <w:spacing w:after="0" w:line="240" w:lineRule="auto"/>
        <w:ind w:firstLine="0"/>
        <w:rPr>
          <w:lang w:val="en-US"/>
        </w:rPr>
      </w:pPr>
      <w:r w:rsidRPr="00BA1E99">
        <w:rPr>
          <w:lang w:val="en-US"/>
        </w:rPr>
        <w:t>CASTELLS, Manuel et. al.</w:t>
      </w:r>
      <w:r w:rsidRPr="00BA1E99">
        <w:rPr>
          <w:b/>
          <w:lang w:val="en-US"/>
        </w:rPr>
        <w:t xml:space="preserve"> Another Economy is Possible: Culture and Economy in a Time of Crisis.</w:t>
      </w:r>
      <w:r w:rsidRPr="00BA1E99">
        <w:rPr>
          <w:lang w:val="en-US"/>
        </w:rPr>
        <w:t xml:space="preserve"> </w:t>
      </w:r>
      <w:r w:rsidRPr="00C23AF0">
        <w:rPr>
          <w:lang w:val="en-US"/>
        </w:rPr>
        <w:t>Cambridge: Polity Press, 2017.</w:t>
      </w:r>
    </w:p>
    <w:p w14:paraId="59843B63" w14:textId="77777777" w:rsidR="00BA1E99" w:rsidRDefault="00BA1E99" w:rsidP="00BA1E99">
      <w:pPr>
        <w:pBdr>
          <w:top w:val="nil"/>
          <w:left w:val="nil"/>
          <w:bottom w:val="nil"/>
          <w:right w:val="nil"/>
          <w:between w:val="nil"/>
        </w:pBdr>
        <w:spacing w:after="0" w:line="240" w:lineRule="auto"/>
        <w:ind w:firstLine="0"/>
        <w:rPr>
          <w:lang w:val="en-US"/>
        </w:rPr>
      </w:pPr>
    </w:p>
    <w:p w14:paraId="4DD05008" w14:textId="0DA6F7FC" w:rsidR="00BA1E99" w:rsidRPr="00C23AF0" w:rsidRDefault="00BA1E99" w:rsidP="00BA1E99">
      <w:pPr>
        <w:pBdr>
          <w:top w:val="nil"/>
          <w:left w:val="nil"/>
          <w:bottom w:val="nil"/>
          <w:right w:val="nil"/>
          <w:between w:val="nil"/>
        </w:pBdr>
        <w:spacing w:after="0" w:line="240" w:lineRule="auto"/>
        <w:ind w:firstLine="0"/>
        <w:rPr>
          <w:lang w:val="en-US"/>
        </w:rPr>
      </w:pPr>
      <w:r w:rsidRPr="00BA1E99">
        <w:rPr>
          <w:lang w:val="en-US"/>
        </w:rPr>
        <w:t xml:space="preserve">DE FILIPPI, Primavera and AARON, Wright. </w:t>
      </w:r>
      <w:r w:rsidRPr="00BA1E99">
        <w:rPr>
          <w:b/>
          <w:lang w:val="en-US"/>
        </w:rPr>
        <w:t>Blockchain and the Law: The Rule of Code.</w:t>
      </w:r>
      <w:r w:rsidRPr="00BA1E99">
        <w:rPr>
          <w:lang w:val="en-US"/>
        </w:rPr>
        <w:t xml:space="preserve"> </w:t>
      </w:r>
      <w:r w:rsidRPr="00C23AF0">
        <w:rPr>
          <w:lang w:val="en-US"/>
        </w:rPr>
        <w:t>Cambridge: Harvard University Press, 2018.</w:t>
      </w:r>
    </w:p>
    <w:p w14:paraId="0069F5EC" w14:textId="77777777" w:rsidR="00BA1E99" w:rsidRDefault="00BA1E99" w:rsidP="00BA1E99">
      <w:pPr>
        <w:pBdr>
          <w:top w:val="nil"/>
          <w:left w:val="nil"/>
          <w:bottom w:val="nil"/>
          <w:right w:val="nil"/>
          <w:between w:val="nil"/>
        </w:pBdr>
        <w:spacing w:after="0" w:line="240" w:lineRule="auto"/>
        <w:ind w:firstLine="0"/>
        <w:rPr>
          <w:lang w:val="en-US"/>
        </w:rPr>
      </w:pPr>
    </w:p>
    <w:p w14:paraId="4B9B2D01" w14:textId="40E731B0" w:rsidR="00BA1E99" w:rsidRPr="00C23AF0" w:rsidRDefault="00BA1E99" w:rsidP="00BA1E99">
      <w:pPr>
        <w:pBdr>
          <w:top w:val="nil"/>
          <w:left w:val="nil"/>
          <w:bottom w:val="nil"/>
          <w:right w:val="nil"/>
          <w:between w:val="nil"/>
        </w:pBdr>
        <w:spacing w:after="0" w:line="240" w:lineRule="auto"/>
        <w:ind w:firstLine="0"/>
        <w:rPr>
          <w:lang w:val="en-US"/>
        </w:rPr>
      </w:pPr>
      <w:r w:rsidRPr="00BA1E99">
        <w:rPr>
          <w:lang w:val="en-US"/>
        </w:rPr>
        <w:lastRenderedPageBreak/>
        <w:t>EVANS, Peter. </w:t>
      </w:r>
      <w:r w:rsidRPr="00BA1E99">
        <w:rPr>
          <w:i/>
          <w:iCs/>
          <w:lang w:val="en-US"/>
        </w:rPr>
        <w:t>The Challenges of the “Institutional Turn”: New Interdisciplinary Opportunities in Development Theory.</w:t>
      </w:r>
      <w:r w:rsidRPr="00BA1E99">
        <w:rPr>
          <w:lang w:val="en-US"/>
        </w:rPr>
        <w:t> In: NEE, Victor e SWEDBERG, Richard (eds.). </w:t>
      </w:r>
      <w:r w:rsidRPr="00BA1E99">
        <w:rPr>
          <w:b/>
          <w:bCs/>
          <w:lang w:val="en-US"/>
        </w:rPr>
        <w:t>The Economic Sociology of Capitalism.</w:t>
      </w:r>
      <w:r w:rsidRPr="00BA1E99">
        <w:rPr>
          <w:lang w:val="en-US"/>
        </w:rPr>
        <w:t> </w:t>
      </w:r>
      <w:r w:rsidRPr="00C23AF0">
        <w:rPr>
          <w:lang w:val="en-US"/>
        </w:rPr>
        <w:t>New Jersey: Princeton University Press, 2005, pp. 90-116. </w:t>
      </w:r>
    </w:p>
    <w:p w14:paraId="75AAB8B8" w14:textId="77777777" w:rsidR="00BA1E99" w:rsidRDefault="00BA1E99" w:rsidP="00BA1E99">
      <w:pPr>
        <w:spacing w:after="0" w:line="240" w:lineRule="auto"/>
        <w:ind w:firstLine="0"/>
        <w:rPr>
          <w:rFonts w:cs="Times New Roman"/>
          <w:lang w:val="en-US"/>
        </w:rPr>
      </w:pPr>
    </w:p>
    <w:p w14:paraId="7754A1BA" w14:textId="7C0C0F0F" w:rsidR="00853BF0" w:rsidRPr="00853BF0" w:rsidRDefault="00BA1E99" w:rsidP="00BA1E99">
      <w:pPr>
        <w:spacing w:after="0" w:line="240" w:lineRule="auto"/>
        <w:ind w:firstLine="0"/>
        <w:rPr>
          <w:rFonts w:cs="Times New Roman"/>
          <w:lang w:val="en-US"/>
        </w:rPr>
      </w:pPr>
      <w:r w:rsidRPr="00853BF0">
        <w:rPr>
          <w:rFonts w:cs="Times New Roman"/>
          <w:lang w:val="en-US"/>
        </w:rPr>
        <w:t>GIDDENS</w:t>
      </w:r>
      <w:r w:rsidR="00853BF0" w:rsidRPr="00853BF0">
        <w:rPr>
          <w:rFonts w:cs="Times New Roman"/>
          <w:lang w:val="en-US"/>
        </w:rPr>
        <w:t>, A. (1990). The Consequences of Modernity. Stanford University Press.</w:t>
      </w:r>
    </w:p>
    <w:p w14:paraId="0353BCDE" w14:textId="77777777" w:rsidR="00BA1E99" w:rsidRDefault="00BA1E99" w:rsidP="00BA1E99">
      <w:pPr>
        <w:spacing w:after="0" w:line="240" w:lineRule="auto"/>
        <w:ind w:firstLine="0"/>
        <w:rPr>
          <w:rFonts w:cs="Times New Roman"/>
          <w:lang w:val="en-US"/>
        </w:rPr>
      </w:pPr>
    </w:p>
    <w:p w14:paraId="04CD5EA6" w14:textId="016CC24D" w:rsidR="00853BF0" w:rsidRPr="00853BF0" w:rsidRDefault="00BA1E99" w:rsidP="00BA1E99">
      <w:pPr>
        <w:spacing w:after="0" w:line="240" w:lineRule="auto"/>
        <w:ind w:firstLine="0"/>
        <w:rPr>
          <w:rFonts w:cs="Times New Roman"/>
          <w:lang w:val="en-US"/>
        </w:rPr>
      </w:pPr>
      <w:r w:rsidRPr="00853BF0">
        <w:rPr>
          <w:rFonts w:cs="Times New Roman"/>
          <w:lang w:val="en-US"/>
        </w:rPr>
        <w:t>HIRSCHMAN</w:t>
      </w:r>
      <w:r w:rsidR="00853BF0" w:rsidRPr="00853BF0">
        <w:rPr>
          <w:rFonts w:cs="Times New Roman"/>
          <w:lang w:val="en-US"/>
        </w:rPr>
        <w:t>, A. O. (1977). The Passions and the Interests: Political Arguments for Capitalism before Its Triumph. Princeton University Press.</w:t>
      </w:r>
    </w:p>
    <w:p w14:paraId="3453600C" w14:textId="77777777" w:rsidR="00BA1E99" w:rsidRDefault="00BA1E99" w:rsidP="00BA1E99">
      <w:pPr>
        <w:spacing w:after="0" w:line="240" w:lineRule="auto"/>
        <w:ind w:firstLine="0"/>
        <w:rPr>
          <w:rFonts w:cs="Times New Roman"/>
          <w:lang w:val="en-US"/>
        </w:rPr>
      </w:pPr>
    </w:p>
    <w:p w14:paraId="55B4C65E" w14:textId="5B61D23D" w:rsidR="00853BF0" w:rsidRPr="00853BF0" w:rsidRDefault="00BA1E99" w:rsidP="00BA1E99">
      <w:pPr>
        <w:spacing w:after="0" w:line="240" w:lineRule="auto"/>
        <w:ind w:firstLine="0"/>
        <w:rPr>
          <w:rFonts w:cs="Times New Roman"/>
          <w:lang w:val="en-US"/>
        </w:rPr>
      </w:pPr>
      <w:r w:rsidRPr="00853BF0">
        <w:rPr>
          <w:rFonts w:cs="Times New Roman"/>
          <w:lang w:val="en-US"/>
        </w:rPr>
        <w:t>MENGER</w:t>
      </w:r>
      <w:r w:rsidR="00853BF0" w:rsidRPr="00853BF0">
        <w:rPr>
          <w:rFonts w:cs="Times New Roman"/>
          <w:lang w:val="en-US"/>
        </w:rPr>
        <w:t>, C. (1892). On the Origin of Money. The Economic Journal, 2(6), 239-255.</w:t>
      </w:r>
    </w:p>
    <w:p w14:paraId="5CEEEA27" w14:textId="77777777" w:rsidR="00BA1E99" w:rsidRDefault="00BA1E99" w:rsidP="00BA1E99">
      <w:pPr>
        <w:spacing w:after="0" w:line="240" w:lineRule="auto"/>
        <w:ind w:firstLine="0"/>
        <w:rPr>
          <w:rFonts w:cs="Times New Roman"/>
          <w:lang w:val="en-US"/>
        </w:rPr>
      </w:pPr>
    </w:p>
    <w:p w14:paraId="132AE99B" w14:textId="282B3BEF" w:rsidR="00853BF0" w:rsidRPr="00853BF0" w:rsidRDefault="00BA1E99" w:rsidP="00BA1E99">
      <w:pPr>
        <w:spacing w:after="0" w:line="240" w:lineRule="auto"/>
        <w:ind w:firstLine="0"/>
        <w:rPr>
          <w:rFonts w:cs="Times New Roman"/>
          <w:lang w:val="en-US"/>
        </w:rPr>
      </w:pPr>
      <w:r w:rsidRPr="00853BF0">
        <w:rPr>
          <w:rFonts w:cs="Times New Roman"/>
          <w:lang w:val="en-US"/>
        </w:rPr>
        <w:t>NAKAMOTO</w:t>
      </w:r>
      <w:r w:rsidR="00853BF0" w:rsidRPr="00853BF0">
        <w:rPr>
          <w:rFonts w:cs="Times New Roman"/>
          <w:lang w:val="en-US"/>
        </w:rPr>
        <w:t>, S. (2008). Bitcoin: A Peer-to-Peer Electronic Cash System. https://bitcoin.org/bitcoin.pdf</w:t>
      </w:r>
    </w:p>
    <w:p w14:paraId="2C5CF9C7" w14:textId="77777777" w:rsidR="00BA1E99" w:rsidRDefault="00BA1E99" w:rsidP="00BA1E99">
      <w:pPr>
        <w:spacing w:after="0" w:line="240" w:lineRule="auto"/>
        <w:ind w:firstLine="0"/>
        <w:rPr>
          <w:rFonts w:cs="Times New Roman"/>
          <w:lang w:val="en-US"/>
        </w:rPr>
      </w:pPr>
    </w:p>
    <w:p w14:paraId="70509089" w14:textId="0F2E242E" w:rsidR="00853BF0" w:rsidRPr="00853BF0" w:rsidRDefault="00BA1E99" w:rsidP="00BA1E99">
      <w:pPr>
        <w:spacing w:after="0" w:line="240" w:lineRule="auto"/>
        <w:ind w:firstLine="0"/>
        <w:rPr>
          <w:rFonts w:cs="Times New Roman"/>
          <w:lang w:val="en-US"/>
        </w:rPr>
      </w:pPr>
      <w:r w:rsidRPr="00853BF0">
        <w:rPr>
          <w:rFonts w:cs="Times New Roman"/>
          <w:lang w:val="en-US"/>
        </w:rPr>
        <w:t>POLANYI</w:t>
      </w:r>
      <w:r w:rsidR="00853BF0" w:rsidRPr="00853BF0">
        <w:rPr>
          <w:rFonts w:cs="Times New Roman"/>
          <w:lang w:val="en-US"/>
        </w:rPr>
        <w:t xml:space="preserve">, K. (1944). </w:t>
      </w:r>
      <w:r w:rsidR="00853BF0" w:rsidRPr="00D84AFD">
        <w:rPr>
          <w:rFonts w:cs="Times New Roman"/>
          <w:b/>
          <w:bCs/>
          <w:lang w:val="en-US"/>
        </w:rPr>
        <w:t>The Great Transformation</w:t>
      </w:r>
      <w:r w:rsidR="00853BF0" w:rsidRPr="00853BF0">
        <w:rPr>
          <w:rFonts w:cs="Times New Roman"/>
          <w:lang w:val="en-US"/>
        </w:rPr>
        <w:t>. Farrar &amp; Rinehart.</w:t>
      </w:r>
    </w:p>
    <w:p w14:paraId="352855BA" w14:textId="77777777" w:rsidR="00BA1E99" w:rsidRDefault="00BA1E99" w:rsidP="00BA1E99">
      <w:pPr>
        <w:spacing w:after="0" w:line="240" w:lineRule="auto"/>
        <w:ind w:firstLine="0"/>
        <w:rPr>
          <w:rFonts w:cs="Times New Roman"/>
          <w:lang w:val="en-US"/>
        </w:rPr>
      </w:pPr>
    </w:p>
    <w:p w14:paraId="5DC5BE92" w14:textId="70961929" w:rsidR="00853BF0" w:rsidRPr="00853BF0" w:rsidRDefault="00BA1E99" w:rsidP="00BA1E99">
      <w:pPr>
        <w:spacing w:after="0" w:line="240" w:lineRule="auto"/>
        <w:ind w:firstLine="0"/>
        <w:rPr>
          <w:rFonts w:cs="Times New Roman"/>
          <w:lang w:val="en-US"/>
        </w:rPr>
      </w:pPr>
      <w:r w:rsidRPr="00853BF0">
        <w:rPr>
          <w:rFonts w:cs="Times New Roman"/>
          <w:lang w:val="en-US"/>
        </w:rPr>
        <w:t>SIMMEL</w:t>
      </w:r>
      <w:r w:rsidR="00853BF0" w:rsidRPr="00853BF0">
        <w:rPr>
          <w:rFonts w:cs="Times New Roman"/>
          <w:lang w:val="en-US"/>
        </w:rPr>
        <w:t xml:space="preserve">, G. (1900). </w:t>
      </w:r>
      <w:r w:rsidR="00853BF0" w:rsidRPr="00D84AFD">
        <w:rPr>
          <w:rFonts w:cs="Times New Roman"/>
          <w:b/>
          <w:bCs/>
          <w:lang w:val="en-US"/>
        </w:rPr>
        <w:t>The Philosophy of Money</w:t>
      </w:r>
      <w:r w:rsidR="00853BF0" w:rsidRPr="00853BF0">
        <w:rPr>
          <w:rFonts w:cs="Times New Roman"/>
          <w:lang w:val="en-US"/>
        </w:rPr>
        <w:t>. Routledge.</w:t>
      </w:r>
    </w:p>
    <w:p w14:paraId="2610DFFC" w14:textId="77777777" w:rsidR="00BA1E99" w:rsidRDefault="00BA1E99" w:rsidP="00BA1E99">
      <w:pPr>
        <w:spacing w:after="0" w:line="240" w:lineRule="auto"/>
        <w:ind w:firstLine="0"/>
        <w:rPr>
          <w:rFonts w:cs="Times New Roman"/>
          <w:lang w:val="en-US"/>
        </w:rPr>
      </w:pPr>
    </w:p>
    <w:p w14:paraId="3774BF7A" w14:textId="60664061" w:rsidR="00D84AFD" w:rsidRDefault="00D84AFD" w:rsidP="00BA1E99">
      <w:pPr>
        <w:pBdr>
          <w:top w:val="nil"/>
          <w:left w:val="nil"/>
          <w:bottom w:val="nil"/>
          <w:right w:val="nil"/>
          <w:between w:val="nil"/>
        </w:pBdr>
        <w:spacing w:after="80" w:line="240" w:lineRule="auto"/>
        <w:ind w:firstLine="0"/>
        <w:rPr>
          <w:lang w:val="en-US"/>
        </w:rPr>
      </w:pPr>
      <w:r w:rsidRPr="00D84AFD">
        <w:rPr>
          <w:lang w:val="en-US"/>
        </w:rPr>
        <w:t xml:space="preserve">SZABO, N. (1997). </w:t>
      </w:r>
      <w:r w:rsidRPr="00D84AFD">
        <w:rPr>
          <w:i/>
          <w:iCs/>
          <w:lang w:val="en-US"/>
        </w:rPr>
        <w:t>Formalizing and Securing Relationships on Public Networks</w:t>
      </w:r>
      <w:r w:rsidRPr="00D84AFD">
        <w:rPr>
          <w:lang w:val="en-US"/>
        </w:rPr>
        <w:t xml:space="preserve">. First Monday. </w:t>
      </w:r>
      <w:hyperlink r:id="rId8" w:history="1">
        <w:r w:rsidRPr="00F423ED">
          <w:rPr>
            <w:rStyle w:val="Hyperlink"/>
            <w:lang w:val="en-US"/>
          </w:rPr>
          <w:t>https://doi.org/10.5210/fm.v2i9.548</w:t>
        </w:r>
      </w:hyperlink>
    </w:p>
    <w:p w14:paraId="180210CA" w14:textId="77777777" w:rsidR="00D84AFD" w:rsidRDefault="00D84AFD" w:rsidP="00BA1E99">
      <w:pPr>
        <w:pBdr>
          <w:top w:val="nil"/>
          <w:left w:val="nil"/>
          <w:bottom w:val="nil"/>
          <w:right w:val="nil"/>
          <w:between w:val="nil"/>
        </w:pBdr>
        <w:spacing w:after="80" w:line="240" w:lineRule="auto"/>
        <w:ind w:firstLine="0"/>
        <w:rPr>
          <w:lang w:val="en-US"/>
        </w:rPr>
      </w:pPr>
    </w:p>
    <w:p w14:paraId="46EDD24D" w14:textId="07287DF4" w:rsidR="00BA1E99" w:rsidRPr="00C23AF0" w:rsidRDefault="00BA1E99" w:rsidP="00BA1E99">
      <w:pPr>
        <w:pBdr>
          <w:top w:val="nil"/>
          <w:left w:val="nil"/>
          <w:bottom w:val="nil"/>
          <w:right w:val="nil"/>
          <w:between w:val="nil"/>
        </w:pBdr>
        <w:spacing w:after="80" w:line="240" w:lineRule="auto"/>
        <w:ind w:firstLine="0"/>
        <w:rPr>
          <w:lang w:val="en-US"/>
        </w:rPr>
      </w:pPr>
      <w:r w:rsidRPr="00BA1E99">
        <w:rPr>
          <w:lang w:val="en-US"/>
        </w:rPr>
        <w:t xml:space="preserve">SWARTZ, Lana. </w:t>
      </w:r>
      <w:r w:rsidRPr="00BA1E99">
        <w:rPr>
          <w:i/>
          <w:lang w:val="en-US"/>
        </w:rPr>
        <w:t xml:space="preserve">Blockchain Dreams: Imagining Techno-Economic Alternatives After Bitcoin. In: </w:t>
      </w:r>
      <w:r w:rsidRPr="00BA1E99">
        <w:rPr>
          <w:lang w:val="en-US"/>
        </w:rPr>
        <w:t>CASTELLS, Manuel et. al.</w:t>
      </w:r>
      <w:r w:rsidRPr="00BA1E99">
        <w:rPr>
          <w:b/>
          <w:lang w:val="en-US"/>
        </w:rPr>
        <w:t xml:space="preserve"> Another Economy is Possible: Culture and Economy in a Time of Crisis.</w:t>
      </w:r>
      <w:r w:rsidRPr="00BA1E99">
        <w:rPr>
          <w:lang w:val="en-US"/>
        </w:rPr>
        <w:t xml:space="preserve"> </w:t>
      </w:r>
      <w:r w:rsidRPr="00C23AF0">
        <w:rPr>
          <w:lang w:val="en-US"/>
        </w:rPr>
        <w:t>Cambridge: Polity Press, 2017.</w:t>
      </w:r>
    </w:p>
    <w:p w14:paraId="3E75C405" w14:textId="77777777" w:rsidR="00BA1E99" w:rsidRDefault="00BA1E99" w:rsidP="00BA1E99">
      <w:pPr>
        <w:spacing w:after="0" w:line="240" w:lineRule="auto"/>
        <w:ind w:firstLine="0"/>
        <w:rPr>
          <w:rFonts w:cs="Times New Roman"/>
          <w:lang w:val="en-US"/>
        </w:rPr>
      </w:pPr>
    </w:p>
    <w:p w14:paraId="062CC8F9" w14:textId="3CB79155" w:rsidR="00853BF0" w:rsidRPr="00FC46FB" w:rsidRDefault="00BA1E99" w:rsidP="00BA1E99">
      <w:pPr>
        <w:spacing w:after="0" w:line="240" w:lineRule="auto"/>
        <w:ind w:firstLine="0"/>
        <w:rPr>
          <w:rFonts w:cs="Times New Roman"/>
          <w:lang w:val="en-US"/>
        </w:rPr>
      </w:pPr>
      <w:r w:rsidRPr="00853BF0">
        <w:rPr>
          <w:rFonts w:cs="Times New Roman"/>
          <w:lang w:val="en-US"/>
        </w:rPr>
        <w:t>TAPSCOTT</w:t>
      </w:r>
      <w:r w:rsidR="00853BF0" w:rsidRPr="00853BF0">
        <w:rPr>
          <w:rFonts w:cs="Times New Roman"/>
          <w:lang w:val="en-US"/>
        </w:rPr>
        <w:t xml:space="preserve">, D., &amp; </w:t>
      </w:r>
      <w:r w:rsidRPr="00853BF0">
        <w:rPr>
          <w:rFonts w:cs="Times New Roman"/>
          <w:lang w:val="en-US"/>
        </w:rPr>
        <w:t>TAPSCOTT</w:t>
      </w:r>
      <w:r w:rsidR="00853BF0" w:rsidRPr="00853BF0">
        <w:rPr>
          <w:rFonts w:cs="Times New Roman"/>
          <w:lang w:val="en-US"/>
        </w:rPr>
        <w:t xml:space="preserve">, A. (2016). Blockchain Revolution: How the Technology Behind Bitcoin Is Changing Money, Business, and the World. </w:t>
      </w:r>
      <w:r w:rsidR="00853BF0" w:rsidRPr="00FC46FB">
        <w:rPr>
          <w:rFonts w:cs="Times New Roman"/>
          <w:lang w:val="en-US"/>
        </w:rPr>
        <w:t>Penguin.</w:t>
      </w:r>
    </w:p>
    <w:p w14:paraId="1EB254DE" w14:textId="77777777" w:rsidR="00BA1E99" w:rsidRDefault="00BA1E99" w:rsidP="00BA1E99">
      <w:pPr>
        <w:spacing w:after="0" w:line="240" w:lineRule="auto"/>
        <w:ind w:firstLine="0"/>
        <w:rPr>
          <w:rFonts w:cs="Times New Roman"/>
          <w:lang w:val="en-US"/>
        </w:rPr>
      </w:pPr>
    </w:p>
    <w:p w14:paraId="138B27B6" w14:textId="694F3508" w:rsidR="003266A7" w:rsidRPr="00853BF0" w:rsidRDefault="00853BF0" w:rsidP="00BA1E99">
      <w:pPr>
        <w:spacing w:after="0" w:line="240" w:lineRule="auto"/>
        <w:ind w:firstLine="0"/>
        <w:rPr>
          <w:rFonts w:cs="Times New Roman"/>
          <w:lang w:val="en-US"/>
        </w:rPr>
      </w:pPr>
      <w:r w:rsidRPr="00853BF0">
        <w:rPr>
          <w:rFonts w:cs="Times New Roman"/>
          <w:lang w:val="en-US"/>
        </w:rPr>
        <w:t>World Economic Forum. (2020). Central Bank Digital Currency Policy‑Maker Toolkit. http://www3.weforum.org/docs/WEF_CBDC_Policymaker_Toolkit.pdf</w:t>
      </w:r>
    </w:p>
    <w:sectPr w:rsidR="003266A7" w:rsidRPr="00853BF0" w:rsidSect="006D076D">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7A48" w14:textId="77777777" w:rsidR="00C6670B" w:rsidRDefault="00C6670B" w:rsidP="00EB4955">
      <w:r>
        <w:separator/>
      </w:r>
    </w:p>
  </w:endnote>
  <w:endnote w:type="continuationSeparator" w:id="0">
    <w:p w14:paraId="440C17BD" w14:textId="77777777" w:rsidR="00C6670B" w:rsidRDefault="00C6670B" w:rsidP="00EB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5BED" w14:textId="77777777" w:rsidR="00C6670B" w:rsidRDefault="00C6670B" w:rsidP="00EB4955">
      <w:r>
        <w:separator/>
      </w:r>
    </w:p>
  </w:footnote>
  <w:footnote w:type="continuationSeparator" w:id="0">
    <w:p w14:paraId="3BD15BF0" w14:textId="77777777" w:rsidR="00C6670B" w:rsidRDefault="00C6670B" w:rsidP="00EB4955">
      <w:r>
        <w:continuationSeparator/>
      </w:r>
    </w:p>
  </w:footnote>
  <w:footnote w:id="1">
    <w:p w14:paraId="42AEA322" w14:textId="18BC0F58" w:rsidR="009E1179" w:rsidRDefault="009E1179">
      <w:pPr>
        <w:pStyle w:val="Textodenotaderodap"/>
      </w:pPr>
      <w:r>
        <w:rPr>
          <w:rStyle w:val="Refdenotaderodap"/>
        </w:rPr>
        <w:footnoteRef/>
      </w:r>
      <w:r>
        <w:t xml:space="preserve"> Utilizaremos Bitcoin com maiúscula para se referir ao Protocolo Bitcoin, e bitcoin em minúscula para se referir às unidades de valor registradas na blockchain do Bitcoin.</w:t>
      </w:r>
    </w:p>
  </w:footnote>
  <w:footnote w:id="2">
    <w:p w14:paraId="38D971D0" w14:textId="05260200" w:rsidR="00266007" w:rsidRDefault="00266007">
      <w:pPr>
        <w:pStyle w:val="Textodenotaderodap"/>
      </w:pPr>
      <w:r>
        <w:rPr>
          <w:rStyle w:val="Refdenotaderodap"/>
        </w:rPr>
        <w:footnoteRef/>
      </w:r>
      <w:r>
        <w:t xml:space="preserve"> A título de exemplo: </w:t>
      </w:r>
      <w:hyperlink r:id="rId1" w:history="1">
        <w:r>
          <w:rPr>
            <w:rStyle w:val="Hyperlink"/>
          </w:rPr>
          <w:t>Negocie Token de Precatório (MBPRK05) Na Maior Plataforma da América Latina! (mercadobitcoin.com.br)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51A"/>
    <w:multiLevelType w:val="multilevel"/>
    <w:tmpl w:val="802A3AD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7197757"/>
    <w:multiLevelType w:val="hybridMultilevel"/>
    <w:tmpl w:val="60EE0F6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65658D7"/>
    <w:multiLevelType w:val="hybridMultilevel"/>
    <w:tmpl w:val="17A67B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6433514"/>
    <w:multiLevelType w:val="hybridMultilevel"/>
    <w:tmpl w:val="5078A0E6"/>
    <w:lvl w:ilvl="0" w:tplc="1116DE6C">
      <w:start w:val="1"/>
      <w:numFmt w:val="decimal"/>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99485496">
    <w:abstractNumId w:val="2"/>
  </w:num>
  <w:num w:numId="2" w16cid:durableId="1415934653">
    <w:abstractNumId w:val="1"/>
  </w:num>
  <w:num w:numId="3" w16cid:durableId="788816888">
    <w:abstractNumId w:val="3"/>
  </w:num>
  <w:num w:numId="4" w16cid:durableId="530534669">
    <w:abstractNumId w:val="0"/>
  </w:num>
  <w:num w:numId="5" w16cid:durableId="154640372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18"/>
    <w:rsid w:val="00031644"/>
    <w:rsid w:val="00037A52"/>
    <w:rsid w:val="0004023B"/>
    <w:rsid w:val="00042501"/>
    <w:rsid w:val="0006158C"/>
    <w:rsid w:val="00072F20"/>
    <w:rsid w:val="00075553"/>
    <w:rsid w:val="000828BA"/>
    <w:rsid w:val="00084650"/>
    <w:rsid w:val="000863B6"/>
    <w:rsid w:val="00093724"/>
    <w:rsid w:val="000A4470"/>
    <w:rsid w:val="000B007B"/>
    <w:rsid w:val="000B7811"/>
    <w:rsid w:val="000F0CAA"/>
    <w:rsid w:val="00124415"/>
    <w:rsid w:val="00134A91"/>
    <w:rsid w:val="001572A8"/>
    <w:rsid w:val="00161C94"/>
    <w:rsid w:val="00162FDE"/>
    <w:rsid w:val="00182E7C"/>
    <w:rsid w:val="0019086D"/>
    <w:rsid w:val="001C5B85"/>
    <w:rsid w:val="001D3772"/>
    <w:rsid w:val="001F1749"/>
    <w:rsid w:val="00232E8A"/>
    <w:rsid w:val="00236211"/>
    <w:rsid w:val="00262DCC"/>
    <w:rsid w:val="0026308F"/>
    <w:rsid w:val="00265BBB"/>
    <w:rsid w:val="00266007"/>
    <w:rsid w:val="002811B5"/>
    <w:rsid w:val="002B227D"/>
    <w:rsid w:val="002B2364"/>
    <w:rsid w:val="002B58D2"/>
    <w:rsid w:val="002D19B2"/>
    <w:rsid w:val="002D3C90"/>
    <w:rsid w:val="002F068C"/>
    <w:rsid w:val="002F3DE2"/>
    <w:rsid w:val="00303EB7"/>
    <w:rsid w:val="00311DDA"/>
    <w:rsid w:val="00314175"/>
    <w:rsid w:val="0032613D"/>
    <w:rsid w:val="003266A7"/>
    <w:rsid w:val="003417C7"/>
    <w:rsid w:val="00342B1F"/>
    <w:rsid w:val="00343AA7"/>
    <w:rsid w:val="003669C1"/>
    <w:rsid w:val="003675C4"/>
    <w:rsid w:val="00372EFB"/>
    <w:rsid w:val="003856CF"/>
    <w:rsid w:val="00393495"/>
    <w:rsid w:val="003A3DF6"/>
    <w:rsid w:val="003B7D90"/>
    <w:rsid w:val="003D2A42"/>
    <w:rsid w:val="003F15BA"/>
    <w:rsid w:val="004218FE"/>
    <w:rsid w:val="00440C79"/>
    <w:rsid w:val="00453BCE"/>
    <w:rsid w:val="00456B28"/>
    <w:rsid w:val="00457717"/>
    <w:rsid w:val="00463EEF"/>
    <w:rsid w:val="00483B7C"/>
    <w:rsid w:val="004842F7"/>
    <w:rsid w:val="004A12C9"/>
    <w:rsid w:val="004B4236"/>
    <w:rsid w:val="004B6A98"/>
    <w:rsid w:val="004C2D44"/>
    <w:rsid w:val="004C64FE"/>
    <w:rsid w:val="004D7E8F"/>
    <w:rsid w:val="004F066B"/>
    <w:rsid w:val="004F0A34"/>
    <w:rsid w:val="00512D91"/>
    <w:rsid w:val="0051331C"/>
    <w:rsid w:val="005135C7"/>
    <w:rsid w:val="005205E4"/>
    <w:rsid w:val="00525361"/>
    <w:rsid w:val="00543332"/>
    <w:rsid w:val="0055371C"/>
    <w:rsid w:val="0055423A"/>
    <w:rsid w:val="00561CBC"/>
    <w:rsid w:val="005672F1"/>
    <w:rsid w:val="00571A6D"/>
    <w:rsid w:val="00571E71"/>
    <w:rsid w:val="00587B8F"/>
    <w:rsid w:val="00592169"/>
    <w:rsid w:val="005C1873"/>
    <w:rsid w:val="005D06E7"/>
    <w:rsid w:val="00603907"/>
    <w:rsid w:val="00604150"/>
    <w:rsid w:val="00611216"/>
    <w:rsid w:val="00616495"/>
    <w:rsid w:val="00623263"/>
    <w:rsid w:val="00652F34"/>
    <w:rsid w:val="0066340D"/>
    <w:rsid w:val="00683A19"/>
    <w:rsid w:val="00693DD7"/>
    <w:rsid w:val="006A468E"/>
    <w:rsid w:val="006A6DA4"/>
    <w:rsid w:val="006C7866"/>
    <w:rsid w:val="006D076D"/>
    <w:rsid w:val="006E14D9"/>
    <w:rsid w:val="006F5E73"/>
    <w:rsid w:val="00705F1A"/>
    <w:rsid w:val="007068A2"/>
    <w:rsid w:val="00710014"/>
    <w:rsid w:val="00710A57"/>
    <w:rsid w:val="00755E36"/>
    <w:rsid w:val="0079310C"/>
    <w:rsid w:val="007A05D7"/>
    <w:rsid w:val="007B0FE0"/>
    <w:rsid w:val="007B61AB"/>
    <w:rsid w:val="007C2E9B"/>
    <w:rsid w:val="007D3CE2"/>
    <w:rsid w:val="00807C12"/>
    <w:rsid w:val="00827201"/>
    <w:rsid w:val="00853BF0"/>
    <w:rsid w:val="0086320C"/>
    <w:rsid w:val="0088151C"/>
    <w:rsid w:val="008A0768"/>
    <w:rsid w:val="008B64FC"/>
    <w:rsid w:val="008D0226"/>
    <w:rsid w:val="008E1BD1"/>
    <w:rsid w:val="008F1038"/>
    <w:rsid w:val="008F237F"/>
    <w:rsid w:val="008F4F51"/>
    <w:rsid w:val="00904617"/>
    <w:rsid w:val="00921488"/>
    <w:rsid w:val="0092265E"/>
    <w:rsid w:val="0092467E"/>
    <w:rsid w:val="00930695"/>
    <w:rsid w:val="009401B0"/>
    <w:rsid w:val="00952F0F"/>
    <w:rsid w:val="0099479E"/>
    <w:rsid w:val="009A0F79"/>
    <w:rsid w:val="009B1EDF"/>
    <w:rsid w:val="009B5B0B"/>
    <w:rsid w:val="009C2A93"/>
    <w:rsid w:val="009D701A"/>
    <w:rsid w:val="009E1179"/>
    <w:rsid w:val="009F229D"/>
    <w:rsid w:val="009F4618"/>
    <w:rsid w:val="009F785D"/>
    <w:rsid w:val="00A022EB"/>
    <w:rsid w:val="00A06502"/>
    <w:rsid w:val="00A31318"/>
    <w:rsid w:val="00A41FC8"/>
    <w:rsid w:val="00A5391E"/>
    <w:rsid w:val="00A858E9"/>
    <w:rsid w:val="00A91A97"/>
    <w:rsid w:val="00A95D53"/>
    <w:rsid w:val="00AB0CAC"/>
    <w:rsid w:val="00AE372E"/>
    <w:rsid w:val="00AE659B"/>
    <w:rsid w:val="00AF3B0C"/>
    <w:rsid w:val="00B01E47"/>
    <w:rsid w:val="00B03252"/>
    <w:rsid w:val="00B05379"/>
    <w:rsid w:val="00B379B5"/>
    <w:rsid w:val="00B54C2F"/>
    <w:rsid w:val="00B6416B"/>
    <w:rsid w:val="00B7135B"/>
    <w:rsid w:val="00B71E55"/>
    <w:rsid w:val="00B74B7D"/>
    <w:rsid w:val="00B86FAB"/>
    <w:rsid w:val="00B9335C"/>
    <w:rsid w:val="00B9678D"/>
    <w:rsid w:val="00BA06C2"/>
    <w:rsid w:val="00BA1E99"/>
    <w:rsid w:val="00BA5295"/>
    <w:rsid w:val="00BB1932"/>
    <w:rsid w:val="00BB2E04"/>
    <w:rsid w:val="00BB69D5"/>
    <w:rsid w:val="00BC52AA"/>
    <w:rsid w:val="00BF4EB5"/>
    <w:rsid w:val="00C1617F"/>
    <w:rsid w:val="00C20C71"/>
    <w:rsid w:val="00C23AF0"/>
    <w:rsid w:val="00C61FF8"/>
    <w:rsid w:val="00C6670B"/>
    <w:rsid w:val="00C70C3B"/>
    <w:rsid w:val="00C94547"/>
    <w:rsid w:val="00CC79D6"/>
    <w:rsid w:val="00D01638"/>
    <w:rsid w:val="00D01A3A"/>
    <w:rsid w:val="00D07E51"/>
    <w:rsid w:val="00D25829"/>
    <w:rsid w:val="00D27932"/>
    <w:rsid w:val="00D442E7"/>
    <w:rsid w:val="00D5569C"/>
    <w:rsid w:val="00D61541"/>
    <w:rsid w:val="00D621EC"/>
    <w:rsid w:val="00D74002"/>
    <w:rsid w:val="00D76527"/>
    <w:rsid w:val="00D84AFD"/>
    <w:rsid w:val="00D876C4"/>
    <w:rsid w:val="00D935F5"/>
    <w:rsid w:val="00DC4FEE"/>
    <w:rsid w:val="00DD0EFF"/>
    <w:rsid w:val="00DF53B8"/>
    <w:rsid w:val="00DF5A04"/>
    <w:rsid w:val="00DF7BDE"/>
    <w:rsid w:val="00E0650D"/>
    <w:rsid w:val="00E1238F"/>
    <w:rsid w:val="00E17AF3"/>
    <w:rsid w:val="00E30BAD"/>
    <w:rsid w:val="00E34249"/>
    <w:rsid w:val="00E35A44"/>
    <w:rsid w:val="00E4360E"/>
    <w:rsid w:val="00E512DC"/>
    <w:rsid w:val="00E532CC"/>
    <w:rsid w:val="00E61B1A"/>
    <w:rsid w:val="00E90D1C"/>
    <w:rsid w:val="00E9257B"/>
    <w:rsid w:val="00EA404E"/>
    <w:rsid w:val="00EB4955"/>
    <w:rsid w:val="00EC0A53"/>
    <w:rsid w:val="00EC4CB9"/>
    <w:rsid w:val="00ED5CF1"/>
    <w:rsid w:val="00ED6A81"/>
    <w:rsid w:val="00EE7E49"/>
    <w:rsid w:val="00EF0595"/>
    <w:rsid w:val="00EF0CFE"/>
    <w:rsid w:val="00EF7613"/>
    <w:rsid w:val="00F0394A"/>
    <w:rsid w:val="00F250E1"/>
    <w:rsid w:val="00F312D0"/>
    <w:rsid w:val="00F357F6"/>
    <w:rsid w:val="00F42559"/>
    <w:rsid w:val="00F42C41"/>
    <w:rsid w:val="00F462D7"/>
    <w:rsid w:val="00F475CE"/>
    <w:rsid w:val="00F54EF5"/>
    <w:rsid w:val="00F5543F"/>
    <w:rsid w:val="00F705D3"/>
    <w:rsid w:val="00F75A2D"/>
    <w:rsid w:val="00F841FF"/>
    <w:rsid w:val="00F90619"/>
    <w:rsid w:val="00F96A3E"/>
    <w:rsid w:val="00FA2920"/>
    <w:rsid w:val="00FB2BA8"/>
    <w:rsid w:val="00FB36BA"/>
    <w:rsid w:val="00FC0913"/>
    <w:rsid w:val="00FC46FB"/>
    <w:rsid w:val="00FD7A9B"/>
    <w:rsid w:val="00FE74B6"/>
    <w:rsid w:val="00FF108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0EE0A9"/>
  <w15:docId w15:val="{94E9207F-B1CC-524E-BDE3-E2DEACD7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76D"/>
    <w:pPr>
      <w:spacing w:line="360" w:lineRule="auto"/>
      <w:ind w:firstLine="1134"/>
    </w:pPr>
    <w:rPr>
      <w:rFonts w:ascii="Times New Roman" w:hAnsi="Times New Roman"/>
      <w:sz w:val="24"/>
      <w:szCs w:val="24"/>
      <w:lang w:val="pt-BR"/>
    </w:rPr>
  </w:style>
  <w:style w:type="paragraph" w:styleId="Ttulo1">
    <w:name w:val="heading 1"/>
    <w:basedOn w:val="Normal"/>
    <w:next w:val="Normal"/>
    <w:link w:val="Ttulo1Char"/>
    <w:uiPriority w:val="9"/>
    <w:qFormat/>
    <w:rsid w:val="006D076D"/>
    <w:pPr>
      <w:spacing w:before="300" w:after="40"/>
      <w:jc w:val="left"/>
      <w:outlineLvl w:val="0"/>
    </w:pPr>
    <w:rPr>
      <w:b/>
      <w:bCs/>
      <w:spacing w:val="5"/>
      <w:sz w:val="28"/>
      <w:szCs w:val="28"/>
    </w:rPr>
  </w:style>
  <w:style w:type="paragraph" w:styleId="Ttulo2">
    <w:name w:val="heading 2"/>
    <w:basedOn w:val="Normal"/>
    <w:next w:val="Normal"/>
    <w:link w:val="Ttulo2Char"/>
    <w:uiPriority w:val="9"/>
    <w:unhideWhenUsed/>
    <w:qFormat/>
    <w:rsid w:val="006D076D"/>
    <w:pPr>
      <w:numPr>
        <w:numId w:val="3"/>
      </w:numPr>
      <w:spacing w:before="240" w:after="80"/>
      <w:ind w:left="714" w:hanging="357"/>
      <w:outlineLvl w:val="1"/>
    </w:pPr>
    <w:rPr>
      <w:b/>
      <w:bCs/>
      <w:spacing w:val="5"/>
    </w:rPr>
  </w:style>
  <w:style w:type="paragraph" w:styleId="Ttulo3">
    <w:name w:val="heading 3"/>
    <w:basedOn w:val="Normal"/>
    <w:next w:val="Normal"/>
    <w:link w:val="Ttulo3Char"/>
    <w:uiPriority w:val="9"/>
    <w:semiHidden/>
    <w:unhideWhenUsed/>
    <w:qFormat/>
    <w:rsid w:val="00D76527"/>
    <w:pPr>
      <w:spacing w:after="0"/>
      <w:jc w:val="left"/>
      <w:outlineLvl w:val="2"/>
    </w:pPr>
    <w:rPr>
      <w:smallCaps/>
      <w:spacing w:val="5"/>
    </w:rPr>
  </w:style>
  <w:style w:type="paragraph" w:styleId="Ttulo4">
    <w:name w:val="heading 4"/>
    <w:basedOn w:val="Normal"/>
    <w:next w:val="Normal"/>
    <w:link w:val="Ttulo4Char"/>
    <w:uiPriority w:val="9"/>
    <w:semiHidden/>
    <w:unhideWhenUsed/>
    <w:qFormat/>
    <w:rsid w:val="00D76527"/>
    <w:pPr>
      <w:spacing w:before="240" w:after="0"/>
      <w:jc w:val="left"/>
      <w:outlineLvl w:val="3"/>
    </w:pPr>
    <w:rPr>
      <w:smallCaps/>
      <w:spacing w:val="10"/>
      <w:sz w:val="22"/>
      <w:szCs w:val="22"/>
    </w:rPr>
  </w:style>
  <w:style w:type="paragraph" w:styleId="Ttulo5">
    <w:name w:val="heading 5"/>
    <w:basedOn w:val="Normal"/>
    <w:next w:val="Normal"/>
    <w:link w:val="Ttulo5Char"/>
    <w:uiPriority w:val="9"/>
    <w:semiHidden/>
    <w:unhideWhenUsed/>
    <w:qFormat/>
    <w:rsid w:val="00D76527"/>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har"/>
    <w:uiPriority w:val="9"/>
    <w:semiHidden/>
    <w:unhideWhenUsed/>
    <w:qFormat/>
    <w:rsid w:val="00D76527"/>
    <w:pPr>
      <w:spacing w:after="0"/>
      <w:jc w:val="left"/>
      <w:outlineLvl w:val="5"/>
    </w:pPr>
    <w:rPr>
      <w:smallCaps/>
      <w:color w:val="C0504D" w:themeColor="accent2"/>
      <w:spacing w:val="5"/>
      <w:sz w:val="22"/>
    </w:rPr>
  </w:style>
  <w:style w:type="paragraph" w:styleId="Ttulo7">
    <w:name w:val="heading 7"/>
    <w:basedOn w:val="Normal"/>
    <w:next w:val="Normal"/>
    <w:link w:val="Ttulo7Char"/>
    <w:uiPriority w:val="9"/>
    <w:semiHidden/>
    <w:unhideWhenUsed/>
    <w:qFormat/>
    <w:rsid w:val="00D76527"/>
    <w:pPr>
      <w:spacing w:after="0"/>
      <w:jc w:val="left"/>
      <w:outlineLvl w:val="6"/>
    </w:pPr>
    <w:rPr>
      <w:b/>
      <w:smallCaps/>
      <w:color w:val="C0504D" w:themeColor="accent2"/>
      <w:spacing w:val="10"/>
    </w:rPr>
  </w:style>
  <w:style w:type="paragraph" w:styleId="Ttulo8">
    <w:name w:val="heading 8"/>
    <w:basedOn w:val="Normal"/>
    <w:next w:val="Normal"/>
    <w:link w:val="Ttulo8Char"/>
    <w:uiPriority w:val="9"/>
    <w:semiHidden/>
    <w:unhideWhenUsed/>
    <w:qFormat/>
    <w:rsid w:val="00D76527"/>
    <w:pPr>
      <w:spacing w:after="0"/>
      <w:jc w:val="left"/>
      <w:outlineLvl w:val="7"/>
    </w:pPr>
    <w:rPr>
      <w:b/>
      <w:i/>
      <w:smallCaps/>
      <w:color w:val="943634" w:themeColor="accent2" w:themeShade="BF"/>
    </w:rPr>
  </w:style>
  <w:style w:type="paragraph" w:styleId="Ttulo9">
    <w:name w:val="heading 9"/>
    <w:basedOn w:val="Normal"/>
    <w:next w:val="Normal"/>
    <w:link w:val="Ttulo9Char"/>
    <w:uiPriority w:val="9"/>
    <w:semiHidden/>
    <w:unhideWhenUsed/>
    <w:qFormat/>
    <w:rsid w:val="00D76527"/>
    <w:pPr>
      <w:spacing w:after="0"/>
      <w:jc w:val="left"/>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76527"/>
    <w:pPr>
      <w:ind w:left="720"/>
      <w:contextualSpacing/>
    </w:pPr>
  </w:style>
  <w:style w:type="character" w:customStyle="1" w:styleId="Ttulo1Char">
    <w:name w:val="Título 1 Char"/>
    <w:basedOn w:val="Fontepargpadro"/>
    <w:link w:val="Ttulo1"/>
    <w:uiPriority w:val="9"/>
    <w:rsid w:val="006D076D"/>
    <w:rPr>
      <w:rFonts w:ascii="Times New Roman" w:hAnsi="Times New Roman"/>
      <w:b/>
      <w:bCs/>
      <w:spacing w:val="5"/>
      <w:sz w:val="28"/>
      <w:szCs w:val="28"/>
      <w:lang w:val="pt-BR"/>
    </w:rPr>
  </w:style>
  <w:style w:type="character" w:customStyle="1" w:styleId="Ttulo2Char">
    <w:name w:val="Título 2 Char"/>
    <w:basedOn w:val="Fontepargpadro"/>
    <w:link w:val="Ttulo2"/>
    <w:uiPriority w:val="9"/>
    <w:rsid w:val="006D076D"/>
    <w:rPr>
      <w:rFonts w:ascii="Times New Roman" w:hAnsi="Times New Roman"/>
      <w:b/>
      <w:bCs/>
      <w:spacing w:val="5"/>
      <w:sz w:val="24"/>
      <w:szCs w:val="24"/>
      <w:lang w:val="pt-BR"/>
    </w:rPr>
  </w:style>
  <w:style w:type="character" w:customStyle="1" w:styleId="Ttulo3Char">
    <w:name w:val="Título 3 Char"/>
    <w:basedOn w:val="Fontepargpadro"/>
    <w:link w:val="Ttulo3"/>
    <w:uiPriority w:val="9"/>
    <w:semiHidden/>
    <w:rsid w:val="00D76527"/>
    <w:rPr>
      <w:smallCaps/>
      <w:spacing w:val="5"/>
      <w:sz w:val="24"/>
      <w:szCs w:val="24"/>
    </w:rPr>
  </w:style>
  <w:style w:type="character" w:customStyle="1" w:styleId="Ttulo4Char">
    <w:name w:val="Título 4 Char"/>
    <w:basedOn w:val="Fontepargpadro"/>
    <w:link w:val="Ttulo4"/>
    <w:uiPriority w:val="9"/>
    <w:semiHidden/>
    <w:rsid w:val="00D76527"/>
    <w:rPr>
      <w:smallCaps/>
      <w:spacing w:val="10"/>
      <w:sz w:val="22"/>
      <w:szCs w:val="22"/>
    </w:rPr>
  </w:style>
  <w:style w:type="character" w:customStyle="1" w:styleId="Ttulo5Char">
    <w:name w:val="Título 5 Char"/>
    <w:basedOn w:val="Fontepargpadro"/>
    <w:link w:val="Ttulo5"/>
    <w:uiPriority w:val="9"/>
    <w:semiHidden/>
    <w:rsid w:val="00D76527"/>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D76527"/>
    <w:rPr>
      <w:smallCaps/>
      <w:color w:val="C0504D" w:themeColor="accent2"/>
      <w:spacing w:val="5"/>
      <w:sz w:val="22"/>
    </w:rPr>
  </w:style>
  <w:style w:type="character" w:customStyle="1" w:styleId="Ttulo7Char">
    <w:name w:val="Título 7 Char"/>
    <w:basedOn w:val="Fontepargpadro"/>
    <w:link w:val="Ttulo7"/>
    <w:uiPriority w:val="9"/>
    <w:semiHidden/>
    <w:rsid w:val="00D76527"/>
    <w:rPr>
      <w:b/>
      <w:smallCaps/>
      <w:color w:val="C0504D" w:themeColor="accent2"/>
      <w:spacing w:val="10"/>
    </w:rPr>
  </w:style>
  <w:style w:type="character" w:customStyle="1" w:styleId="Ttulo8Char">
    <w:name w:val="Título 8 Char"/>
    <w:basedOn w:val="Fontepargpadro"/>
    <w:link w:val="Ttulo8"/>
    <w:uiPriority w:val="9"/>
    <w:semiHidden/>
    <w:rsid w:val="00D76527"/>
    <w:rPr>
      <w:b/>
      <w:i/>
      <w:smallCaps/>
      <w:color w:val="943634" w:themeColor="accent2" w:themeShade="BF"/>
    </w:rPr>
  </w:style>
  <w:style w:type="character" w:customStyle="1" w:styleId="Ttulo9Char">
    <w:name w:val="Título 9 Char"/>
    <w:basedOn w:val="Fontepargpadro"/>
    <w:link w:val="Ttulo9"/>
    <w:uiPriority w:val="9"/>
    <w:semiHidden/>
    <w:rsid w:val="00D76527"/>
    <w:rPr>
      <w:b/>
      <w:i/>
      <w:smallCaps/>
      <w:color w:val="622423" w:themeColor="accent2" w:themeShade="7F"/>
    </w:rPr>
  </w:style>
  <w:style w:type="paragraph" w:styleId="Legenda">
    <w:name w:val="caption"/>
    <w:basedOn w:val="Normal"/>
    <w:next w:val="Normal"/>
    <w:uiPriority w:val="35"/>
    <w:semiHidden/>
    <w:unhideWhenUsed/>
    <w:qFormat/>
    <w:rsid w:val="00D76527"/>
    <w:rPr>
      <w:b/>
      <w:bCs/>
      <w:caps/>
      <w:sz w:val="16"/>
      <w:szCs w:val="18"/>
    </w:rPr>
  </w:style>
  <w:style w:type="paragraph" w:styleId="Ttulo">
    <w:name w:val="Title"/>
    <w:basedOn w:val="Normal"/>
    <w:next w:val="Normal"/>
    <w:link w:val="TtuloChar"/>
    <w:uiPriority w:val="10"/>
    <w:qFormat/>
    <w:rsid w:val="00D76527"/>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D76527"/>
    <w:rPr>
      <w:smallCaps/>
      <w:sz w:val="48"/>
      <w:szCs w:val="48"/>
    </w:rPr>
  </w:style>
  <w:style w:type="paragraph" w:styleId="Subttulo">
    <w:name w:val="Subtitle"/>
    <w:basedOn w:val="Normal"/>
    <w:next w:val="Normal"/>
    <w:link w:val="SubttuloChar"/>
    <w:uiPriority w:val="11"/>
    <w:qFormat/>
    <w:rsid w:val="00D76527"/>
    <w:pPr>
      <w:spacing w:after="720" w:line="240" w:lineRule="auto"/>
      <w:jc w:val="right"/>
    </w:pPr>
    <w:rPr>
      <w:rFonts w:asciiTheme="majorHAnsi" w:eastAsiaTheme="majorEastAsia" w:hAnsiTheme="majorHAnsi" w:cstheme="majorBidi"/>
      <w:szCs w:val="22"/>
    </w:rPr>
  </w:style>
  <w:style w:type="character" w:customStyle="1" w:styleId="SubttuloChar">
    <w:name w:val="Subtítulo Char"/>
    <w:basedOn w:val="Fontepargpadro"/>
    <w:link w:val="Subttulo"/>
    <w:uiPriority w:val="11"/>
    <w:rsid w:val="00D76527"/>
    <w:rPr>
      <w:rFonts w:asciiTheme="majorHAnsi" w:eastAsiaTheme="majorEastAsia" w:hAnsiTheme="majorHAnsi" w:cstheme="majorBidi"/>
      <w:szCs w:val="22"/>
    </w:rPr>
  </w:style>
  <w:style w:type="character" w:styleId="Forte">
    <w:name w:val="Strong"/>
    <w:uiPriority w:val="22"/>
    <w:qFormat/>
    <w:rsid w:val="00D76527"/>
    <w:rPr>
      <w:b/>
      <w:color w:val="C0504D" w:themeColor="accent2"/>
    </w:rPr>
  </w:style>
  <w:style w:type="character" w:styleId="nfase">
    <w:name w:val="Emphasis"/>
    <w:uiPriority w:val="20"/>
    <w:qFormat/>
    <w:rsid w:val="00D76527"/>
    <w:rPr>
      <w:b/>
      <w:i/>
      <w:spacing w:val="10"/>
    </w:rPr>
  </w:style>
  <w:style w:type="paragraph" w:styleId="SemEspaamento">
    <w:name w:val="No Spacing"/>
    <w:basedOn w:val="Normal"/>
    <w:link w:val="SemEspaamentoChar"/>
    <w:uiPriority w:val="1"/>
    <w:qFormat/>
    <w:rsid w:val="00D76527"/>
    <w:pPr>
      <w:spacing w:after="0" w:line="240" w:lineRule="auto"/>
    </w:pPr>
  </w:style>
  <w:style w:type="character" w:customStyle="1" w:styleId="SemEspaamentoChar">
    <w:name w:val="Sem Espaçamento Char"/>
    <w:basedOn w:val="Fontepargpadro"/>
    <w:link w:val="SemEspaamento"/>
    <w:uiPriority w:val="1"/>
    <w:rsid w:val="00D76527"/>
  </w:style>
  <w:style w:type="paragraph" w:styleId="Citao">
    <w:name w:val="Quote"/>
    <w:basedOn w:val="Normal"/>
    <w:next w:val="Normal"/>
    <w:link w:val="CitaoChar"/>
    <w:uiPriority w:val="29"/>
    <w:qFormat/>
    <w:rsid w:val="006D076D"/>
    <w:pPr>
      <w:ind w:left="2268" w:firstLine="0"/>
    </w:pPr>
    <w:rPr>
      <w:sz w:val="20"/>
      <w:szCs w:val="20"/>
    </w:rPr>
  </w:style>
  <w:style w:type="character" w:customStyle="1" w:styleId="CitaoChar">
    <w:name w:val="Citação Char"/>
    <w:basedOn w:val="Fontepargpadro"/>
    <w:link w:val="Citao"/>
    <w:uiPriority w:val="29"/>
    <w:rsid w:val="006D076D"/>
    <w:rPr>
      <w:rFonts w:ascii="Times New Roman" w:hAnsi="Times New Roman"/>
      <w:lang w:val="pt-BR"/>
    </w:rPr>
  </w:style>
  <w:style w:type="paragraph" w:styleId="CitaoIntensa">
    <w:name w:val="Intense Quote"/>
    <w:basedOn w:val="Normal"/>
    <w:next w:val="Normal"/>
    <w:link w:val="CitaoIntensaChar"/>
    <w:uiPriority w:val="30"/>
    <w:qFormat/>
    <w:rsid w:val="00D7652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D76527"/>
    <w:rPr>
      <w:b/>
      <w:i/>
      <w:color w:val="FFFFFF" w:themeColor="background1"/>
      <w:shd w:val="clear" w:color="auto" w:fill="C0504D" w:themeFill="accent2"/>
    </w:rPr>
  </w:style>
  <w:style w:type="character" w:styleId="nfaseSutil">
    <w:name w:val="Subtle Emphasis"/>
    <w:uiPriority w:val="19"/>
    <w:qFormat/>
    <w:rsid w:val="00D76527"/>
    <w:rPr>
      <w:i/>
    </w:rPr>
  </w:style>
  <w:style w:type="character" w:styleId="nfaseIntensa">
    <w:name w:val="Intense Emphasis"/>
    <w:uiPriority w:val="21"/>
    <w:qFormat/>
    <w:rsid w:val="00D76527"/>
    <w:rPr>
      <w:b/>
      <w:i/>
      <w:color w:val="C0504D" w:themeColor="accent2"/>
      <w:spacing w:val="10"/>
    </w:rPr>
  </w:style>
  <w:style w:type="character" w:styleId="RefernciaSutil">
    <w:name w:val="Subtle Reference"/>
    <w:uiPriority w:val="31"/>
    <w:qFormat/>
    <w:rsid w:val="00D76527"/>
    <w:rPr>
      <w:b/>
    </w:rPr>
  </w:style>
  <w:style w:type="character" w:styleId="RefernciaIntensa">
    <w:name w:val="Intense Reference"/>
    <w:uiPriority w:val="32"/>
    <w:qFormat/>
    <w:rsid w:val="00D76527"/>
    <w:rPr>
      <w:b/>
      <w:bCs/>
      <w:smallCaps/>
      <w:spacing w:val="5"/>
      <w:sz w:val="22"/>
      <w:szCs w:val="22"/>
      <w:u w:val="single"/>
    </w:rPr>
  </w:style>
  <w:style w:type="character" w:styleId="TtulodoLivro">
    <w:name w:val="Book Title"/>
    <w:uiPriority w:val="33"/>
    <w:qFormat/>
    <w:rsid w:val="00D76527"/>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D76527"/>
    <w:pPr>
      <w:outlineLvl w:val="9"/>
    </w:pPr>
  </w:style>
  <w:style w:type="paragraph" w:styleId="Textodebalo">
    <w:name w:val="Balloon Text"/>
    <w:basedOn w:val="Normal"/>
    <w:link w:val="TextodebaloChar"/>
    <w:uiPriority w:val="99"/>
    <w:semiHidden/>
    <w:unhideWhenUsed/>
    <w:rsid w:val="00FB2B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2BA8"/>
    <w:rPr>
      <w:rFonts w:ascii="Tahoma" w:hAnsi="Tahoma" w:cs="Tahoma"/>
      <w:sz w:val="16"/>
      <w:szCs w:val="16"/>
    </w:rPr>
  </w:style>
  <w:style w:type="paragraph" w:styleId="Textodenotaderodap">
    <w:name w:val="footnote text"/>
    <w:basedOn w:val="Normal"/>
    <w:link w:val="TextodenotaderodapChar"/>
    <w:uiPriority w:val="99"/>
    <w:unhideWhenUsed/>
    <w:rsid w:val="00EB4955"/>
    <w:pPr>
      <w:spacing w:after="0" w:line="240" w:lineRule="auto"/>
      <w:ind w:firstLine="0"/>
    </w:pPr>
    <w:rPr>
      <w:sz w:val="20"/>
      <w:szCs w:val="20"/>
    </w:rPr>
  </w:style>
  <w:style w:type="character" w:customStyle="1" w:styleId="TextodenotaderodapChar">
    <w:name w:val="Texto de nota de rodapé Char"/>
    <w:basedOn w:val="Fontepargpadro"/>
    <w:link w:val="Textodenotaderodap"/>
    <w:uiPriority w:val="99"/>
    <w:rsid w:val="00EB4955"/>
    <w:rPr>
      <w:lang w:val="pt-BR"/>
    </w:rPr>
  </w:style>
  <w:style w:type="character" w:styleId="Refdenotaderodap">
    <w:name w:val="footnote reference"/>
    <w:basedOn w:val="Fontepargpadro"/>
    <w:uiPriority w:val="99"/>
    <w:semiHidden/>
    <w:unhideWhenUsed/>
    <w:rsid w:val="00A31318"/>
    <w:rPr>
      <w:vertAlign w:val="superscript"/>
    </w:rPr>
  </w:style>
  <w:style w:type="character" w:styleId="Hyperlink">
    <w:name w:val="Hyperlink"/>
    <w:basedOn w:val="Fontepargpadro"/>
    <w:uiPriority w:val="99"/>
    <w:unhideWhenUsed/>
    <w:rsid w:val="00EF7613"/>
    <w:rPr>
      <w:color w:val="0000FF" w:themeColor="hyperlink"/>
      <w:u w:val="single"/>
    </w:rPr>
  </w:style>
  <w:style w:type="paragraph" w:styleId="Bibliografia">
    <w:name w:val="Bibliography"/>
    <w:basedOn w:val="Normal"/>
    <w:next w:val="Normal"/>
    <w:uiPriority w:val="37"/>
    <w:unhideWhenUsed/>
    <w:rsid w:val="000828BA"/>
  </w:style>
  <w:style w:type="character" w:styleId="MenoPendente">
    <w:name w:val="Unresolved Mention"/>
    <w:basedOn w:val="Fontepargpadro"/>
    <w:uiPriority w:val="99"/>
    <w:semiHidden/>
    <w:unhideWhenUsed/>
    <w:rsid w:val="00D84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726">
      <w:bodyDiv w:val="1"/>
      <w:marLeft w:val="0"/>
      <w:marRight w:val="0"/>
      <w:marTop w:val="0"/>
      <w:marBottom w:val="0"/>
      <w:divBdr>
        <w:top w:val="none" w:sz="0" w:space="0" w:color="auto"/>
        <w:left w:val="none" w:sz="0" w:space="0" w:color="auto"/>
        <w:bottom w:val="none" w:sz="0" w:space="0" w:color="auto"/>
        <w:right w:val="none" w:sz="0" w:space="0" w:color="auto"/>
      </w:divBdr>
      <w:divsChild>
        <w:div w:id="1546260638">
          <w:marLeft w:val="0"/>
          <w:marRight w:val="0"/>
          <w:marTop w:val="0"/>
          <w:marBottom w:val="0"/>
          <w:divBdr>
            <w:top w:val="none" w:sz="0" w:space="0" w:color="auto"/>
            <w:left w:val="none" w:sz="0" w:space="0" w:color="auto"/>
            <w:bottom w:val="none" w:sz="0" w:space="0" w:color="auto"/>
            <w:right w:val="none" w:sz="0" w:space="0" w:color="auto"/>
          </w:divBdr>
        </w:div>
      </w:divsChild>
    </w:div>
    <w:div w:id="388460960">
      <w:bodyDiv w:val="1"/>
      <w:marLeft w:val="0"/>
      <w:marRight w:val="0"/>
      <w:marTop w:val="0"/>
      <w:marBottom w:val="0"/>
      <w:divBdr>
        <w:top w:val="none" w:sz="0" w:space="0" w:color="auto"/>
        <w:left w:val="none" w:sz="0" w:space="0" w:color="auto"/>
        <w:bottom w:val="none" w:sz="0" w:space="0" w:color="auto"/>
        <w:right w:val="none" w:sz="0" w:space="0" w:color="auto"/>
      </w:divBdr>
      <w:divsChild>
        <w:div w:id="144856668">
          <w:marLeft w:val="0"/>
          <w:marRight w:val="0"/>
          <w:marTop w:val="0"/>
          <w:marBottom w:val="0"/>
          <w:divBdr>
            <w:top w:val="none" w:sz="0" w:space="0" w:color="auto"/>
            <w:left w:val="none" w:sz="0" w:space="0" w:color="auto"/>
            <w:bottom w:val="none" w:sz="0" w:space="0" w:color="auto"/>
            <w:right w:val="none" w:sz="0" w:space="0" w:color="auto"/>
          </w:divBdr>
        </w:div>
      </w:divsChild>
    </w:div>
    <w:div w:id="404033472">
      <w:bodyDiv w:val="1"/>
      <w:marLeft w:val="0"/>
      <w:marRight w:val="0"/>
      <w:marTop w:val="0"/>
      <w:marBottom w:val="0"/>
      <w:divBdr>
        <w:top w:val="none" w:sz="0" w:space="0" w:color="auto"/>
        <w:left w:val="none" w:sz="0" w:space="0" w:color="auto"/>
        <w:bottom w:val="none" w:sz="0" w:space="0" w:color="auto"/>
        <w:right w:val="none" w:sz="0" w:space="0" w:color="auto"/>
      </w:divBdr>
    </w:div>
    <w:div w:id="420760935">
      <w:bodyDiv w:val="1"/>
      <w:marLeft w:val="0"/>
      <w:marRight w:val="0"/>
      <w:marTop w:val="0"/>
      <w:marBottom w:val="0"/>
      <w:divBdr>
        <w:top w:val="none" w:sz="0" w:space="0" w:color="auto"/>
        <w:left w:val="none" w:sz="0" w:space="0" w:color="auto"/>
        <w:bottom w:val="none" w:sz="0" w:space="0" w:color="auto"/>
        <w:right w:val="none" w:sz="0" w:space="0" w:color="auto"/>
      </w:divBdr>
    </w:div>
    <w:div w:id="658195313">
      <w:bodyDiv w:val="1"/>
      <w:marLeft w:val="0"/>
      <w:marRight w:val="0"/>
      <w:marTop w:val="0"/>
      <w:marBottom w:val="0"/>
      <w:divBdr>
        <w:top w:val="none" w:sz="0" w:space="0" w:color="auto"/>
        <w:left w:val="none" w:sz="0" w:space="0" w:color="auto"/>
        <w:bottom w:val="none" w:sz="0" w:space="0" w:color="auto"/>
        <w:right w:val="none" w:sz="0" w:space="0" w:color="auto"/>
      </w:divBdr>
    </w:div>
    <w:div w:id="983041551">
      <w:bodyDiv w:val="1"/>
      <w:marLeft w:val="0"/>
      <w:marRight w:val="0"/>
      <w:marTop w:val="0"/>
      <w:marBottom w:val="0"/>
      <w:divBdr>
        <w:top w:val="none" w:sz="0" w:space="0" w:color="auto"/>
        <w:left w:val="none" w:sz="0" w:space="0" w:color="auto"/>
        <w:bottom w:val="none" w:sz="0" w:space="0" w:color="auto"/>
        <w:right w:val="none" w:sz="0" w:space="0" w:color="auto"/>
      </w:divBdr>
      <w:divsChild>
        <w:div w:id="984968288">
          <w:marLeft w:val="0"/>
          <w:marRight w:val="0"/>
          <w:marTop w:val="0"/>
          <w:marBottom w:val="0"/>
          <w:divBdr>
            <w:top w:val="none" w:sz="0" w:space="0" w:color="auto"/>
            <w:left w:val="none" w:sz="0" w:space="0" w:color="auto"/>
            <w:bottom w:val="none" w:sz="0" w:space="0" w:color="auto"/>
            <w:right w:val="none" w:sz="0" w:space="0" w:color="auto"/>
          </w:divBdr>
          <w:divsChild>
            <w:div w:id="2117166911">
              <w:marLeft w:val="0"/>
              <w:marRight w:val="0"/>
              <w:marTop w:val="0"/>
              <w:marBottom w:val="0"/>
              <w:divBdr>
                <w:top w:val="none" w:sz="0" w:space="0" w:color="auto"/>
                <w:left w:val="none" w:sz="0" w:space="0" w:color="auto"/>
                <w:bottom w:val="none" w:sz="0" w:space="0" w:color="auto"/>
                <w:right w:val="none" w:sz="0" w:space="0" w:color="auto"/>
              </w:divBdr>
              <w:divsChild>
                <w:div w:id="1036082623">
                  <w:marLeft w:val="0"/>
                  <w:marRight w:val="0"/>
                  <w:marTop w:val="0"/>
                  <w:marBottom w:val="0"/>
                  <w:divBdr>
                    <w:top w:val="none" w:sz="0" w:space="0" w:color="auto"/>
                    <w:left w:val="none" w:sz="0" w:space="0" w:color="auto"/>
                    <w:bottom w:val="none" w:sz="0" w:space="0" w:color="auto"/>
                    <w:right w:val="none" w:sz="0" w:space="0" w:color="auto"/>
                  </w:divBdr>
                  <w:divsChild>
                    <w:div w:id="116875559">
                      <w:marLeft w:val="0"/>
                      <w:marRight w:val="0"/>
                      <w:marTop w:val="0"/>
                      <w:marBottom w:val="0"/>
                      <w:divBdr>
                        <w:top w:val="none" w:sz="0" w:space="0" w:color="auto"/>
                        <w:left w:val="none" w:sz="0" w:space="0" w:color="auto"/>
                        <w:bottom w:val="none" w:sz="0" w:space="0" w:color="auto"/>
                        <w:right w:val="none" w:sz="0" w:space="0" w:color="auto"/>
                      </w:divBdr>
                      <w:divsChild>
                        <w:div w:id="8747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0052">
              <w:marLeft w:val="0"/>
              <w:marRight w:val="0"/>
              <w:marTop w:val="0"/>
              <w:marBottom w:val="0"/>
              <w:divBdr>
                <w:top w:val="none" w:sz="0" w:space="0" w:color="auto"/>
                <w:left w:val="none" w:sz="0" w:space="0" w:color="auto"/>
                <w:bottom w:val="none" w:sz="0" w:space="0" w:color="auto"/>
                <w:right w:val="none" w:sz="0" w:space="0" w:color="auto"/>
              </w:divBdr>
              <w:divsChild>
                <w:div w:id="1080365344">
                  <w:marLeft w:val="0"/>
                  <w:marRight w:val="0"/>
                  <w:marTop w:val="0"/>
                  <w:marBottom w:val="0"/>
                  <w:divBdr>
                    <w:top w:val="none" w:sz="0" w:space="0" w:color="auto"/>
                    <w:left w:val="none" w:sz="0" w:space="0" w:color="auto"/>
                    <w:bottom w:val="none" w:sz="0" w:space="0" w:color="auto"/>
                    <w:right w:val="none" w:sz="0" w:space="0" w:color="auto"/>
                  </w:divBdr>
                  <w:divsChild>
                    <w:div w:id="1540974794">
                      <w:marLeft w:val="0"/>
                      <w:marRight w:val="0"/>
                      <w:marTop w:val="0"/>
                      <w:marBottom w:val="0"/>
                      <w:divBdr>
                        <w:top w:val="none" w:sz="0" w:space="0" w:color="auto"/>
                        <w:left w:val="none" w:sz="0" w:space="0" w:color="auto"/>
                        <w:bottom w:val="none" w:sz="0" w:space="0" w:color="auto"/>
                        <w:right w:val="none" w:sz="0" w:space="0" w:color="auto"/>
                      </w:divBdr>
                      <w:divsChild>
                        <w:div w:id="1769812521">
                          <w:marLeft w:val="0"/>
                          <w:marRight w:val="0"/>
                          <w:marTop w:val="0"/>
                          <w:marBottom w:val="0"/>
                          <w:divBdr>
                            <w:top w:val="none" w:sz="0" w:space="0" w:color="auto"/>
                            <w:left w:val="none" w:sz="0" w:space="0" w:color="auto"/>
                            <w:bottom w:val="none" w:sz="0" w:space="0" w:color="auto"/>
                            <w:right w:val="none" w:sz="0" w:space="0" w:color="auto"/>
                          </w:divBdr>
                          <w:divsChild>
                            <w:div w:id="973676462">
                              <w:marLeft w:val="0"/>
                              <w:marRight w:val="0"/>
                              <w:marTop w:val="0"/>
                              <w:marBottom w:val="0"/>
                              <w:divBdr>
                                <w:top w:val="none" w:sz="0" w:space="0" w:color="auto"/>
                                <w:left w:val="none" w:sz="0" w:space="0" w:color="auto"/>
                                <w:bottom w:val="none" w:sz="0" w:space="0" w:color="auto"/>
                                <w:right w:val="none" w:sz="0" w:space="0" w:color="auto"/>
                              </w:divBdr>
                              <w:divsChild>
                                <w:div w:id="20997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810027">
      <w:bodyDiv w:val="1"/>
      <w:marLeft w:val="0"/>
      <w:marRight w:val="0"/>
      <w:marTop w:val="0"/>
      <w:marBottom w:val="0"/>
      <w:divBdr>
        <w:top w:val="none" w:sz="0" w:space="0" w:color="auto"/>
        <w:left w:val="none" w:sz="0" w:space="0" w:color="auto"/>
        <w:bottom w:val="none" w:sz="0" w:space="0" w:color="auto"/>
        <w:right w:val="none" w:sz="0" w:space="0" w:color="auto"/>
      </w:divBdr>
    </w:div>
    <w:div w:id="1667322659">
      <w:bodyDiv w:val="1"/>
      <w:marLeft w:val="0"/>
      <w:marRight w:val="0"/>
      <w:marTop w:val="0"/>
      <w:marBottom w:val="0"/>
      <w:divBdr>
        <w:top w:val="none" w:sz="0" w:space="0" w:color="auto"/>
        <w:left w:val="none" w:sz="0" w:space="0" w:color="auto"/>
        <w:bottom w:val="none" w:sz="0" w:space="0" w:color="auto"/>
        <w:right w:val="none" w:sz="0" w:space="0" w:color="auto"/>
      </w:divBdr>
    </w:div>
    <w:div w:id="1885411876">
      <w:bodyDiv w:val="1"/>
      <w:marLeft w:val="0"/>
      <w:marRight w:val="0"/>
      <w:marTop w:val="0"/>
      <w:marBottom w:val="0"/>
      <w:divBdr>
        <w:top w:val="none" w:sz="0" w:space="0" w:color="auto"/>
        <w:left w:val="none" w:sz="0" w:space="0" w:color="auto"/>
        <w:bottom w:val="none" w:sz="0" w:space="0" w:color="auto"/>
        <w:right w:val="none" w:sz="0" w:space="0" w:color="auto"/>
      </w:divBdr>
    </w:div>
    <w:div w:id="2058506069">
      <w:bodyDiv w:val="1"/>
      <w:marLeft w:val="0"/>
      <w:marRight w:val="0"/>
      <w:marTop w:val="0"/>
      <w:marBottom w:val="0"/>
      <w:divBdr>
        <w:top w:val="none" w:sz="0" w:space="0" w:color="auto"/>
        <w:left w:val="none" w:sz="0" w:space="0" w:color="auto"/>
        <w:bottom w:val="none" w:sz="0" w:space="0" w:color="auto"/>
        <w:right w:val="none" w:sz="0" w:space="0" w:color="auto"/>
      </w:divBdr>
    </w:div>
    <w:div w:id="2068145750">
      <w:bodyDiv w:val="1"/>
      <w:marLeft w:val="0"/>
      <w:marRight w:val="0"/>
      <w:marTop w:val="0"/>
      <w:marBottom w:val="0"/>
      <w:divBdr>
        <w:top w:val="none" w:sz="0" w:space="0" w:color="auto"/>
        <w:left w:val="none" w:sz="0" w:space="0" w:color="auto"/>
        <w:bottom w:val="none" w:sz="0" w:space="0" w:color="auto"/>
        <w:right w:val="none" w:sz="0" w:space="0" w:color="auto"/>
      </w:divBdr>
    </w:div>
    <w:div w:id="207993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10/fm.v2i9.54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rcadobitcoin.com.br/tokens/precatorios/token-de-precatorio-mbprk0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ROE02</b:Tag>
    <b:SourceType>Book</b:SourceType>
    <b:Guid>{4CF82D7B-8EBE-4D6C-B4A0-221F7B100876}</b:Guid>
    <b:LCID>uz-Cyrl-UZ</b:LCID>
    <b:Author>
      <b:Author>
        <b:NameList>
          <b:Person>
            <b:Last>ROESLER</b:Last>
            <b:First>Cláudia</b:First>
            <b:Middle>Rosane</b:Middle>
          </b:Person>
        </b:NameList>
      </b:Author>
    </b:Author>
    <b:Title>Saber jurídico, retórica e ciência: uma análise da obra de Theodor Viehweg</b:Title>
    <b:Year>2002</b:Year>
    <b:City>São Paulo</b:City>
    <b:Publisher>USP</b:Publisher>
    <b:Comments>Tese de Doutorado em Direito</b:Comments>
    <b:RefOrder>2</b:RefOrder>
  </b:Source>
  <b:Source>
    <b:Tag>Vie08</b:Tag>
    <b:SourceType>Book</b:SourceType>
    <b:Guid>{2121730C-8642-464D-96D7-9044B2F24AE0}</b:Guid>
    <b:LCID>uz-Cyrl-UZ</b:LCID>
    <b:Author>
      <b:Author>
        <b:NameList>
          <b:Person>
            <b:Last>VIEHWEG</b:Last>
            <b:First>Theodor</b:First>
          </b:Person>
        </b:NameList>
      </b:Author>
      <b:Translator>
        <b:NameList>
          <b:Person>
            <b:Last>Silva</b:Last>
            <b:First>Kelly</b:First>
            <b:Middle>Susane Alflen da</b:Middle>
          </b:Person>
        </b:NameList>
      </b:Translator>
    </b:Author>
    <b:Title>Tópica e Jurisprudência: uma contribuição à investigação dos fundamentos jurídico-científicos</b:Title>
    <b:Year>2008</b:Year>
    <b:City>Porto Alegre</b:City>
    <b:Publisher>Sérgio Antônio Fabris Editor</b:Publisher>
    <b:StandardNumber>978-857525-438-7</b:StandardNumber>
    <b:Comments>tradução da 5ª ed. alemã, rev. e ampl.</b:Comments>
    <b:RefOrder>1</b:RefOrder>
  </b:Source>
  <b:Source>
    <b:Tag>MAD87</b:Tag>
    <b:SourceType>Book</b:SourceType>
    <b:Guid>{7E02B610-BDCB-4B5C-812C-C3CDFE264236}</b:Guid>
    <b:LCID>uz-Cyrl-UZ</b:LCID>
    <b:Author>
      <b:Author>
        <b:NameList>
          <b:Person>
            <b:Last>MADISON</b:Last>
            <b:First>James</b:First>
            <b:Middle>[Publius].</b:Middle>
          </b:Person>
        </b:NameList>
      </b:Author>
    </b:Author>
    <b:Title>The Federalist Papers.</b:Title>
    <b:Year>1987</b:Year>
    <b:City>London</b:City>
    <b:Publisher>Penguin Books</b:Publisher>
    <b:Volume>LI</b:Volume>
    <b:RefOrder>3</b:RefOrder>
  </b:Source>
  <b:Source>
    <b:Tag>DID10</b:Tag>
    <b:SourceType>Book</b:SourceType>
    <b:Guid>{1F72FA30-96A6-4D1A-8718-5D0EF5E650FD}</b:Guid>
    <b:LCID>uz-Cyrl-UZ</b:LCID>
    <b:Author>
      <b:Author>
        <b:NameList>
          <b:Person>
            <b:Last>DIDIER JR.</b:Last>
            <b:First>Fredie</b:First>
          </b:Person>
          <b:Person>
            <b:Last>CUNHA</b:Last>
            <b:First>Leonardo</b:First>
            <b:Middle>José Carneiro da</b:Middle>
          </b:Person>
        </b:NameList>
      </b:Author>
    </b:Author>
    <b:Title>Curso de Direito Processual Civil: meios de impugnação às decisões judiciais e processo nos tribunais</b:Title>
    <b:Year>2010</b:Year>
    <b:City>Salvador</b:City>
    <b:Publisher>Juspodivum</b:Publisher>
    <b:Volume>3</b:Volume>
    <b:Edition>8ª ed.</b:Edition>
    <b:RefOrder>4</b:RefOrder>
  </b:Source>
  <b:Source>
    <b:Tag>WAM08</b:Tag>
    <b:SourceType>Book</b:SourceType>
    <b:Guid>{60C219DE-B350-42C2-B9A1-8FB8BB86A711}</b:Guid>
    <b:LCID>uz-Cyrl-UZ</b:LCID>
    <b:Author>
      <b:Author>
        <b:NameList>
          <b:Person>
            <b:Last>WAMBIER</b:Last>
            <b:First>Luiz</b:First>
            <b:Middle>Rodrigues</b:Middle>
          </b:Person>
          <b:Person>
            <b:Last>TALAMINI</b:Last>
            <b:First>Eduardo</b:First>
          </b:Person>
          <b:Person>
            <b:Last>ALMEIDA</b:Last>
            <b:First>Flávio</b:First>
            <b:Middle>Renato Correia de</b:Middle>
          </b:Person>
        </b:NameList>
      </b:Author>
    </b:Author>
    <b:Title>Curso avançado de processo civil: teoria geral do processo e processo de conhecimento</b:Title>
    <b:Year>2008</b:Year>
    <b:City>São Paulo</b:City>
    <b:Publisher>Revista dos Tribunais</b:Publisher>
    <b:Volume>1</b:Volume>
    <b:Edition>10ª ed.</b:Edition>
    <b:RefOrder>5</b:RefOrder>
  </b:Source>
</b:Sources>
</file>

<file path=customXml/itemProps1.xml><?xml version="1.0" encoding="utf-8"?>
<ds:datastoreItem xmlns:ds="http://schemas.openxmlformats.org/officeDocument/2006/customXml" ds:itemID="{DB399788-AC64-4498-B3CA-299673F8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6117</Words>
  <Characters>34500</Characters>
  <Application>Microsoft Office Word</Application>
  <DocSecurity>0</DocSecurity>
  <Lines>539</Lines>
  <Paragraphs>102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40515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3</cp:revision>
  <dcterms:created xsi:type="dcterms:W3CDTF">2023-08-31T21:58:00Z</dcterms:created>
  <dcterms:modified xsi:type="dcterms:W3CDTF">2023-09-15T15:17:00Z</dcterms:modified>
  <cp:category/>
</cp:coreProperties>
</file>